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8FDC077" w:rsidR="006B52CC" w:rsidRDefault="00885EF6" w:rsidP="006B52CC">
      <w:pPr>
        <w:pStyle w:val="Heading1"/>
        <w:spacing w:before="0"/>
        <w:jc w:val="center"/>
      </w:pPr>
      <w:r>
        <w:rPr>
          <w:color w:val="FF8300"/>
        </w:rPr>
        <w:t>Thug</w:t>
      </w:r>
      <w:r w:rsidR="00C951A3">
        <w:rPr>
          <w:color w:val="FF8300"/>
        </w:rPr>
        <w:t xml:space="preserve"> Function V1.0.0</w:t>
      </w:r>
    </w:p>
    <w:p w14:paraId="0E3218A8" w14:textId="7E928801" w:rsidR="006B52CC" w:rsidRDefault="00C951A3" w:rsidP="006B52CC">
      <w:pPr>
        <w:pStyle w:val="Normal1"/>
        <w:jc w:val="center"/>
      </w:pPr>
      <w:r>
        <w:rPr>
          <w:rFonts w:ascii="Times New Roman" w:eastAsia="Times New Roman" w:hAnsi="Times New Roman" w:cs="Times New Roman"/>
        </w:rPr>
        <w:t xml:space="preserve">Release Date: </w:t>
      </w:r>
      <w:r w:rsidR="00885EF6">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77E0FFF6" w:rsidR="0037127E" w:rsidRDefault="0037127E" w:rsidP="0037127E">
      <w:pPr>
        <w:pStyle w:val="BodyText"/>
        <w:keepNext/>
      </w:pPr>
      <w:r>
        <w:t xml:space="preserve">This guide describes the </w:t>
      </w:r>
      <w:r w:rsidR="00885EF6" w:rsidRPr="00885EF6">
        <w:rPr>
          <w:color w:val="FF8300"/>
          <w:szCs w:val="48"/>
        </w:rPr>
        <w:t>Thug</w:t>
      </w:r>
      <w:r w:rsidR="00885EF6">
        <w:rPr>
          <w:color w:val="FF8300"/>
          <w:szCs w:val="48"/>
        </w:rPr>
        <w:t xml:space="preserve"> </w:t>
      </w:r>
      <w:r>
        <w:t>Function.</w:t>
      </w:r>
    </w:p>
    <w:p w14:paraId="6610BB48" w14:textId="0DC88897" w:rsidR="009D639D" w:rsidRDefault="00C951A3" w:rsidP="00537786">
      <w:pPr>
        <w:pStyle w:val="Heading10"/>
      </w:pPr>
      <w:r w:rsidRPr="00537786">
        <w:t xml:space="preserve">Overview </w:t>
      </w:r>
    </w:p>
    <w:p w14:paraId="18E8EDEC" w14:textId="1579663F" w:rsidR="00A63526" w:rsidRDefault="00885EF6" w:rsidP="00A63526">
      <w:pPr>
        <w:pStyle w:val="Heading10"/>
        <w:rPr>
          <w:rFonts w:ascii="Arial" w:hAnsi="Arial" w:cs="Arial"/>
          <w:b w:val="0"/>
          <w:color w:val="000000" w:themeColor="text1"/>
          <w:sz w:val="20"/>
        </w:rPr>
      </w:pPr>
      <w:r w:rsidRPr="00A63526">
        <w:rPr>
          <w:rFonts w:ascii="Arial" w:hAnsi="Arial" w:cs="Arial"/>
          <w:b w:val="0"/>
          <w:color w:val="000000" w:themeColor="text1"/>
          <w:sz w:val="20"/>
        </w:rPr>
        <w:t xml:space="preserve">The Thug integration </w:t>
      </w:r>
      <w:r w:rsidR="00A63526" w:rsidRPr="00A63526">
        <w:rPr>
          <w:rFonts w:ascii="Arial" w:hAnsi="Arial" w:cs="Arial"/>
          <w:b w:val="0"/>
          <w:color w:val="000000" w:themeColor="text1"/>
          <w:sz w:val="20"/>
        </w:rPr>
        <w:t xml:space="preserve">allows users to use thug to emulate a browser to detect malicious content at a specified </w:t>
      </w:r>
      <w:proofErr w:type="spellStart"/>
      <w:r w:rsidR="00A63526" w:rsidRPr="00A63526">
        <w:rPr>
          <w:rFonts w:ascii="Arial" w:hAnsi="Arial" w:cs="Arial"/>
          <w:b w:val="0"/>
          <w:color w:val="000000" w:themeColor="text1"/>
          <w:sz w:val="20"/>
        </w:rPr>
        <w:t>url</w:t>
      </w:r>
      <w:proofErr w:type="spellEnd"/>
      <w:r w:rsidR="00A63526" w:rsidRPr="00A63526">
        <w:rPr>
          <w:rFonts w:ascii="Arial" w:hAnsi="Arial" w:cs="Arial"/>
          <w:b w:val="0"/>
          <w:color w:val="000000" w:themeColor="text1"/>
          <w:sz w:val="20"/>
        </w:rPr>
        <w:t>.</w:t>
      </w:r>
    </w:p>
    <w:p w14:paraId="25C11603" w14:textId="7F6B3493" w:rsidR="00A63526" w:rsidRDefault="00A63526" w:rsidP="00A63526">
      <w:pPr>
        <w:pStyle w:val="Heading10"/>
        <w:rPr>
          <w:b w:val="0"/>
        </w:rPr>
      </w:pPr>
      <w:r>
        <w:rPr>
          <w:rFonts w:ascii="Arial" w:hAnsi="Arial" w:cs="Arial"/>
          <w:b w:val="0"/>
          <w:color w:val="000000" w:themeColor="text1"/>
          <w:sz w:val="20"/>
        </w:rPr>
        <w:t xml:space="preserve">The solution utilizes a </w:t>
      </w:r>
      <w:proofErr w:type="spellStart"/>
      <w:r>
        <w:rPr>
          <w:rFonts w:ascii="Arial" w:hAnsi="Arial" w:cs="Arial"/>
          <w:b w:val="0"/>
          <w:color w:val="000000" w:themeColor="text1"/>
          <w:sz w:val="20"/>
        </w:rPr>
        <w:t>dockerized</w:t>
      </w:r>
      <w:proofErr w:type="spellEnd"/>
      <w:r>
        <w:rPr>
          <w:rFonts w:ascii="Arial" w:hAnsi="Arial" w:cs="Arial"/>
          <w:b w:val="0"/>
          <w:color w:val="000000" w:themeColor="text1"/>
          <w:sz w:val="20"/>
        </w:rPr>
        <w:t xml:space="preserve"> thug instance to run and requires users to specify a directory that can be bind mounted into Docker containers in the </w:t>
      </w:r>
      <w:proofErr w:type="spellStart"/>
      <w:r>
        <w:rPr>
          <w:rFonts w:ascii="Arial" w:hAnsi="Arial" w:cs="Arial"/>
          <w:b w:val="0"/>
          <w:color w:val="000000" w:themeColor="text1"/>
          <w:sz w:val="20"/>
        </w:rPr>
        <w:t>app.config</w:t>
      </w:r>
      <w:proofErr w:type="spellEnd"/>
      <w:r>
        <w:rPr>
          <w:rFonts w:ascii="Arial" w:hAnsi="Arial" w:cs="Arial"/>
          <w:b w:val="0"/>
          <w:color w:val="000000" w:themeColor="text1"/>
          <w:sz w:val="20"/>
        </w:rPr>
        <w:t xml:space="preserve"> file.</w:t>
      </w:r>
    </w:p>
    <w:p w14:paraId="029AACCB" w14:textId="21FDEEDB" w:rsidR="00C951A3" w:rsidRDefault="001B086B" w:rsidP="00537786">
      <w:pPr>
        <w:pStyle w:val="Heading10"/>
      </w:pPr>
      <w:r>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lastRenderedPageBreak/>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 xml:space="preserve">sudo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952664D" w:rsidR="00B22452" w:rsidRPr="00E9325F" w:rsidRDefault="00B22452" w:rsidP="00B22452">
      <w:pPr>
        <w:pStyle w:val="Code0"/>
        <w:ind w:left="0" w:firstLine="360"/>
        <w:rPr>
          <w:lang w:val="en-GB"/>
        </w:rPr>
      </w:pPr>
      <w:r>
        <w:t xml:space="preserve">sudo pip install --upgrade </w:t>
      </w:r>
      <w:proofErr w:type="spellStart"/>
      <w:r>
        <w:t>fn</w:t>
      </w:r>
      <w:r w:rsidR="00873F72">
        <w:t>_thug</w:t>
      </w:r>
      <w:proofErr w:type="spellEnd"/>
      <w:r>
        <w:t>-&lt;</w:t>
      </w:r>
      <w:r w:rsidRPr="009B0406">
        <w:rPr>
          <w:i/>
        </w:rPr>
        <w:t>version</w:t>
      </w:r>
      <w:proofErr w:type="gramStart"/>
      <w:r w:rsidR="00873F72">
        <w:t>&gt;.tar.gz</w:t>
      </w:r>
      <w:proofErr w:type="gramEnd"/>
    </w:p>
    <w:p w14:paraId="7EE84101" w14:textId="77777777" w:rsidR="00F33F4A" w:rsidRDefault="00F33F4A" w:rsidP="00F33F4A">
      <w:pPr>
        <w:pStyle w:val="Heading20"/>
      </w:pPr>
      <w:r>
        <w:t>Configure the Python components</w:t>
      </w:r>
      <w:bookmarkStart w:id="3" w:name="_GoBack"/>
      <w:bookmarkEnd w:id="3"/>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10DF0B6D"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A63526">
        <w:rPr>
          <w:rFonts w:cs="Arial"/>
          <w:color w:val="000000"/>
        </w:rPr>
        <w:t>_thug</w:t>
      </w:r>
      <w:proofErr w:type="spellEnd"/>
      <w:r w:rsidR="00A63526">
        <w:rPr>
          <w:rFonts w:cs="Arial"/>
          <w:color w:val="000000"/>
        </w:rPr>
        <w:t>]</w:t>
      </w:r>
      <w:r>
        <w:rPr>
          <w:rFonts w:cs="Arial"/>
          <w:color w:val="000000"/>
        </w:rPr>
        <w:t xml:space="preserve"> section, edit the settings as follows:</w:t>
      </w:r>
    </w:p>
    <w:p w14:paraId="6231C159" w14:textId="57C5FCE8" w:rsidR="00801DA6" w:rsidRDefault="00A63526" w:rsidP="00801DA6">
      <w:pPr>
        <w:pStyle w:val="Code0"/>
        <w:ind w:left="720"/>
      </w:pPr>
      <w:r>
        <w:t>[</w:t>
      </w:r>
      <w:proofErr w:type="spellStart"/>
      <w:r>
        <w:t>fn_thug</w:t>
      </w:r>
      <w:proofErr w:type="spellEnd"/>
      <w:r>
        <w:t>]</w:t>
      </w:r>
    </w:p>
    <w:p w14:paraId="3687E29A" w14:textId="4ECCF3D9" w:rsidR="00A63526" w:rsidRDefault="00A63526" w:rsidP="00A63526">
      <w:pPr>
        <w:pStyle w:val="Code0"/>
        <w:ind w:left="720"/>
      </w:pPr>
      <w:proofErr w:type="spellStart"/>
      <w:r>
        <w:t>thug_dir</w:t>
      </w:r>
      <w:proofErr w:type="spellEnd"/>
      <w:r>
        <w:t>=Absolute directory path that can be bind mounted into Docker containers.</w:t>
      </w:r>
    </w:p>
    <w:p w14:paraId="3094586B" w14:textId="6F55CBDC" w:rsidR="00A63526" w:rsidRDefault="00A63526" w:rsidP="00A63526">
      <w:pPr>
        <w:pStyle w:val="BodyText"/>
      </w:pPr>
    </w:p>
    <w:p w14:paraId="497AA524" w14:textId="011E376A" w:rsidR="00A63526" w:rsidRDefault="00A63526" w:rsidP="00A63526">
      <w:pPr>
        <w:pStyle w:val="BodyText"/>
      </w:pPr>
    </w:p>
    <w:p w14:paraId="7F408F1B" w14:textId="6ABF0873" w:rsidR="00A63526" w:rsidRDefault="00A63526" w:rsidP="00A63526">
      <w:pPr>
        <w:pStyle w:val="BodyText"/>
      </w:pPr>
    </w:p>
    <w:p w14:paraId="5ACD2542" w14:textId="0B1B4513" w:rsidR="00A63526" w:rsidRDefault="00A63526" w:rsidP="00A63526">
      <w:pPr>
        <w:pStyle w:val="BodyText"/>
      </w:pPr>
    </w:p>
    <w:p w14:paraId="0DB4E009" w14:textId="77777777" w:rsidR="00A63526" w:rsidRDefault="00A63526" w:rsidP="00A63526">
      <w:pPr>
        <w:pStyle w:val="BodyText"/>
      </w:pPr>
    </w:p>
    <w:p w14:paraId="549323AA" w14:textId="2DE09528" w:rsidR="00A63526" w:rsidRDefault="00A63526" w:rsidP="00A63526">
      <w:pPr>
        <w:pStyle w:val="BodyText"/>
      </w:pPr>
    </w:p>
    <w:p w14:paraId="1BC6F268" w14:textId="198AF515" w:rsidR="00A63526" w:rsidRDefault="00A63526" w:rsidP="00A63526">
      <w:pPr>
        <w:pStyle w:val="BodyText"/>
      </w:pPr>
      <w:r>
        <w:t>To view directories that can be bind mounted into Docker:</w:t>
      </w:r>
    </w:p>
    <w:p w14:paraId="4D8E8374" w14:textId="77777777" w:rsidR="00A63526" w:rsidRDefault="00A63526" w:rsidP="00A63526">
      <w:pPr>
        <w:pStyle w:val="BodyText"/>
      </w:pPr>
    </w:p>
    <w:p w14:paraId="6DFFAD3F" w14:textId="63E4921C" w:rsidR="00A63526" w:rsidRPr="00A63526" w:rsidRDefault="00A63526" w:rsidP="00A63526">
      <w:pPr>
        <w:pStyle w:val="BodyText"/>
      </w:pPr>
      <w:r>
        <w:rPr>
          <w:noProof/>
        </w:rPr>
        <w:lastRenderedPageBreak/>
        <w:drawing>
          <wp:inline distT="0" distB="0" distL="0" distR="0" wp14:anchorId="166CCE02" wp14:editId="6727CE8F">
            <wp:extent cx="1423284" cy="207774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21 at 2.59.49 PM.png"/>
                    <pic:cNvPicPr/>
                  </pic:nvPicPr>
                  <pic:blipFill>
                    <a:blip r:embed="rId10"/>
                    <a:stretch>
                      <a:fillRect/>
                    </a:stretch>
                  </pic:blipFill>
                  <pic:spPr>
                    <a:xfrm>
                      <a:off x="0" y="0"/>
                      <a:ext cx="1439702" cy="2101707"/>
                    </a:xfrm>
                    <a:prstGeom prst="rect">
                      <a:avLst/>
                    </a:prstGeom>
                  </pic:spPr>
                </pic:pic>
              </a:graphicData>
            </a:graphic>
          </wp:inline>
        </w:drawing>
      </w:r>
      <w:r>
        <w:tab/>
      </w:r>
      <w:r>
        <w:rPr>
          <w:noProof/>
        </w:rPr>
        <w:drawing>
          <wp:inline distT="0" distB="0" distL="0" distR="0" wp14:anchorId="222AF0B9" wp14:editId="088A5F9A">
            <wp:extent cx="3228229" cy="2622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1 at 3.02.51 PM.png"/>
                    <pic:cNvPicPr/>
                  </pic:nvPicPr>
                  <pic:blipFill>
                    <a:blip r:embed="rId11"/>
                    <a:stretch>
                      <a:fillRect/>
                    </a:stretch>
                  </pic:blipFill>
                  <pic:spPr>
                    <a:xfrm>
                      <a:off x="0" y="0"/>
                      <a:ext cx="3246114" cy="2637467"/>
                    </a:xfrm>
                    <a:prstGeom prst="rect">
                      <a:avLst/>
                    </a:prstGeom>
                  </pic:spPr>
                </pic:pic>
              </a:graphicData>
            </a:graphic>
          </wp:inline>
        </w:drawing>
      </w:r>
    </w:p>
    <w:p w14:paraId="6DB02F2B" w14:textId="52AFE93A" w:rsidR="00F33F4A" w:rsidRDefault="00F33F4A" w:rsidP="009A711B">
      <w:pPr>
        <w:pStyle w:val="Heading20"/>
      </w:pPr>
      <w:r>
        <w:t>Deploy customizations to the Resilient platform</w:t>
      </w:r>
    </w:p>
    <w:p w14:paraId="41933F92" w14:textId="75F1702C" w:rsidR="00825071" w:rsidRPr="00825071" w:rsidRDefault="00825071" w:rsidP="009A711B">
      <w:pPr>
        <w:pStyle w:val="Heading20"/>
        <w:rPr>
          <w:rFonts w:ascii="Arial" w:hAnsi="Arial" w:cs="Arial"/>
          <w:b w:val="0"/>
          <w:sz w:val="20"/>
        </w:rPr>
      </w:pPr>
      <w:r>
        <w:rPr>
          <w:rFonts w:ascii="Arial" w:hAnsi="Arial" w:cs="Arial"/>
          <w:b w:val="0"/>
          <w:sz w:val="20"/>
        </w:rPr>
        <w:t>The package contains a Thug An</w:t>
      </w:r>
      <w:r w:rsidR="00D84F92">
        <w:rPr>
          <w:rFonts w:ascii="Arial" w:hAnsi="Arial" w:cs="Arial"/>
          <w:b w:val="0"/>
          <w:sz w:val="20"/>
        </w:rPr>
        <w:t>alysis function and an example w</w:t>
      </w:r>
      <w:r>
        <w:rPr>
          <w:rFonts w:ascii="Arial" w:hAnsi="Arial" w:cs="Arial"/>
          <w:b w:val="0"/>
          <w:sz w:val="20"/>
        </w:rPr>
        <w:t xml:space="preserve">orkflow </w:t>
      </w:r>
      <w:r w:rsidR="00D84F92">
        <w:rPr>
          <w:rFonts w:ascii="Arial" w:hAnsi="Arial" w:cs="Arial"/>
          <w:b w:val="0"/>
          <w:sz w:val="20"/>
        </w:rPr>
        <w:t>and r</w:t>
      </w:r>
      <w:r>
        <w:rPr>
          <w:rFonts w:ascii="Arial" w:hAnsi="Arial" w:cs="Arial"/>
          <w:b w:val="0"/>
          <w:sz w:val="20"/>
        </w:rPr>
        <w:t xml:space="preserve">ule </w:t>
      </w:r>
      <w:r w:rsidR="00D84F92">
        <w:rPr>
          <w:rFonts w:ascii="Arial" w:hAnsi="Arial" w:cs="Arial"/>
          <w:b w:val="0"/>
          <w:sz w:val="20"/>
        </w:rPr>
        <w:t>that use this function. In the w</w:t>
      </w:r>
      <w:r>
        <w:rPr>
          <w:rFonts w:ascii="Arial" w:hAnsi="Arial" w:cs="Arial"/>
          <w:b w:val="0"/>
          <w:sz w:val="20"/>
        </w:rPr>
        <w:t>orkflow’s post-processing script, the function results can be seen.</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752BE193" w:rsidR="00272C1D" w:rsidRPr="003279DC" w:rsidRDefault="003279DC" w:rsidP="00E67FB4">
      <w:pPr>
        <w:pStyle w:val="BodyText"/>
        <w:keepNext/>
        <w:numPr>
          <w:ilvl w:val="0"/>
          <w:numId w:val="33"/>
        </w:numPr>
        <w:rPr>
          <w:rFonts w:cs="Arial"/>
          <w:color w:val="000000"/>
        </w:rPr>
      </w:pPr>
      <w:r w:rsidRPr="003279DC">
        <w:rPr>
          <w:rFonts w:cs="Arial"/>
          <w:color w:val="000000"/>
        </w:rPr>
        <w:lastRenderedPageBreak/>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t>Function Descriptions</w:t>
      </w:r>
    </w:p>
    <w:p w14:paraId="4314CAA0" w14:textId="454B5B7B" w:rsidR="004F6CA4" w:rsidRPr="00825071" w:rsidRDefault="004F6CA4" w:rsidP="004F6CA4">
      <w:pPr>
        <w:pStyle w:val="BodyText"/>
        <w:keepNext/>
        <w:rPr>
          <w:color w:val="000000" w:themeColor="text1"/>
        </w:rPr>
      </w:pPr>
      <w:r w:rsidRPr="00825071">
        <w:rPr>
          <w:color w:val="000000" w:themeColor="text1"/>
        </w:rPr>
        <w:t>Once the function package deploys the function(s), you can view them in the Resilient platform Functions tab, as shown below. The package also includes example workflows and rules that show how the functions can be used. You can copy and modify these workflows and rules for your own needs.</w:t>
      </w:r>
    </w:p>
    <w:p w14:paraId="0483D780" w14:textId="77777777" w:rsidR="00825071" w:rsidRDefault="00825071" w:rsidP="00825071">
      <w:pPr>
        <w:pStyle w:val="Heading20"/>
      </w:pPr>
      <w:r>
        <w:rPr>
          <w:noProof/>
          <w:color w:val="000000" w:themeColor="text1"/>
        </w:rPr>
        <w:drawing>
          <wp:inline distT="0" distB="0" distL="0" distR="0" wp14:anchorId="7211ADAD" wp14:editId="1BB432CF">
            <wp:extent cx="5565915" cy="2782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21 at 3.07.31 PM.png"/>
                    <pic:cNvPicPr/>
                  </pic:nvPicPr>
                  <pic:blipFill>
                    <a:blip r:embed="rId12"/>
                    <a:stretch>
                      <a:fillRect/>
                    </a:stretch>
                  </pic:blipFill>
                  <pic:spPr>
                    <a:xfrm>
                      <a:off x="0" y="0"/>
                      <a:ext cx="5612097" cy="2806048"/>
                    </a:xfrm>
                    <a:prstGeom prst="rect">
                      <a:avLst/>
                    </a:prstGeom>
                  </pic:spPr>
                </pic:pic>
              </a:graphicData>
            </a:graphic>
          </wp:inline>
        </w:drawing>
      </w:r>
    </w:p>
    <w:p w14:paraId="7CEA234A" w14:textId="77777777" w:rsidR="00825071" w:rsidRDefault="00825071">
      <w:pPr>
        <w:rPr>
          <w:rFonts w:ascii="Calibri" w:eastAsia="Calibri" w:hAnsi="Calibri" w:cs="Calibri"/>
          <w:b/>
          <w:color w:val="auto"/>
          <w:sz w:val="28"/>
          <w:szCs w:val="28"/>
        </w:rPr>
      </w:pPr>
      <w:r>
        <w:br w:type="page"/>
      </w:r>
    </w:p>
    <w:p w14:paraId="1141BB8E" w14:textId="3266C881" w:rsidR="00825071" w:rsidRDefault="00825071" w:rsidP="00EC4648">
      <w:pPr>
        <w:pStyle w:val="Heading10"/>
        <w:rPr>
          <w:rFonts w:ascii="Arial" w:hAnsi="Arial" w:cs="Arial"/>
          <w:b w:val="0"/>
          <w:color w:val="000000" w:themeColor="text1"/>
          <w:sz w:val="20"/>
          <w:szCs w:val="20"/>
        </w:rPr>
      </w:pPr>
      <w:bookmarkStart w:id="6" w:name="_Toc510253273"/>
      <w:bookmarkEnd w:id="5"/>
      <w:r>
        <w:rPr>
          <w:rFonts w:ascii="Arial" w:hAnsi="Arial" w:cs="Arial"/>
          <w:b w:val="0"/>
          <w:color w:val="000000" w:themeColor="text1"/>
          <w:sz w:val="20"/>
          <w:szCs w:val="20"/>
        </w:rPr>
        <w:lastRenderedPageBreak/>
        <w:t>This function takes two inputs:</w:t>
      </w:r>
    </w:p>
    <w:p w14:paraId="2C26C339" w14:textId="16746DCB" w:rsidR="00825071" w:rsidRDefault="00825071" w:rsidP="00825071">
      <w:pPr>
        <w:pStyle w:val="Heading10"/>
        <w:numPr>
          <w:ilvl w:val="0"/>
          <w:numId w:val="35"/>
        </w:numPr>
        <w:rPr>
          <w:rFonts w:ascii="Arial" w:hAnsi="Arial" w:cs="Arial"/>
          <w:b w:val="0"/>
          <w:color w:val="000000" w:themeColor="text1"/>
          <w:sz w:val="20"/>
          <w:szCs w:val="20"/>
        </w:rPr>
      </w:pPr>
      <w:r>
        <w:rPr>
          <w:rFonts w:ascii="Arial" w:hAnsi="Arial" w:cs="Arial"/>
          <w:b w:val="0"/>
          <w:color w:val="000000" w:themeColor="text1"/>
          <w:sz w:val="20"/>
          <w:szCs w:val="20"/>
        </w:rPr>
        <w:t xml:space="preserve">The </w:t>
      </w:r>
      <w:proofErr w:type="spellStart"/>
      <w:r>
        <w:rPr>
          <w:rFonts w:ascii="Arial" w:hAnsi="Arial" w:cs="Arial"/>
          <w:b w:val="0"/>
          <w:color w:val="000000" w:themeColor="text1"/>
          <w:sz w:val="20"/>
          <w:szCs w:val="20"/>
        </w:rPr>
        <w:t>url</w:t>
      </w:r>
      <w:proofErr w:type="spellEnd"/>
      <w:r>
        <w:rPr>
          <w:rFonts w:ascii="Arial" w:hAnsi="Arial" w:cs="Arial"/>
          <w:b w:val="0"/>
          <w:color w:val="000000" w:themeColor="text1"/>
          <w:sz w:val="20"/>
          <w:szCs w:val="20"/>
        </w:rPr>
        <w:t xml:space="preserve"> to be analyzed</w:t>
      </w:r>
    </w:p>
    <w:p w14:paraId="542BEE07" w14:textId="264CC488" w:rsidR="00825071" w:rsidRPr="00825071" w:rsidRDefault="00825071" w:rsidP="00825071">
      <w:pPr>
        <w:pStyle w:val="Heading10"/>
        <w:numPr>
          <w:ilvl w:val="0"/>
          <w:numId w:val="35"/>
        </w:numPr>
        <w:rPr>
          <w:rFonts w:ascii="Arial" w:hAnsi="Arial" w:cs="Arial"/>
          <w:b w:val="0"/>
          <w:color w:val="000000" w:themeColor="text1"/>
          <w:sz w:val="20"/>
          <w:szCs w:val="20"/>
        </w:rPr>
      </w:pPr>
      <w:r>
        <w:rPr>
          <w:rFonts w:ascii="Arial" w:hAnsi="Arial" w:cs="Arial"/>
          <w:b w:val="0"/>
          <w:color w:val="000000" w:themeColor="text1"/>
          <w:sz w:val="20"/>
          <w:szCs w:val="20"/>
        </w:rPr>
        <w:t xml:space="preserve">The argument flags used by thug. For more information on argument flags please see thug’s documentation: </w:t>
      </w:r>
      <w:hyperlink r:id="rId13" w:history="1">
        <w:r w:rsidRPr="00043E7C">
          <w:rPr>
            <w:rStyle w:val="Hyperlink"/>
            <w:rFonts w:ascii="Arial" w:hAnsi="Arial" w:cs="Arial"/>
            <w:b w:val="0"/>
            <w:sz w:val="20"/>
            <w:szCs w:val="20"/>
          </w:rPr>
          <w:t>https://buffer.github.io/thug/doc/usage.html</w:t>
        </w:r>
      </w:hyperlink>
      <w:r>
        <w:rPr>
          <w:rFonts w:ascii="Arial" w:hAnsi="Arial" w:cs="Arial"/>
          <w:b w:val="0"/>
          <w:color w:val="000000" w:themeColor="text1"/>
          <w:sz w:val="20"/>
          <w:szCs w:val="20"/>
        </w:rPr>
        <w:t xml:space="preserve"> Please note that using some arguments may cause thug to fail and arguments -FZM are included by default.</w:t>
      </w:r>
    </w:p>
    <w:p w14:paraId="1AFB38FE" w14:textId="6A1C6594" w:rsidR="00EC4648" w:rsidRDefault="00EC4648" w:rsidP="00EC4648">
      <w:pPr>
        <w:pStyle w:val="Heading10"/>
      </w:pPr>
      <w:r w:rsidRPr="00C951A3">
        <w:t xml:space="preserve">Resilient </w:t>
      </w:r>
      <w:r>
        <w:t xml:space="preserve">Platform </w:t>
      </w:r>
      <w:r w:rsidRPr="00C951A3">
        <w:t>Configuration</w:t>
      </w:r>
    </w:p>
    <w:p w14:paraId="5E71C63D" w14:textId="7A8442A4" w:rsidR="00825071" w:rsidRPr="00D84F92" w:rsidRDefault="00825071" w:rsidP="00EC4648">
      <w:pPr>
        <w:pStyle w:val="Heading10"/>
        <w:rPr>
          <w:rFonts w:ascii="Arial" w:hAnsi="Arial" w:cs="Arial"/>
          <w:b w:val="0"/>
          <w:color w:val="000000" w:themeColor="text1"/>
          <w:sz w:val="20"/>
          <w:szCs w:val="20"/>
        </w:rPr>
      </w:pPr>
      <w:r w:rsidRPr="00D84F92">
        <w:rPr>
          <w:rFonts w:ascii="Arial" w:hAnsi="Arial" w:cs="Arial"/>
          <w:b w:val="0"/>
          <w:color w:val="000000" w:themeColor="text1"/>
          <w:sz w:val="20"/>
          <w:szCs w:val="20"/>
        </w:rPr>
        <w:t xml:space="preserve">To use this integration, Docker must be installed on the client that is running Resilient. Additionally, the directory </w:t>
      </w:r>
      <w:r w:rsidR="00D84F92" w:rsidRPr="00D84F92">
        <w:rPr>
          <w:rFonts w:ascii="Arial" w:hAnsi="Arial" w:cs="Arial"/>
          <w:b w:val="0"/>
          <w:color w:val="000000" w:themeColor="text1"/>
          <w:sz w:val="20"/>
          <w:szCs w:val="20"/>
        </w:rPr>
        <w:t xml:space="preserve">in the </w:t>
      </w:r>
      <w:proofErr w:type="spellStart"/>
      <w:r w:rsidR="00D84F92" w:rsidRPr="00D84F92">
        <w:rPr>
          <w:rFonts w:ascii="Arial" w:hAnsi="Arial" w:cs="Arial"/>
          <w:b w:val="0"/>
          <w:color w:val="000000" w:themeColor="text1"/>
          <w:sz w:val="20"/>
          <w:szCs w:val="20"/>
        </w:rPr>
        <w:t>app.config</w:t>
      </w:r>
      <w:proofErr w:type="spellEnd"/>
      <w:r w:rsidR="00D84F92" w:rsidRPr="00D84F92">
        <w:rPr>
          <w:rFonts w:ascii="Arial" w:hAnsi="Arial" w:cs="Arial"/>
          <w:b w:val="0"/>
          <w:color w:val="000000" w:themeColor="text1"/>
          <w:sz w:val="20"/>
          <w:szCs w:val="20"/>
        </w:rPr>
        <w:t xml:space="preserve"> file must be able to be bind mounted into Docker containers. If these conditions are not </w:t>
      </w:r>
      <w:r w:rsidR="00D84F92">
        <w:rPr>
          <w:rFonts w:ascii="Arial" w:hAnsi="Arial" w:cs="Arial"/>
          <w:b w:val="0"/>
          <w:color w:val="000000" w:themeColor="text1"/>
          <w:sz w:val="20"/>
          <w:szCs w:val="20"/>
        </w:rPr>
        <w:t>satisfied</w:t>
      </w:r>
      <w:r w:rsidR="00D84F92" w:rsidRPr="00D84F92">
        <w:rPr>
          <w:rFonts w:ascii="Arial" w:hAnsi="Arial" w:cs="Arial"/>
          <w:b w:val="0"/>
          <w:color w:val="000000" w:themeColor="text1"/>
          <w:sz w:val="20"/>
          <w:szCs w:val="20"/>
        </w:rPr>
        <w:t>, the integration will not function properly and will fail.</w:t>
      </w:r>
    </w:p>
    <w:p w14:paraId="50B3615E" w14:textId="77777777" w:rsidR="00C951A3" w:rsidRPr="00601DA7" w:rsidRDefault="00C951A3" w:rsidP="00537786">
      <w:pPr>
        <w:pStyle w:val="Heading10"/>
      </w:pPr>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4">
        <w:r w:rsidRPr="00722240">
          <w:rPr>
            <w:rStyle w:val="Hyperlink"/>
          </w:rPr>
          <w:t>support@resilientsystems.com</w:t>
        </w:r>
      </w:hyperlink>
      <w:r w:rsidRPr="00722240">
        <w:t>.</w:t>
      </w:r>
    </w:p>
    <w:p w14:paraId="19DE5CCC" w14:textId="4460F6D1" w:rsidR="00C951A3" w:rsidRDefault="00BC7548" w:rsidP="00C951A3">
      <w:pPr>
        <w:pStyle w:val="BodyText"/>
      </w:pPr>
      <w:r>
        <w:t xml:space="preserve">Including relevant </w:t>
      </w:r>
      <w:r w:rsidRPr="00883063">
        <w:t>information</w:t>
      </w:r>
      <w:r>
        <w:t xml:space="preserve"> from the log files will help us resolve your issue.</w:t>
      </w:r>
    </w:p>
    <w:p w14:paraId="601EFECA" w14:textId="77777777" w:rsidR="00B94292" w:rsidRPr="009A711B" w:rsidRDefault="00B94292">
      <w:pPr>
        <w:pStyle w:val="BodyText"/>
        <w:rPr>
          <w:i/>
          <w:color w:val="4F81BD" w:themeColor="accent1"/>
        </w:rPr>
      </w:pPr>
    </w:p>
    <w:sectPr w:rsidR="00B94292" w:rsidRPr="009A711B"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5001A" w14:textId="77777777" w:rsidR="00C71DD7" w:rsidRDefault="00C71DD7">
      <w:r>
        <w:separator/>
      </w:r>
    </w:p>
  </w:endnote>
  <w:endnote w:type="continuationSeparator" w:id="0">
    <w:p w14:paraId="3A32B635" w14:textId="77777777" w:rsidR="00C71DD7" w:rsidRDefault="00C71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C5903" w14:textId="77777777" w:rsidR="00C71DD7" w:rsidRDefault="00C71DD7">
      <w:r>
        <w:separator/>
      </w:r>
    </w:p>
  </w:footnote>
  <w:footnote w:type="continuationSeparator" w:id="0">
    <w:p w14:paraId="1AE826F6" w14:textId="77777777" w:rsidR="00C71DD7" w:rsidRDefault="00C71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912291"/>
    <w:multiLevelType w:val="hybridMultilevel"/>
    <w:tmpl w:val="DCF89E66"/>
    <w:lvl w:ilvl="0" w:tplc="731C52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780481"/>
    <w:multiLevelType w:val="hybridMultilevel"/>
    <w:tmpl w:val="6C1E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3"/>
  </w:num>
  <w:num w:numId="8">
    <w:abstractNumId w:val="6"/>
  </w:num>
  <w:num w:numId="9">
    <w:abstractNumId w:val="24"/>
  </w:num>
  <w:num w:numId="10">
    <w:abstractNumId w:val="17"/>
  </w:num>
  <w:num w:numId="11">
    <w:abstractNumId w:val="7"/>
  </w:num>
  <w:num w:numId="12">
    <w:abstractNumId w:val="22"/>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0A05"/>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D6C32"/>
    <w:rsid w:val="002D758C"/>
    <w:rsid w:val="002F1AF6"/>
    <w:rsid w:val="00300958"/>
    <w:rsid w:val="0030433E"/>
    <w:rsid w:val="00304962"/>
    <w:rsid w:val="003279DC"/>
    <w:rsid w:val="003576AE"/>
    <w:rsid w:val="0037127E"/>
    <w:rsid w:val="00377074"/>
    <w:rsid w:val="003A3728"/>
    <w:rsid w:val="003C039E"/>
    <w:rsid w:val="003C446B"/>
    <w:rsid w:val="003D337E"/>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25071"/>
    <w:rsid w:val="00833879"/>
    <w:rsid w:val="0083469A"/>
    <w:rsid w:val="008434CF"/>
    <w:rsid w:val="00866DA4"/>
    <w:rsid w:val="008717DC"/>
    <w:rsid w:val="00873F72"/>
    <w:rsid w:val="00874713"/>
    <w:rsid w:val="00877C21"/>
    <w:rsid w:val="00885EF6"/>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60404"/>
    <w:rsid w:val="009612E6"/>
    <w:rsid w:val="00973236"/>
    <w:rsid w:val="009737CF"/>
    <w:rsid w:val="009A2406"/>
    <w:rsid w:val="009A711B"/>
    <w:rsid w:val="009D639D"/>
    <w:rsid w:val="009E19B0"/>
    <w:rsid w:val="009E2819"/>
    <w:rsid w:val="00A161A6"/>
    <w:rsid w:val="00A45E58"/>
    <w:rsid w:val="00A625F3"/>
    <w:rsid w:val="00A63526"/>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71DD7"/>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4F92"/>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styleId="UnresolvedMention">
    <w:name w:val="Unresolved Mention"/>
    <w:basedOn w:val="DefaultParagraphFont"/>
    <w:uiPriority w:val="99"/>
    <w:semiHidden/>
    <w:unhideWhenUsed/>
    <w:rsid w:val="00825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uffer.github.io/thug/doc/usage.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A2C7F-CA22-8A4D-BE7A-2F74B257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Manager/>
  <Company>IBM Resilient</Company>
  <LinksUpToDate>false</LinksUpToDate>
  <CharactersWithSpaces>7944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Thug Function Guide</dc:title>
  <dc:subject/>
  <dc:creator>IBM Resilient</dc:creator>
  <cp:keywords/>
  <dc:description/>
  <cp:lastModifiedBy>Keenan Mach</cp:lastModifiedBy>
  <cp:revision>15</cp:revision>
  <cp:lastPrinted>2018-04-09T16:01:00Z</cp:lastPrinted>
  <dcterms:created xsi:type="dcterms:W3CDTF">2018-04-11T16:14:00Z</dcterms:created>
  <dcterms:modified xsi:type="dcterms:W3CDTF">2018-09-05T14:43:00Z</dcterms:modified>
  <cp:category/>
</cp:coreProperties>
</file>