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F6C6C"/>
          <w:sz w:val="20"/>
          <w:szCs w:val="20"/>
        </w:rPr>
        <w:t xml:space="preserve">PRODUCT SPECIFICATION</w:t>
      </w:r>
    </w:p>
    <w:p>
      <w:pPr>
        <w:spacing w:after="80"/>
      </w:pPr>
      <w:r>
        <w:rPr>
          <w:rFonts w:ascii="Arial" w:cs="Arial" w:eastAsia="Arial" w:hAnsi="Arial"/>
          <w:b/>
          <w:bCs/>
          <w:color w:val="1B365D"/>
          <w:sz w:val="56"/>
          <w:szCs w:val="56"/>
        </w:rPr>
        <w:t xml:space="preserve">PathwayPlan NSW</w:t>
      </w:r>
    </w:p>
    <w:p>
      <w:pPr>
        <w:spacing w:after="280"/>
      </w:pPr>
      <w:r>
        <w:rPr>
          <w:rFonts w:ascii="Arial" w:cs="Arial" w:eastAsia="Arial" w:hAnsi="Arial"/>
          <w:i/>
          <w:iCs/>
          <w:color w:val="0F6C6C"/>
          <w:sz w:val="26"/>
          <w:szCs w:val="26"/>
        </w:rPr>
        <w:t xml:space="preserve">See which degrees your HSC subjects actually open.</w:t>
      </w:r>
    </w:p>
    <w:p>
      <w:pPr>
        <w:spacing w:after="280" w:before="0" w:line="276"/>
      </w:pPr>
      <w:r>
        <w:rPr>
          <w:rFonts w:ascii="Arial" w:cs="Arial" w:eastAsia="Arial" w:hAnsi="Arial"/>
          <w:color w:val="222222"/>
          <w:sz w:val="22"/>
          <w:szCs w:val="22"/>
        </w:rPr>
        <w:t xml:space="preserve">A subject-first university planner for Year 10–12 students and parents in New South Wales. Live eligibility, assumed-knowledge traffic lights, double-degree duration, and a plain-English view of how a subject change closes or opens doors.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8"/>
        <w:gridCol w:w="7230"/>
      </w:tblGrid>
      <w:tr>
        <w:tc>
          <w:tcPr>
            <w:tcW w:type="dxa" w:w="2408"/>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bCs/>
                <w:color w:val="222222"/>
                <w:sz w:val="18"/>
                <w:szCs w:val="18"/>
              </w:rPr>
              <w:t xml:space="preserve">Document type</w:t>
            </w:r>
          </w:p>
        </w:tc>
        <w:tc>
          <w:tcPr>
            <w:tcW w:type="dxa" w:w="7230"/>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Website product spec / MVP blueprint</w:t>
            </w:r>
          </w:p>
        </w:tc>
      </w:tr>
      <w:tr>
        <w:tc>
          <w:tcPr>
            <w:tcW w:type="dxa" w:w="240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Audience</w:t>
            </w:r>
          </w:p>
        </w:tc>
        <w:tc>
          <w:tcPr>
            <w:tcW w:type="dxa" w:w="72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Founder, designer, developer, school careers adviser</w:t>
            </w:r>
          </w:p>
        </w:tc>
      </w:tr>
      <w:tr>
        <w:tc>
          <w:tcPr>
            <w:tcW w:type="dxa" w:w="2408"/>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bCs/>
                <w:color w:val="222222"/>
                <w:sz w:val="18"/>
                <w:szCs w:val="18"/>
              </w:rPr>
              <w:t xml:space="preserve">Geography</w:t>
            </w:r>
          </w:p>
        </w:tc>
        <w:tc>
          <w:tcPr>
            <w:tcW w:type="dxa" w:w="7230"/>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NSW first (UAC institutions). Victoria already has an official equivalent.</w:t>
            </w:r>
          </w:p>
        </w:tc>
      </w:tr>
      <w:tr>
        <w:tc>
          <w:tcPr>
            <w:tcW w:type="dxa" w:w="240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Date</w:t>
            </w:r>
          </w:p>
        </w:tc>
        <w:tc>
          <w:tcPr>
            <w:tcW w:type="dxa" w:w="72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27 August 2026  ·  Working draft v1.0</w:t>
            </w:r>
          </w:p>
        </w:tc>
      </w:tr>
      <w:tr>
        <w:tc>
          <w:tcPr>
            <w:tcW w:type="dxa" w:w="2408"/>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bCs/>
                <w:color w:val="222222"/>
                <w:sz w:val="18"/>
                <w:szCs w:val="18"/>
              </w:rPr>
              <w:t xml:space="preserve">Status</w:t>
            </w:r>
          </w:p>
        </w:tc>
        <w:tc>
          <w:tcPr>
            <w:tcW w:type="dxa" w:w="7230"/>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Idea validated. No identical NSW product found. Build MVP.</w:t>
            </w:r>
          </w:p>
        </w:tc>
      </w:tr>
    </w:tbl>
    <w:p>
      <w:pPr>
        <w:spacing w:after="160" w:before="360" w:line="276"/>
      </w:pPr>
      <w:r>
        <w:rPr>
          <w:rFonts w:ascii="Arial" w:cs="Arial" w:eastAsia="Arial" w:hAnsi="Arial"/>
          <w:i/>
          <w:iCs/>
          <w:color w:val="5B6570"/>
          <w:sz w:val="18"/>
          <w:szCs w:val="18"/>
        </w:rPr>
        <w:t xml:space="preserve">This document is a planning artefact, not official UAC or university advice. Selection ranks change every year. Prerequisites must be re-checked against the current UAC course listing before any student preference list is submitted.</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Bdr>
          <w:bottom w:val="single" w:color="1B365D" w:sz="12" w:space="8"/>
        </w:pBdr>
        <w:spacing w:after="200" w:before="0"/>
      </w:pPr>
      <w:r>
        <w:rPr>
          <w:rFonts w:ascii="Arial" w:cs="Arial" w:eastAsia="Arial" w:hAnsi="Arial"/>
          <w:b/>
          <w:bCs/>
          <w:color w:val="1B365D"/>
          <w:sz w:val="32"/>
          <w:szCs w:val="32"/>
        </w:rPr>
        <w:t xml:space="preserve">1. Executive summary</w:t>
      </w:r>
    </w:p>
    <w:p>
      <w:pPr>
        <w:spacing w:after="160" w:before="0" w:line="276"/>
      </w:pPr>
      <w:r>
        <w:rPr>
          <w:rFonts w:ascii="Arial" w:cs="Arial" w:eastAsia="Arial" w:hAnsi="Arial"/>
          <w:color w:val="222222"/>
          <w:sz w:val="22"/>
          <w:szCs w:val="22"/>
        </w:rPr>
        <w:t xml:space="preserve">Parents of academically strong NSW students face a practical problem: hundreds of UAC courses, inconsistent language (prerequisite vs assumed knowledge vs recommended studies), changing lowest selection ranks, and double degrees that add a year and often a few ATAR points. Official tools exist, but none in NSW take a student’s current HSC subject list and return a live, course-level eligibility map.</w:t>
      </w:r>
    </w:p>
    <w:p>
      <w:pPr>
        <w:spacing w:after="160" w:before="0" w:line="276"/>
      </w:pPr>
      <w:r>
        <w:rPr>
          <w:rFonts w:ascii="Arial" w:cs="Arial" w:eastAsia="Arial" w:hAnsi="Arial"/>
          <w:color w:val="222222"/>
          <w:sz w:val="22"/>
          <w:szCs w:val="22"/>
        </w:rPr>
        <w:t xml:space="preserve">Victoria already has this interaction. VTAC’s VCE Prerequisite Explorer lets a student enter Units 3 and 4 studies and list every course those subjects make them eligible for. UAC’s Subject Compass works in the opposite direction (interests → subjects). UAC’s Course Compass maps a profile to fields of study, not to named degrees. Course Seeker compares courses nationally once you already know what to search.</w:t>
      </w:r>
    </w:p>
    <w:p>
      <w:pPr>
        <w:spacing w:after="160" w:before="0" w:line="276"/>
      </w:pPr>
      <w:r>
        <w:rPr>
          <w:rFonts w:ascii="Arial" w:cs="Arial" w:eastAsia="Arial" w:hAnsi="Arial"/>
          <w:color w:val="222222"/>
          <w:sz w:val="22"/>
          <w:szCs w:val="22"/>
        </w:rPr>
        <w:t xml:space="preserve">PathwayPlan NSW is the missing NSW version of the Victorian explorer, plus three things Victoria does not do well for families: double-degree duration, a Western Sydney commute view, and an honest “what this subject drop closes” panel.</w:t>
      </w:r>
    </w:p>
    <w:p>
      <w:pPr>
        <w:pStyle w:val="Heading2"/>
        <w:spacing w:after="120" w:before="280"/>
      </w:pPr>
      <w:r>
        <w:rPr>
          <w:rFonts w:ascii="Arial" w:cs="Arial" w:eastAsia="Arial" w:hAnsi="Arial"/>
          <w:b/>
          <w:bCs/>
          <w:color w:val="0F6C6C"/>
          <w:sz w:val="26"/>
          <w:szCs w:val="26"/>
        </w:rPr>
        <w:t xml:space="preserve">Decision</w:t>
      </w:r>
    </w:p>
    <w:p>
      <w:pPr>
        <w:pStyle w:val="ListParagraph"/>
        <w:numPr>
          <w:ilvl w:val="0"/>
          <w:numId w:val="2"/>
        </w:numPr>
        <w:spacing w:after="80" w:line="260"/>
      </w:pPr>
      <w:r>
        <w:rPr>
          <w:rFonts w:ascii="Arial" w:cs="Arial" w:eastAsia="Arial" w:hAnsi="Arial"/>
          <w:b/>
          <w:bCs/>
          <w:color w:val="222222"/>
          <w:sz w:val="21"/>
          <w:szCs w:val="21"/>
        </w:rPr>
        <w:t xml:space="preserve">Build it. </w:t>
      </w:r>
      <w:r>
        <w:rPr>
          <w:rFonts w:ascii="Arial" w:cs="Arial" w:eastAsia="Arial" w:hAnsi="Arial"/>
          <w:color w:val="222222"/>
          <w:sz w:val="21"/>
          <w:szCs w:val="21"/>
        </w:rPr>
        <w:t xml:space="preserve">The gap is real and specific.</w:t>
      </w:r>
    </w:p>
    <w:p>
      <w:pPr>
        <w:pStyle w:val="ListParagraph"/>
        <w:numPr>
          <w:ilvl w:val="0"/>
          <w:numId w:val="2"/>
        </w:numPr>
        <w:spacing w:after="80" w:line="260"/>
      </w:pPr>
      <w:r>
        <w:rPr>
          <w:rFonts w:ascii="Arial" w:cs="Arial" w:eastAsia="Arial" w:hAnsi="Arial"/>
          <w:b/>
          <w:bCs/>
          <w:color w:val="222222"/>
          <w:sz w:val="21"/>
          <w:szCs w:val="21"/>
        </w:rPr>
        <w:t xml:space="preserve">Do not build a generic course catalogue. </w:t>
      </w:r>
      <w:r>
        <w:rPr>
          <w:rFonts w:ascii="Arial" w:cs="Arial" w:eastAsia="Arial" w:hAnsi="Arial"/>
          <w:color w:val="222222"/>
          <w:sz w:val="21"/>
          <w:szCs w:val="21"/>
        </w:rPr>
        <w:t xml:space="preserve">That market is owned by UAC, Course Seeker and university sites.</w:t>
      </w:r>
    </w:p>
    <w:p>
      <w:pPr>
        <w:pStyle w:val="ListParagraph"/>
        <w:numPr>
          <w:ilvl w:val="0"/>
          <w:numId w:val="2"/>
        </w:numPr>
        <w:spacing w:after="80" w:line="260"/>
      </w:pPr>
      <w:r>
        <w:rPr>
          <w:rFonts w:ascii="Arial" w:cs="Arial" w:eastAsia="Arial" w:hAnsi="Arial"/>
          <w:b/>
          <w:bCs/>
          <w:color w:val="222222"/>
          <w:sz w:val="21"/>
          <w:szCs w:val="21"/>
        </w:rPr>
        <w:t xml:space="preserve">Win on one loop: </w:t>
      </w:r>
      <w:r>
        <w:rPr>
          <w:rFonts w:ascii="Arial" w:cs="Arial" w:eastAsia="Arial" w:hAnsi="Arial"/>
          <w:color w:val="222222"/>
          <w:sz w:val="21"/>
          <w:szCs w:val="21"/>
        </w:rPr>
        <w:t xml:space="preserve">tick subjects → see eligible / bridging / blocked courses update in real time.</w:t>
      </w:r>
    </w:p>
    <w:p>
      <w:pPr>
        <w:pStyle w:val="ListParagraph"/>
        <w:numPr>
          <w:ilvl w:val="0"/>
          <w:numId w:val="2"/>
        </w:numPr>
        <w:spacing w:after="80" w:line="260"/>
      </w:pPr>
      <w:r>
        <w:rPr>
          <w:rFonts w:ascii="Arial" w:cs="Arial" w:eastAsia="Arial" w:hAnsi="Arial"/>
          <w:b/>
          <w:bCs/>
          <w:color w:val="222222"/>
          <w:sz w:val="21"/>
          <w:szCs w:val="21"/>
        </w:rPr>
        <w:t xml:space="preserve">Ship NSW-only. </w:t>
      </w:r>
      <w:r>
        <w:rPr>
          <w:rFonts w:ascii="Arial" w:cs="Arial" w:eastAsia="Arial" w:hAnsi="Arial"/>
          <w:color w:val="222222"/>
          <w:sz w:val="21"/>
          <w:szCs w:val="21"/>
        </w:rPr>
        <w:t xml:space="preserve">Six universities and ~80 high-demand courses is enough for a useful Year 11 meeting.</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2. The problem</w:t>
      </w:r>
    </w:p>
    <w:p>
      <w:pPr>
        <w:pStyle w:val="Heading2"/>
        <w:spacing w:after="120" w:before="280"/>
      </w:pPr>
      <w:r>
        <w:rPr>
          <w:rFonts w:ascii="Arial" w:cs="Arial" w:eastAsia="Arial" w:hAnsi="Arial"/>
          <w:b/>
          <w:bCs/>
          <w:color w:val="0F6C6C"/>
          <w:sz w:val="26"/>
          <w:szCs w:val="26"/>
        </w:rPr>
        <w:t xml:space="preserve">What families actually get stuck on</w:t>
      </w:r>
    </w:p>
    <w:p>
      <w:pPr>
        <w:pStyle w:val="ListParagraph"/>
        <w:numPr>
          <w:ilvl w:val="0"/>
          <w:numId w:val="2"/>
        </w:numPr>
        <w:spacing w:after="80" w:line="260"/>
      </w:pPr>
      <w:r>
        <w:rPr>
          <w:rFonts w:ascii="Arial" w:cs="Arial" w:eastAsia="Arial" w:hAnsi="Arial"/>
          <w:color w:val="222222"/>
          <w:sz w:val="21"/>
          <w:szCs w:val="21"/>
        </w:rPr>
        <w:t xml:space="preserve">Is Mathematics Standard enough, or do we need Advanced / Extension 1?</w:t>
      </w:r>
    </w:p>
    <w:p>
      <w:pPr>
        <w:pStyle w:val="ListParagraph"/>
        <w:numPr>
          <w:ilvl w:val="0"/>
          <w:numId w:val="2"/>
        </w:numPr>
        <w:spacing w:after="80" w:line="260"/>
      </w:pPr>
      <w:r>
        <w:rPr>
          <w:rFonts w:ascii="Arial" w:cs="Arial" w:eastAsia="Arial" w:hAnsi="Arial"/>
          <w:color w:val="222222"/>
          <w:sz w:val="21"/>
          <w:szCs w:val="21"/>
        </w:rPr>
        <w:t xml:space="preserve">If he drops Physics, which engineering streams die?</w:t>
      </w:r>
    </w:p>
    <w:p>
      <w:pPr>
        <w:pStyle w:val="ListParagraph"/>
        <w:numPr>
          <w:ilvl w:val="0"/>
          <w:numId w:val="2"/>
        </w:numPr>
        <w:spacing w:after="80" w:line="260"/>
      </w:pPr>
      <w:r>
        <w:rPr>
          <w:rFonts w:ascii="Arial" w:cs="Arial" w:eastAsia="Arial" w:hAnsi="Arial"/>
          <w:color w:val="222222"/>
          <w:sz w:val="21"/>
          <w:szCs w:val="21"/>
        </w:rPr>
        <w:t xml:space="preserve">What is the difference between a prerequisite and assumed knowledge?</w:t>
      </w:r>
    </w:p>
    <w:p>
      <w:pPr>
        <w:pStyle w:val="ListParagraph"/>
        <w:numPr>
          <w:ilvl w:val="0"/>
          <w:numId w:val="2"/>
        </w:numPr>
        <w:spacing w:after="80" w:line="260"/>
      </w:pPr>
      <w:r>
        <w:rPr>
          <w:rFonts w:ascii="Arial" w:cs="Arial" w:eastAsia="Arial" w:hAnsi="Arial"/>
          <w:color w:val="222222"/>
          <w:sz w:val="21"/>
          <w:szCs w:val="21"/>
        </w:rPr>
        <w:t xml:space="preserve">Does a double degree take five years or six, and does it need a higher ATAR?</w:t>
      </w:r>
    </w:p>
    <w:p>
      <w:pPr>
        <w:pStyle w:val="ListParagraph"/>
        <w:numPr>
          <w:ilvl w:val="0"/>
          <w:numId w:val="2"/>
        </w:numPr>
        <w:spacing w:after="80" w:line="260"/>
      </w:pPr>
      <w:r>
        <w:rPr>
          <w:rFonts w:ascii="Arial" w:cs="Arial" w:eastAsia="Arial" w:hAnsi="Arial"/>
          <w:color w:val="222222"/>
          <w:sz w:val="21"/>
          <w:szCs w:val="21"/>
        </w:rPr>
        <w:t xml:space="preserve">UNSW vs Sydney vs UTS vs Macquarie — for this subject set, not in the abstract.</w:t>
      </w:r>
    </w:p>
    <w:p>
      <w:pPr>
        <w:pStyle w:val="ListParagraph"/>
        <w:numPr>
          <w:ilvl w:val="0"/>
          <w:numId w:val="2"/>
        </w:numPr>
        <w:spacing w:after="80" w:line="260"/>
      </w:pPr>
      <w:r>
        <w:rPr>
          <w:rFonts w:ascii="Arial" w:cs="Arial" w:eastAsia="Arial" w:hAnsi="Arial"/>
          <w:color w:val="222222"/>
          <w:sz w:val="21"/>
          <w:szCs w:val="21"/>
        </w:rPr>
        <w:t xml:space="preserve">Is Computer Science still a sensible primary plan if AI is automating junior coding?</w:t>
      </w:r>
    </w:p>
    <w:p>
      <w:pPr>
        <w:pStyle w:val="ListParagraph"/>
        <w:numPr>
          <w:ilvl w:val="0"/>
          <w:numId w:val="2"/>
        </w:numPr>
        <w:spacing w:after="80" w:line="260"/>
      </w:pPr>
      <w:r>
        <w:rPr>
          <w:rFonts w:ascii="Arial" w:cs="Arial" w:eastAsia="Arial" w:hAnsi="Arial"/>
          <w:color w:val="222222"/>
          <w:sz w:val="21"/>
          <w:szCs w:val="21"/>
        </w:rPr>
        <w:t xml:space="preserve">How do early entry, SRS, HSC Plus and Gateway change the picture?</w:t>
      </w:r>
    </w:p>
    <w:p>
      <w:pPr>
        <w:pStyle w:val="Heading2"/>
        <w:spacing w:after="120" w:before="280"/>
      </w:pPr>
      <w:r>
        <w:rPr>
          <w:rFonts w:ascii="Arial" w:cs="Arial" w:eastAsia="Arial" w:hAnsi="Arial"/>
          <w:b/>
          <w:bCs/>
          <w:color w:val="0F6C6C"/>
          <w:sz w:val="26"/>
          <w:szCs w:val="26"/>
        </w:rPr>
        <w:t xml:space="preserve">Why the official handbook fails parents</w:t>
      </w:r>
    </w:p>
    <w:p>
      <w:pPr>
        <w:spacing w:after="160" w:before="0" w:line="276"/>
      </w:pPr>
      <w:r>
        <w:rPr>
          <w:rFonts w:ascii="Arial" w:cs="Arial" w:eastAsia="Arial" w:hAnsi="Arial"/>
          <w:color w:val="222222"/>
          <w:sz w:val="22"/>
          <w:szCs w:val="22"/>
        </w:rPr>
        <w:t xml:space="preserve">The UAC Year 10 booklet and course search are accurate and necessary. They are not a planner. A parent must open a course, read a dense assumed-knowledge line, remember what their child is studying, then repeat that fifty times. Nothing recalculates when Extension 2 is unticked. Nothing warns that Standard + Extension 1 is an illegal HSC combination. Nothing shows two degrees side by side with duration and last year’s selection rank.</w:t>
      </w:r>
    </w:p>
    <w:p>
      <w:pPr>
        <w:pStyle w:val="Heading2"/>
        <w:spacing w:after="120" w:before="280"/>
      </w:pPr>
      <w:r>
        <w:rPr>
          <w:rFonts w:ascii="Arial" w:cs="Arial" w:eastAsia="Arial" w:hAnsi="Arial"/>
          <w:b/>
          <w:bCs/>
          <w:color w:val="0F6C6C"/>
          <w:sz w:val="26"/>
          <w:szCs w:val="26"/>
        </w:rPr>
        <w:t xml:space="preserve">Who feels this most</w:t>
      </w:r>
    </w:p>
    <w:p>
      <w:pPr>
        <w:spacing w:after="160" w:before="0" w:line="276"/>
      </w:pPr>
      <w:r>
        <w:rPr>
          <w:rFonts w:ascii="Arial" w:cs="Arial" w:eastAsia="Arial" w:hAnsi="Arial"/>
          <w:color w:val="222222"/>
          <w:sz w:val="22"/>
          <w:szCs w:val="22"/>
        </w:rPr>
        <w:t xml:space="preserve">Selective-school and high-ATAR comprehensive families in Sydney, especially Western Sydney. Students at schools such as Girraween already go to university at very high rates (recent published destinations concentrated at UNSW, Macquarie and Sydney). The decision is not “university or not”. It is which door, which campus, and which combination keeps a strong student from accidentally closing Engineering or Advanced Computing in Year 11.</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3. Is there already a website like this?</w:t>
      </w:r>
    </w:p>
    <w:p>
      <w:pPr>
        <w:spacing w:after="160" w:before="0" w:line="276"/>
      </w:pPr>
      <w:r>
        <w:rPr>
          <w:rFonts w:ascii="Arial" w:cs="Arial" w:eastAsia="Arial" w:hAnsi="Arial"/>
          <w:color w:val="222222"/>
          <w:sz w:val="22"/>
          <w:szCs w:val="22"/>
        </w:rPr>
        <w:t xml:space="preserve">Short answer: there is no NSW product that does the full loop. There is a close official equivalent in Victoria, and a set of adjacent Australian tools that cover pieces of the job.</w:t>
      </w:r>
    </w:p>
    <w:p>
      <w:pPr>
        <w:pStyle w:val="Heading2"/>
        <w:spacing w:after="120" w:before="280"/>
      </w:pPr>
      <w:r>
        <w:rPr>
          <w:rFonts w:ascii="Arial" w:cs="Arial" w:eastAsia="Arial" w:hAnsi="Arial"/>
          <w:b/>
          <w:bCs/>
          <w:color w:val="0F6C6C"/>
          <w:sz w:val="26"/>
          <w:szCs w:val="26"/>
        </w:rPr>
        <w:t xml:space="preserve">Closest match — and it is not in NSW</w:t>
      </w:r>
    </w:p>
    <w:p>
      <w:pPr>
        <w:spacing w:after="160" w:before="0" w:line="276"/>
      </w:pPr>
      <w:r>
        <w:rPr>
          <w:rFonts w:ascii="Arial" w:cs="Arial" w:eastAsia="Arial" w:hAnsi="Arial"/>
          <w:b/>
          <w:bCs/>
          <w:color w:val="222222"/>
          <w:sz w:val="22"/>
          <w:szCs w:val="22"/>
        </w:rPr>
        <w:t xml:space="preserve">VTAC VCE Prerequisite Explorer </w:t>
      </w:r>
      <w:r>
        <w:rPr>
          <w:rFonts w:ascii="Arial" w:cs="Arial" w:eastAsia="Arial" w:hAnsi="Arial"/>
          <w:color w:val="222222"/>
          <w:sz w:val="22"/>
          <w:szCs w:val="22"/>
        </w:rPr>
        <w:t xml:space="preserve">(inside CourseSearch) is the product to copy in spirit. A Year 10–12 student enters a proposed VCE program and can filter to courses they are eligible for, given those subjects. It is official, statewide, and updated with each intake year. NSW has no UAC equivalent of this explorer.</w:t>
      </w:r>
    </w:p>
    <w:p>
      <w:pPr>
        <w:pStyle w:val="Heading2"/>
        <w:spacing w:after="120" w:before="280"/>
      </w:pPr>
      <w:r>
        <w:rPr>
          <w:rFonts w:ascii="Arial" w:cs="Arial" w:eastAsia="Arial" w:hAnsi="Arial"/>
          <w:b/>
          <w:bCs/>
          <w:color w:val="0F6C6C"/>
          <w:sz w:val="26"/>
          <w:szCs w:val="26"/>
        </w:rPr>
        <w:t xml:space="preserve">Competitor and adjacent-tool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8"/>
        <w:gridCol w:w="2410"/>
        <w:gridCol w:w="2410"/>
        <w:gridCol w:w="2410"/>
      </w:tblGrid>
      <w:tr>
        <w:trPr>
          <w:tblHeader/>
        </w:trPr>
        <w:tc>
          <w:tcPr>
            <w:tcW w:type="dxa" w:w="2408"/>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Tool</w:t>
            </w:r>
          </w:p>
        </w:tc>
        <w:tc>
          <w:tcPr>
            <w:tcW w:type="dxa" w:w="2410"/>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What it does</w:t>
            </w:r>
          </w:p>
        </w:tc>
        <w:tc>
          <w:tcPr>
            <w:tcW w:type="dxa" w:w="2410"/>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What it does not do</w:t>
            </w:r>
          </w:p>
        </w:tc>
        <w:tc>
          <w:tcPr>
            <w:tcW w:type="dxa" w:w="2410"/>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Threat to us</w:t>
            </w:r>
          </w:p>
        </w:tc>
      </w:tr>
      <w:tr>
        <w:tc>
          <w:tcPr>
            <w:tcW w:type="dxa" w:w="240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UAC Subject Compass</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Interests / career → suggested HSC subjects + ATAR eligibility check.</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Does not output universities or named degrees.</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Low. Opposite direction to our loop.</w:t>
            </w:r>
          </w:p>
        </w:tc>
      </w:tr>
      <w:tr>
        <w:tc>
          <w:tcPr>
            <w:tcW w:type="dxa" w:w="2408"/>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UAC Course Compass</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Subjects + ATAR band → historical fields of study from past applicants.</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Fields only, not B Engineering (Mechatronic) at UNSW. No live eligibility engine.</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Medium for awareness. Weak on the job we own.</w:t>
            </w:r>
          </w:p>
        </w:tc>
      </w:tr>
      <w:tr>
        <w:tc>
          <w:tcPr>
            <w:tcW w:type="dxa" w:w="240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UAC ATAR Compass</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Estimated HSC marks → estimated ATAR using official scaling history.</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No course matching.</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Partner, not rival. Link out.</w:t>
            </w:r>
          </w:p>
        </w:tc>
      </w:tr>
      <w:tr>
        <w:tc>
          <w:tcPr>
            <w:tcW w:type="dxa" w:w="2408"/>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UAC course search + Year 10 booklet</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Authoritative course list, LSR, prerequisites, assumed knowledge.</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Not subject-first. Not realtime. Hard for parents.</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Source of truth we must cite, not replace.</w:t>
            </w:r>
          </w:p>
        </w:tc>
      </w:tr>
      <w:tr>
        <w:tc>
          <w:tcPr>
            <w:tcW w:type="dxa" w:w="240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Course Seeker</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National compare of 8,500+ undergraduate courses; ATAR, location, outcomes.</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Search-first, not subject-first. No HSC combination engine.</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Use as the compare step after our shortlist.</w:t>
            </w:r>
          </w:p>
        </w:tc>
      </w:tr>
      <w:tr>
        <w:tc>
          <w:tcPr>
            <w:tcW w:type="dxa" w:w="2408"/>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ComparED / QILT</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Graduate outcomes and student experience by provider and study area.</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No subject mapping.</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Data feed for our outcomes panel.</w:t>
            </w:r>
          </w:p>
        </w:tc>
      </w:tr>
      <w:tr>
        <w:tc>
          <w:tcPr>
            <w:tcW w:type="dxa" w:w="240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myfuture / Your Career</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Occupation interest quizzes and labour-market snapshots.</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Not UAC-course specific.</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Low.</w:t>
            </w:r>
          </w:p>
        </w:tc>
      </w:tr>
      <w:tr>
        <w:tc>
          <w:tcPr>
            <w:tcW w:type="dxa" w:w="2408"/>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Good Universities Guide</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Course and career browse with ratings.</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Not an HSC eligibility planner.</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Low.</w:t>
            </w:r>
          </w:p>
        </w:tc>
      </w:tr>
      <w:tr>
        <w:tc>
          <w:tcPr>
            <w:tcW w:type="dxa" w:w="240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University degree finders (UNSW, USYD, UTS, MQ)</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Accurate local rules, adjustment schemes, open days.</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One institution at a time. No cross-uni subject matrix.</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Must deep-link to their pages.</w:t>
            </w:r>
          </w:p>
        </w:tc>
      </w:tr>
      <w:tr>
        <w:tc>
          <w:tcPr>
            <w:tcW w:type="dxa" w:w="2408"/>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Macquarie Academic Entry lookup</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HSC band results → MQ early-entry style course matches.</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One university. Bands, not a full subject set vs all Sydney unis.</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Feature to emulate later for SRS/early entry.</w:t>
            </w:r>
          </w:p>
        </w:tc>
      </w:tr>
      <w:tr>
        <w:tc>
          <w:tcPr>
            <w:tcW w:type="dxa" w:w="2408"/>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bCs/>
                <w:color w:val="222222"/>
                <w:sz w:val="17"/>
                <w:szCs w:val="17"/>
              </w:rPr>
              <w:t xml:space="preserve">VTAC Prerequisite Explorer</w:t>
            </w:r>
          </w:p>
        </w:tc>
        <w:tc>
          <w:tcPr>
            <w:tcW w:type="dxa" w:w="2410"/>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Enter VCE studies → list courses you are eligible for. Official.</w:t>
            </w:r>
          </w:p>
        </w:tc>
        <w:tc>
          <w:tcPr>
            <w:tcW w:type="dxa" w:w="2410"/>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Victoria only. Thin on doubles, commute, AI-era framing.</w:t>
            </w:r>
          </w:p>
        </w:tc>
        <w:tc>
          <w:tcPr>
            <w:tcW w:type="dxa" w:w="2410"/>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Proof the interaction works. Our NSW counterpart.</w:t>
            </w:r>
          </w:p>
        </w:tc>
      </w:tr>
      <w:tr>
        <w:tc>
          <w:tcPr>
            <w:tcW w:type="dxa" w:w="240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Deakin / RMIT “find a course by ATAR”</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ATAR number → that university’s courses.</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ATAR-first, single institution, mostly Victorian.</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Low in NSW.</w:t>
            </w:r>
          </w:p>
        </w:tc>
      </w:tr>
      <w:tr>
        <w:tc>
          <w:tcPr>
            <w:tcW w:type="dxa" w:w="2408"/>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ATAR calculators (PolarBear, ATARCalculator.net)</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Scaling explainers and mark-to-ATAR estimates.</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Not eligibility engines. Some NSW ATAR estimates are limited because UAC does not publish full mark-to-ATAR mappings.</w:t>
            </w:r>
          </w:p>
        </w:tc>
        <w:tc>
          <w:tcPr>
            <w:tcW w:type="dxa" w:w="2410"/>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Complementary. Do not compete on fake precision.</w:t>
            </w:r>
          </w:p>
        </w:tc>
      </w:tr>
      <w:tr>
        <w:tc>
          <w:tcPr>
            <w:tcW w:type="dxa" w:w="240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Tutoring blogs (KIS Academics etc.)</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“Subjects to pick for medicine / engineering” articles.</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Static advice. Not personalised, not live.</w:t>
            </w:r>
          </w:p>
        </w:tc>
        <w:tc>
          <w:tcPr>
            <w:tcW w:type="dxa" w:w="24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SEO competitors for content, not for the planner.</w:t>
            </w:r>
          </w:p>
        </w:tc>
      </w:tr>
    </w:tbl>
    <w:p>
      <w:pPr>
        <w:pStyle w:val="Heading2"/>
        <w:spacing w:after="120" w:before="280"/>
      </w:pPr>
      <w:r>
        <w:rPr>
          <w:rFonts w:ascii="Arial" w:cs="Arial" w:eastAsia="Arial" w:hAnsi="Arial"/>
          <w:b/>
          <w:bCs/>
          <w:color w:val="0F6C6C"/>
          <w:sz w:val="26"/>
          <w:szCs w:val="26"/>
        </w:rPr>
        <w:t xml:space="preserve">Positioning sentence</w:t>
      </w:r>
    </w:p>
    <w:p>
      <w:pPr>
        <w:spacing w:after="160" w:before="0" w:line="276"/>
      </w:pPr>
      <w:r>
        <w:rPr>
          <w:rFonts w:ascii="Arial" w:cs="Arial" w:eastAsia="Arial" w:hAnsi="Arial"/>
          <w:color w:val="222222"/>
          <w:sz w:val="22"/>
          <w:szCs w:val="22"/>
        </w:rPr>
        <w:t xml:space="preserve">PathwayPlan is the NSW subject-to-course eligibility planner that UAC did not build. It is not another ATAR calculator, not a personality quiz, and not a national catalogue.</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4. Product vision</w:t>
      </w:r>
    </w:p>
    <w:p>
      <w:pPr>
        <w:pStyle w:val="Heading2"/>
        <w:spacing w:after="120" w:before="280"/>
      </w:pPr>
      <w:r>
        <w:rPr>
          <w:rFonts w:ascii="Arial" w:cs="Arial" w:eastAsia="Arial" w:hAnsi="Arial"/>
          <w:b/>
          <w:bCs/>
          <w:color w:val="0F6C6C"/>
          <w:sz w:val="26"/>
          <w:szCs w:val="26"/>
        </w:rPr>
        <w:t xml:space="preserve">Job to be done</w:t>
      </w:r>
    </w:p>
    <w:p>
      <w:pPr>
        <w:spacing w:after="160" w:before="0" w:line="276"/>
      </w:pPr>
      <w:r>
        <w:rPr>
          <w:rFonts w:ascii="Arial" w:cs="Arial" w:eastAsia="Arial" w:hAnsi="Arial"/>
          <w:color w:val="222222"/>
          <w:sz w:val="22"/>
          <w:szCs w:val="22"/>
        </w:rPr>
        <w:t xml:space="preserve">When a Year 11 student changes a subject, a parent wants to know — in under two minutes — which university courses stay open, which need a bridging course, and which are now blocked.</w:t>
      </w:r>
    </w:p>
    <w:p>
      <w:pPr>
        <w:pStyle w:val="Heading2"/>
        <w:spacing w:after="120" w:before="280"/>
      </w:pPr>
      <w:r>
        <w:rPr>
          <w:rFonts w:ascii="Arial" w:cs="Arial" w:eastAsia="Arial" w:hAnsi="Arial"/>
          <w:b/>
          <w:bCs/>
          <w:color w:val="0F6C6C"/>
          <w:sz w:val="26"/>
          <w:szCs w:val="26"/>
        </w:rPr>
        <w:t xml:space="preserve">Working name and alternatives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Name</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Tone</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Note</w:t>
            </w:r>
          </w:p>
        </w:tc>
      </w:tr>
      <w:tr>
        <w:tc>
          <w:tcPr>
            <w:tcW w:type="dxa" w:w="3212"/>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bCs/>
                <w:color w:val="222222"/>
                <w:sz w:val="18"/>
                <w:szCs w:val="18"/>
              </w:rPr>
              <w:t xml:space="preserve">PathwayPlan NSW</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Plain, institutional</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Recommended working name. Easy to explain to careers advisers.</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OpenDoors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Warmer</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Good tagline word; weaker as a .edu-adjacent brand.</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SubjectPath</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Literal</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Clear, slightly dry.</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DoorKeep</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Sharp</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Memorable; may need explanation.</w:t>
            </w:r>
          </w:p>
        </w:tc>
      </w:tr>
    </w:tbl>
    <w:p>
      <w:pPr>
        <w:pStyle w:val="Heading2"/>
        <w:spacing w:after="120" w:before="280"/>
      </w:pPr>
      <w:r>
        <w:rPr>
          <w:rFonts w:ascii="Arial" w:cs="Arial" w:eastAsia="Arial" w:hAnsi="Arial"/>
          <w:b/>
          <w:bCs/>
          <w:color w:val="0F6C6C"/>
          <w:sz w:val="26"/>
          <w:szCs w:val="26"/>
        </w:rPr>
        <w:t xml:space="preserve">Principles</w:t>
      </w:r>
    </w:p>
    <w:p>
      <w:pPr>
        <w:pStyle w:val="ListParagraph"/>
        <w:numPr>
          <w:ilvl w:val="0"/>
          <w:numId w:val="2"/>
        </w:numPr>
        <w:spacing w:after="80" w:line="260"/>
      </w:pPr>
      <w:r>
        <w:rPr>
          <w:rFonts w:ascii="Arial" w:cs="Arial" w:eastAsia="Arial" w:hAnsi="Arial"/>
          <w:b/>
          <w:bCs/>
          <w:color w:val="222222"/>
          <w:sz w:val="21"/>
          <w:szCs w:val="21"/>
        </w:rPr>
        <w:t xml:space="preserve">Subject-first, not career-quiz-first. </w:t>
      </w:r>
      <w:r>
        <w:rPr>
          <w:rFonts w:ascii="Arial" w:cs="Arial" w:eastAsia="Arial" w:hAnsi="Arial"/>
          <w:color w:val="222222"/>
          <w:sz w:val="21"/>
          <w:szCs w:val="21"/>
        </w:rPr>
        <w:t xml:space="preserve">Start from what the student is already studying.</w:t>
      </w:r>
    </w:p>
    <w:p>
      <w:pPr>
        <w:pStyle w:val="ListParagraph"/>
        <w:numPr>
          <w:ilvl w:val="0"/>
          <w:numId w:val="2"/>
        </w:numPr>
        <w:spacing w:after="80" w:line="260"/>
      </w:pPr>
      <w:r>
        <w:rPr>
          <w:rFonts w:ascii="Arial" w:cs="Arial" w:eastAsia="Arial" w:hAnsi="Arial"/>
          <w:b/>
          <w:bCs/>
          <w:color w:val="222222"/>
          <w:sz w:val="21"/>
          <w:szCs w:val="21"/>
        </w:rPr>
        <w:t xml:space="preserve">Traffic lights beat essays. </w:t>
      </w:r>
      <w:r>
        <w:rPr>
          <w:rFonts w:ascii="Arial" w:cs="Arial" w:eastAsia="Arial" w:hAnsi="Arial"/>
          <w:color w:val="222222"/>
          <w:sz w:val="21"/>
          <w:szCs w:val="21"/>
        </w:rPr>
        <w:t xml:space="preserve">Eligible / assumed gap / blocked, then the paragraph.</w:t>
      </w:r>
    </w:p>
    <w:p>
      <w:pPr>
        <w:pStyle w:val="ListParagraph"/>
        <w:numPr>
          <w:ilvl w:val="0"/>
          <w:numId w:val="2"/>
        </w:numPr>
        <w:spacing w:after="80" w:line="260"/>
      </w:pPr>
      <w:r>
        <w:rPr>
          <w:rFonts w:ascii="Arial" w:cs="Arial" w:eastAsia="Arial" w:hAnsi="Arial"/>
          <w:b/>
          <w:bCs/>
          <w:color w:val="222222"/>
          <w:sz w:val="21"/>
          <w:szCs w:val="21"/>
        </w:rPr>
        <w:t xml:space="preserve">Show the cost of a change. </w:t>
      </w:r>
      <w:r>
        <w:rPr>
          <w:rFonts w:ascii="Arial" w:cs="Arial" w:eastAsia="Arial" w:hAnsi="Arial"/>
          <w:color w:val="222222"/>
          <w:sz w:val="21"/>
          <w:szCs w:val="21"/>
        </w:rPr>
        <w:t xml:space="preserve">Unticking Physics must immediately hide or redden engineering streams.</w:t>
      </w:r>
    </w:p>
    <w:p>
      <w:pPr>
        <w:pStyle w:val="ListParagraph"/>
        <w:numPr>
          <w:ilvl w:val="0"/>
          <w:numId w:val="2"/>
        </w:numPr>
        <w:spacing w:after="80" w:line="260"/>
      </w:pPr>
      <w:r>
        <w:rPr>
          <w:rFonts w:ascii="Arial" w:cs="Arial" w:eastAsia="Arial" w:hAnsi="Arial"/>
          <w:b/>
          <w:bCs/>
          <w:color w:val="222222"/>
          <w:sz w:val="21"/>
          <w:szCs w:val="21"/>
        </w:rPr>
        <w:t xml:space="preserve">Cite the rule. </w:t>
      </w:r>
      <w:r>
        <w:rPr>
          <w:rFonts w:ascii="Arial" w:cs="Arial" w:eastAsia="Arial" w:hAnsi="Arial"/>
          <w:color w:val="222222"/>
          <w:sz w:val="21"/>
          <w:szCs w:val="21"/>
        </w:rPr>
        <w:t xml:space="preserve">Every red or amber cell links to the source sentence and the date it was captured.</w:t>
      </w:r>
    </w:p>
    <w:p>
      <w:pPr>
        <w:pStyle w:val="ListParagraph"/>
        <w:numPr>
          <w:ilvl w:val="0"/>
          <w:numId w:val="2"/>
        </w:numPr>
        <w:spacing w:after="80" w:line="260"/>
      </w:pPr>
      <w:r>
        <w:rPr>
          <w:rFonts w:ascii="Arial" w:cs="Arial" w:eastAsia="Arial" w:hAnsi="Arial"/>
          <w:b/>
          <w:bCs/>
          <w:color w:val="222222"/>
          <w:sz w:val="21"/>
          <w:szCs w:val="21"/>
        </w:rPr>
        <w:t xml:space="preserve">Never predict an offer. </w:t>
      </w:r>
      <w:r>
        <w:rPr>
          <w:rFonts w:ascii="Arial" w:cs="Arial" w:eastAsia="Arial" w:hAnsi="Arial"/>
          <w:color w:val="222222"/>
          <w:sz w:val="21"/>
          <w:szCs w:val="21"/>
        </w:rPr>
        <w:t xml:space="preserve">Last year’s lowest selection rank is history, labelled as history.</w:t>
      </w:r>
    </w:p>
    <w:p>
      <w:pPr>
        <w:pStyle w:val="ListParagraph"/>
        <w:numPr>
          <w:ilvl w:val="0"/>
          <w:numId w:val="2"/>
        </w:numPr>
        <w:spacing w:after="80" w:line="260"/>
      </w:pPr>
      <w:r>
        <w:rPr>
          <w:rFonts w:ascii="Arial" w:cs="Arial" w:eastAsia="Arial" w:hAnsi="Arial"/>
          <w:b/>
          <w:bCs/>
          <w:color w:val="222222"/>
          <w:sz w:val="21"/>
          <w:szCs w:val="21"/>
        </w:rPr>
        <w:t xml:space="preserve">NSW-only until the engine is trusted. </w:t>
      </w:r>
      <w:r>
        <w:rPr>
          <w:rFonts w:ascii="Arial" w:cs="Arial" w:eastAsia="Arial" w:hAnsi="Arial"/>
          <w:color w:val="222222"/>
          <w:sz w:val="21"/>
          <w:szCs w:val="21"/>
        </w:rPr>
        <w:t xml:space="preserve">Wrong data in one state is better than wrong data in eight.</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5. Users and scenarios</w:t>
      </w:r>
    </w:p>
    <w:p>
      <w:pPr>
        <w:pStyle w:val="Heading2"/>
        <w:spacing w:after="120" w:before="280"/>
      </w:pPr>
      <w:r>
        <w:rPr>
          <w:rFonts w:ascii="Arial" w:cs="Arial" w:eastAsia="Arial" w:hAnsi="Arial"/>
          <w:b/>
          <w:bCs/>
          <w:color w:val="0F6C6C"/>
          <w:sz w:val="26"/>
          <w:szCs w:val="26"/>
        </w:rPr>
        <w:t xml:space="preserve">Primary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User</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Context</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Success looks like</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Year 11 student at a selective or high-ATAR school</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Choosing or confirming Year 12 units. Offered Ext 2. Unsure about load.</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Sees that Ext 2 is optional for most engineering if Ext 1 is kept, but Physics is not.</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Parent / carer</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Western Sydney, time-poor, anxious about “wrong” subject drop.</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Leaves a 15-minute session with a 1-page PDF for the careers meeting.</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School careers adviser</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30-minute individual meeting, many students.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Uses the planner on a screen, exports the same PDF into the student’s file.</w:t>
            </w:r>
          </w:p>
        </w:tc>
      </w:tr>
    </w:tbl>
    <w:p>
      <w:pPr>
        <w:pStyle w:val="Heading2"/>
        <w:spacing w:after="120" w:before="280"/>
      </w:pPr>
      <w:r>
        <w:rPr>
          <w:rFonts w:ascii="Arial" w:cs="Arial" w:eastAsia="Arial" w:hAnsi="Arial"/>
          <w:b/>
          <w:bCs/>
          <w:color w:val="0F6C6C"/>
          <w:sz w:val="26"/>
          <w:szCs w:val="26"/>
        </w:rPr>
        <w:t xml:space="preserve">Secondary users later</w:t>
      </w:r>
    </w:p>
    <w:p>
      <w:pPr>
        <w:pStyle w:val="ListParagraph"/>
        <w:numPr>
          <w:ilvl w:val="0"/>
          <w:numId w:val="2"/>
        </w:numPr>
        <w:spacing w:after="80" w:line="260"/>
      </w:pPr>
      <w:r>
        <w:rPr>
          <w:rFonts w:ascii="Arial" w:cs="Arial" w:eastAsia="Arial" w:hAnsi="Arial"/>
          <w:color w:val="222222"/>
          <w:sz w:val="21"/>
          <w:szCs w:val="21"/>
        </w:rPr>
        <w:t xml:space="preserve">Year 10 students choosing a preliminary pattern.</w:t>
      </w:r>
    </w:p>
    <w:p>
      <w:pPr>
        <w:pStyle w:val="ListParagraph"/>
        <w:numPr>
          <w:ilvl w:val="0"/>
          <w:numId w:val="2"/>
        </w:numPr>
        <w:spacing w:after="80" w:line="260"/>
      </w:pPr>
      <w:r>
        <w:rPr>
          <w:rFonts w:ascii="Arial" w:cs="Arial" w:eastAsia="Arial" w:hAnsi="Arial"/>
          <w:color w:val="222222"/>
          <w:sz w:val="21"/>
          <w:szCs w:val="21"/>
        </w:rPr>
        <w:t xml:space="preserve">Year 12 students building a UAC preference list.</w:t>
      </w:r>
    </w:p>
    <w:p>
      <w:pPr>
        <w:pStyle w:val="ListParagraph"/>
        <w:numPr>
          <w:ilvl w:val="0"/>
          <w:numId w:val="2"/>
        </w:numPr>
        <w:spacing w:after="80" w:line="260"/>
      </w:pPr>
      <w:r>
        <w:rPr>
          <w:rFonts w:ascii="Arial" w:cs="Arial" w:eastAsia="Arial" w:hAnsi="Arial"/>
          <w:color w:val="222222"/>
          <w:sz w:val="21"/>
          <w:szCs w:val="21"/>
        </w:rPr>
        <w:t xml:space="preserve">Independent careers consultants.</w:t>
      </w:r>
    </w:p>
    <w:p>
      <w:pPr>
        <w:pStyle w:val="Heading2"/>
        <w:spacing w:after="120" w:before="280"/>
      </w:pPr>
      <w:r>
        <w:rPr>
          <w:rFonts w:ascii="Arial" w:cs="Arial" w:eastAsia="Arial" w:hAnsi="Arial"/>
          <w:b/>
          <w:bCs/>
          <w:color w:val="0F6C6C"/>
          <w:sz w:val="26"/>
          <w:szCs w:val="26"/>
        </w:rPr>
        <w:t xml:space="preserve">Anti-users (do not design for them in v1)</w:t>
      </w:r>
    </w:p>
    <w:p>
      <w:pPr>
        <w:pStyle w:val="ListParagraph"/>
        <w:numPr>
          <w:ilvl w:val="0"/>
          <w:numId w:val="2"/>
        </w:numPr>
        <w:spacing w:after="80" w:line="260"/>
      </w:pPr>
      <w:r>
        <w:rPr>
          <w:rFonts w:ascii="Arial" w:cs="Arial" w:eastAsia="Arial" w:hAnsi="Arial"/>
          <w:color w:val="222222"/>
          <w:sz w:val="21"/>
          <w:szCs w:val="21"/>
        </w:rPr>
        <w:t xml:space="preserve">International students and CRICOS / visa pathways.</w:t>
      </w:r>
    </w:p>
    <w:p>
      <w:pPr>
        <w:pStyle w:val="ListParagraph"/>
        <w:numPr>
          <w:ilvl w:val="0"/>
          <w:numId w:val="2"/>
        </w:numPr>
        <w:spacing w:after="80" w:line="260"/>
      </w:pPr>
      <w:r>
        <w:rPr>
          <w:rFonts w:ascii="Arial" w:cs="Arial" w:eastAsia="Arial" w:hAnsi="Arial"/>
          <w:color w:val="222222"/>
          <w:sz w:val="21"/>
          <w:szCs w:val="21"/>
        </w:rPr>
        <w:t xml:space="preserve">Adult non-Year-12 applicants.</w:t>
      </w:r>
    </w:p>
    <w:p>
      <w:pPr>
        <w:pStyle w:val="ListParagraph"/>
        <w:numPr>
          <w:ilvl w:val="0"/>
          <w:numId w:val="2"/>
        </w:numPr>
        <w:spacing w:after="80" w:line="260"/>
      </w:pPr>
      <w:r>
        <w:rPr>
          <w:rFonts w:ascii="Arial" w:cs="Arial" w:eastAsia="Arial" w:hAnsi="Arial"/>
          <w:color w:val="222222"/>
          <w:sz w:val="21"/>
          <w:szCs w:val="21"/>
        </w:rPr>
        <w:t xml:space="preserve">VET-only pathways as the primary journey.</w:t>
      </w:r>
    </w:p>
    <w:p>
      <w:pPr>
        <w:pStyle w:val="ListParagraph"/>
        <w:numPr>
          <w:ilvl w:val="0"/>
          <w:numId w:val="2"/>
        </w:numPr>
        <w:spacing w:after="80" w:line="260"/>
      </w:pPr>
      <w:r>
        <w:rPr>
          <w:rFonts w:ascii="Arial" w:cs="Arial" w:eastAsia="Arial" w:hAnsi="Arial"/>
          <w:color w:val="222222"/>
          <w:sz w:val="21"/>
          <w:szCs w:val="21"/>
        </w:rPr>
        <w:t xml:space="preserve">Interstate Year 12 systems (VCE, QCE, WACE).</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6. Core user journeys</w:t>
      </w:r>
    </w:p>
    <w:p>
      <w:pPr>
        <w:pStyle w:val="Heading2"/>
        <w:spacing w:after="120" w:before="280"/>
      </w:pPr>
      <w:r>
        <w:rPr>
          <w:rFonts w:ascii="Arial" w:cs="Arial" w:eastAsia="Arial" w:hAnsi="Arial"/>
          <w:b/>
          <w:bCs/>
          <w:color w:val="0F6C6C"/>
          <w:sz w:val="26"/>
          <w:szCs w:val="26"/>
        </w:rPr>
        <w:t xml:space="preserve">Journey A — Year 11 subject stress test (hero journey)</w:t>
      </w:r>
    </w:p>
    <w:p>
      <w:pPr>
        <w:pStyle w:val="ListParagraph"/>
        <w:numPr>
          <w:ilvl w:val="0"/>
          <w:numId w:val="3"/>
        </w:numPr>
        <w:spacing w:after="80" w:line="260"/>
      </w:pPr>
      <w:r>
        <w:rPr>
          <w:rFonts w:ascii="Arial" w:cs="Arial" w:eastAsia="Arial" w:hAnsi="Arial"/>
          <w:color w:val="222222"/>
          <w:sz w:val="21"/>
          <w:szCs w:val="21"/>
        </w:rPr>
        <w:t xml:space="preserve">Lands on homepage. Chooses Year 11, NSW, 2028 university start.</w:t>
      </w:r>
    </w:p>
    <w:p>
      <w:pPr>
        <w:pStyle w:val="ListParagraph"/>
        <w:numPr>
          <w:ilvl w:val="0"/>
          <w:numId w:val="3"/>
        </w:numPr>
        <w:spacing w:after="80" w:line="260"/>
      </w:pPr>
      <w:r>
        <w:rPr>
          <w:rFonts w:ascii="Arial" w:cs="Arial" w:eastAsia="Arial" w:hAnsi="Arial"/>
          <w:color w:val="222222"/>
          <w:sz w:val="21"/>
          <w:szCs w:val="21"/>
        </w:rPr>
        <w:t xml:space="preserve">Ticks current subjects. Invalid combinations are blocked in the picker (Standard + Ext 1 cannot both be on).</w:t>
      </w:r>
    </w:p>
    <w:p>
      <w:pPr>
        <w:pStyle w:val="ListParagraph"/>
        <w:numPr>
          <w:ilvl w:val="0"/>
          <w:numId w:val="3"/>
        </w:numPr>
        <w:spacing w:after="80" w:line="260"/>
      </w:pPr>
      <w:r>
        <w:rPr>
          <w:rFonts w:ascii="Arial" w:cs="Arial" w:eastAsia="Arial" w:hAnsi="Arial"/>
          <w:color w:val="222222"/>
          <w:sz w:val="21"/>
          <w:szCs w:val="21"/>
        </w:rPr>
        <w:t xml:space="preserve">Optionally enters home suburb and an estimated ATAR band (80–85 / 85–90 / 90–95 / 95+).</w:t>
      </w:r>
    </w:p>
    <w:p>
      <w:pPr>
        <w:pStyle w:val="ListParagraph"/>
        <w:numPr>
          <w:ilvl w:val="0"/>
          <w:numId w:val="3"/>
        </w:numPr>
        <w:spacing w:after="80" w:line="260"/>
      </w:pPr>
      <w:r>
        <w:rPr>
          <w:rFonts w:ascii="Arial" w:cs="Arial" w:eastAsia="Arial" w:hAnsi="Arial"/>
          <w:color w:val="222222"/>
          <w:sz w:val="21"/>
          <w:szCs w:val="21"/>
        </w:rPr>
        <w:t xml:space="preserve">Results page groups courses: Open, Open with assumed-knowledge gap, Blocked.</w:t>
      </w:r>
    </w:p>
    <w:p>
      <w:pPr>
        <w:pStyle w:val="ListParagraph"/>
        <w:numPr>
          <w:ilvl w:val="0"/>
          <w:numId w:val="3"/>
        </w:numPr>
        <w:spacing w:after="80" w:line="260"/>
      </w:pPr>
      <w:r>
        <w:rPr>
          <w:rFonts w:ascii="Arial" w:cs="Arial" w:eastAsia="Arial" w:hAnsi="Arial"/>
          <w:color w:val="222222"/>
          <w:sz w:val="21"/>
          <w:szCs w:val="21"/>
        </w:rPr>
        <w:t xml:space="preserve">Student unticks Physics. Engineering rows flip to amber or red with the exact missing rule.</w:t>
      </w:r>
    </w:p>
    <w:p>
      <w:pPr>
        <w:pStyle w:val="ListParagraph"/>
        <w:numPr>
          <w:ilvl w:val="0"/>
          <w:numId w:val="3"/>
        </w:numPr>
        <w:spacing w:after="80" w:line="260"/>
      </w:pPr>
      <w:r>
        <w:rPr>
          <w:rFonts w:ascii="Arial" w:cs="Arial" w:eastAsia="Arial" w:hAnsi="Arial"/>
          <w:color w:val="222222"/>
          <w:sz w:val="21"/>
          <w:szCs w:val="21"/>
        </w:rPr>
        <w:t xml:space="preserve">Student toggles “doubles only”. Duration and extra year are visible.</w:t>
      </w:r>
    </w:p>
    <w:p>
      <w:pPr>
        <w:pStyle w:val="ListParagraph"/>
        <w:numPr>
          <w:ilvl w:val="0"/>
          <w:numId w:val="3"/>
        </w:numPr>
        <w:spacing w:after="80" w:line="260"/>
      </w:pPr>
      <w:r>
        <w:rPr>
          <w:rFonts w:ascii="Arial" w:cs="Arial" w:eastAsia="Arial" w:hAnsi="Arial"/>
          <w:color w:val="222222"/>
          <w:sz w:val="21"/>
          <w:szCs w:val="21"/>
        </w:rPr>
        <w:t xml:space="preserve">Exports a one-page summary for parents / careers adviser.</w:t>
      </w:r>
    </w:p>
    <w:p>
      <w:pPr>
        <w:pStyle w:val="Heading2"/>
        <w:spacing w:after="120" w:before="280"/>
      </w:pPr>
      <w:r>
        <w:rPr>
          <w:rFonts w:ascii="Arial" w:cs="Arial" w:eastAsia="Arial" w:hAnsi="Arial"/>
          <w:b/>
          <w:bCs/>
          <w:color w:val="0F6C6C"/>
          <w:sz w:val="26"/>
          <w:szCs w:val="26"/>
        </w:rPr>
        <w:t xml:space="preserve">Journey B — Parent arriving cold</w:t>
      </w:r>
    </w:p>
    <w:p>
      <w:pPr>
        <w:spacing w:after="160" w:before="0" w:line="276"/>
      </w:pPr>
      <w:r>
        <w:rPr>
          <w:rFonts w:ascii="Arial" w:cs="Arial" w:eastAsia="Arial" w:hAnsi="Arial"/>
          <w:color w:val="222222"/>
          <w:sz w:val="22"/>
          <w:szCs w:val="22"/>
        </w:rPr>
        <w:t xml:space="preserve">Short explainer at the top: prerequisite vs assumed knowledge vs recommended studies, in four sentences. Then the same picker. Parent never has to create an account.</w:t>
      </w:r>
    </w:p>
    <w:p>
      <w:pPr>
        <w:pStyle w:val="Heading2"/>
        <w:spacing w:after="120" w:before="280"/>
      </w:pPr>
      <w:r>
        <w:rPr>
          <w:rFonts w:ascii="Arial" w:cs="Arial" w:eastAsia="Arial" w:hAnsi="Arial"/>
          <w:b/>
          <w:bCs/>
          <w:color w:val="0F6C6C"/>
          <w:sz w:val="26"/>
          <w:szCs w:val="26"/>
        </w:rPr>
        <w:t xml:space="preserve">Journey C — Careers adviser in a meeting</w:t>
      </w:r>
    </w:p>
    <w:p>
      <w:pPr>
        <w:spacing w:after="160" w:before="0" w:line="276"/>
      </w:pPr>
      <w:r>
        <w:rPr>
          <w:rFonts w:ascii="Arial" w:cs="Arial" w:eastAsia="Arial" w:hAnsi="Arial"/>
          <w:color w:val="222222"/>
          <w:sz w:val="22"/>
          <w:szCs w:val="22"/>
        </w:rPr>
        <w:t xml:space="preserve">Same planner, plus a “school mode” that hides marketing and shows the data-as-of date in the footer of the export. No login in MVP; a later school licence can add saved student records.</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7. Information architecture and screens</w:t>
      </w:r>
    </w:p>
    <w:p>
      <w:pPr>
        <w:pStyle w:val="Heading2"/>
        <w:spacing w:after="120" w:before="280"/>
      </w:pPr>
      <w:r>
        <w:rPr>
          <w:rFonts w:ascii="Arial" w:cs="Arial" w:eastAsia="Arial" w:hAnsi="Arial"/>
          <w:b/>
          <w:bCs/>
          <w:color w:val="0F6C6C"/>
          <w:sz w:val="26"/>
          <w:szCs w:val="26"/>
        </w:rPr>
        <w:t xml:space="preserve">Sitemap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Route</w:t>
            </w:r>
          </w:p>
        </w:tc>
        <w:tc>
          <w:tcPr>
            <w:tcW w:type="dxa" w:w="6426"/>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Purpose</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t>
            </w:r>
          </w:p>
        </w:tc>
        <w:tc>
          <w:tcPr>
            <w:tcW w:type="dxa" w:w="642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Promise, 30-second explainer, start planner CTA, trust line (not UAC).</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/plan</w:t>
            </w:r>
          </w:p>
        </w:tc>
        <w:tc>
          <w:tcPr>
            <w:tcW w:type="dxa" w:w="6426"/>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Subject picker + optional filters. Sticky results panel.</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/plan#results</w:t>
            </w:r>
          </w:p>
        </w:tc>
        <w:tc>
          <w:tcPr>
            <w:tcW w:type="dxa" w:w="642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Live course cards. Filters: uni, duration, double, field, ATAR band.</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/course/:id</w:t>
            </w:r>
          </w:p>
        </w:tc>
        <w:tc>
          <w:tcPr>
            <w:tcW w:type="dxa" w:w="6426"/>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One course: rules, last LSR, duration, campus, official link, AI-skill note.</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/compare</w:t>
            </w:r>
          </w:p>
        </w:tc>
        <w:tc>
          <w:tcPr>
            <w:tcW w:type="dxa" w:w="642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Up to 3 saved courses side by side.</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/guides/prerequisites</w:t>
            </w:r>
          </w:p>
        </w:tc>
        <w:tc>
          <w:tcPr>
            <w:tcW w:type="dxa" w:w="6426"/>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Plain-English rules. Required for trust and SEO.</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/guides/doubles</w:t>
            </w:r>
          </w:p>
        </w:tc>
        <w:tc>
          <w:tcPr>
            <w:tcW w:type="dxa" w:w="642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When a double degree is worth the extra year.</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/guides/ai-and-degrees</w:t>
            </w:r>
          </w:p>
        </w:tc>
        <w:tc>
          <w:tcPr>
            <w:tcW w:type="dxa" w:w="6426"/>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Sober framing. No “AI-proof career” claims.</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/about</w:t>
            </w:r>
          </w:p>
        </w:tc>
        <w:tc>
          <w:tcPr>
            <w:tcW w:type="dxa" w:w="642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Who built this, data sources, update date, disclaimer.</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/for-schools</w:t>
            </w:r>
          </w:p>
        </w:tc>
        <w:tc>
          <w:tcPr>
            <w:tcW w:type="dxa" w:w="6426"/>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One pager for careers advisers. Later: licence.</w:t>
            </w:r>
          </w:p>
        </w:tc>
      </w:tr>
    </w:tbl>
    <w:p>
      <w:pPr>
        <w:pStyle w:val="Heading2"/>
        <w:spacing w:after="120" w:before="280"/>
      </w:pPr>
      <w:r>
        <w:rPr>
          <w:rFonts w:ascii="Arial" w:cs="Arial" w:eastAsia="Arial" w:hAnsi="Arial"/>
          <w:b/>
          <w:bCs/>
          <w:color w:val="0F6C6C"/>
          <w:sz w:val="26"/>
          <w:szCs w:val="26"/>
        </w:rPr>
        <w:t xml:space="preserve">Planner screen — layout</w:t>
      </w:r>
    </w:p>
    <w:p>
      <w:pPr>
        <w:pStyle w:val="ListParagraph"/>
        <w:numPr>
          <w:ilvl w:val="0"/>
          <w:numId w:val="2"/>
        </w:numPr>
        <w:spacing w:after="80" w:line="260"/>
      </w:pPr>
      <w:r>
        <w:rPr>
          <w:rFonts w:ascii="Arial" w:cs="Arial" w:eastAsia="Arial" w:hAnsi="Arial"/>
          <w:color w:val="222222"/>
          <w:sz w:val="21"/>
          <w:szCs w:val="21"/>
        </w:rPr>
        <w:t xml:space="preserve">Left (or top on mobile): subject chips grouped English / Maths / Science / HSIE / TAS / Other.</w:t>
      </w:r>
    </w:p>
    <w:p>
      <w:pPr>
        <w:pStyle w:val="ListParagraph"/>
        <w:numPr>
          <w:ilvl w:val="0"/>
          <w:numId w:val="2"/>
        </w:numPr>
        <w:spacing w:after="80" w:line="260"/>
      </w:pPr>
      <w:r>
        <w:rPr>
          <w:rFonts w:ascii="Arial" w:cs="Arial" w:eastAsia="Arial" w:hAnsi="Arial"/>
          <w:color w:val="222222"/>
          <w:sz w:val="21"/>
          <w:szCs w:val="21"/>
        </w:rPr>
        <w:t xml:space="preserve">Maths chips are mutually exclusive by pathway: Standard 1/2 vs Advanced vs Advanced+Ext1 vs Advanced+Ext1+Ext2.</w:t>
      </w:r>
    </w:p>
    <w:p>
      <w:pPr>
        <w:pStyle w:val="ListParagraph"/>
        <w:numPr>
          <w:ilvl w:val="0"/>
          <w:numId w:val="2"/>
        </w:numPr>
        <w:spacing w:after="80" w:line="260"/>
      </w:pPr>
      <w:r>
        <w:rPr>
          <w:rFonts w:ascii="Arial" w:cs="Arial" w:eastAsia="Arial" w:hAnsi="Arial"/>
          <w:color w:val="222222"/>
          <w:sz w:val="21"/>
          <w:szCs w:val="21"/>
        </w:rPr>
        <w:t xml:space="preserve">Right: result counts (Open 42 · Gap 11 · Blocked 27) and course cards.</w:t>
      </w:r>
    </w:p>
    <w:p>
      <w:pPr>
        <w:pStyle w:val="ListParagraph"/>
        <w:numPr>
          <w:ilvl w:val="0"/>
          <w:numId w:val="2"/>
        </w:numPr>
        <w:spacing w:after="80" w:line="260"/>
      </w:pPr>
      <w:r>
        <w:rPr>
          <w:rFonts w:ascii="Arial" w:cs="Arial" w:eastAsia="Arial" w:hAnsi="Arial"/>
          <w:color w:val="222222"/>
          <w:sz w:val="21"/>
          <w:szCs w:val="21"/>
        </w:rPr>
        <w:t xml:space="preserve">Each card: university mark, course name, duration, last published selection rank range, traffic light, one-line “why this status”, official handbook link.</w:t>
      </w:r>
    </w:p>
    <w:p>
      <w:pPr>
        <w:pStyle w:val="Heading2"/>
        <w:spacing w:after="120" w:before="280"/>
      </w:pPr>
      <w:r>
        <w:rPr>
          <w:rFonts w:ascii="Arial" w:cs="Arial" w:eastAsia="Arial" w:hAnsi="Arial"/>
          <w:b/>
          <w:bCs/>
          <w:color w:val="0F6C6C"/>
          <w:sz w:val="26"/>
          <w:szCs w:val="26"/>
        </w:rPr>
        <w:t xml:space="preserve">Course card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Status</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Meaning</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UI</w:t>
            </w:r>
          </w:p>
        </w:tc>
      </w:tr>
      <w:tr>
        <w:tc>
          <w:tcPr>
            <w:tcW w:type="dxa" w:w="3212"/>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bCs/>
                <w:color w:val="222222"/>
                <w:sz w:val="18"/>
                <w:szCs w:val="18"/>
              </w:rPr>
              <w:t xml:space="preserve">Open</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All published prerequisites met by the ticked subjects. Assumed knowledge also present.</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Green badge. Sort near top if ATAR band is plausible.</w:t>
            </w:r>
          </w:p>
        </w:tc>
      </w:tr>
      <w:tr>
        <w:tc>
          <w:tcPr>
            <w:tcW w:type="dxa" w:w="3212"/>
            <w:tcBorders>
              <w:top w:val="single" w:color="D0D5DD" w:sz="4"/>
              <w:left w:val="single" w:color="D0D5DD" w:sz="4"/>
              <w:bottom w:val="single" w:color="D0D5DD" w:sz="4"/>
              <w:right w:val="single" w:color="D0D5DD" w:sz="4"/>
            </w:tcBorders>
            <w:shd w:fill="FFF4D6" w:val="clear"/>
            <w:tcMar>
              <w:top w:type="dxa" w:w="60"/>
              <w:left w:type="dxa" w:w="80"/>
              <w:bottom w:type="dxa" w:w="60"/>
              <w:right w:type="dxa" w:w="80"/>
            </w:tcMar>
            <w:vAlign w:val="center"/>
          </w:tcPr>
          <w:p>
            <w:r>
              <w:rPr>
                <w:rFonts w:ascii="Arial" w:cs="Arial" w:eastAsia="Arial" w:hAnsi="Arial"/>
                <w:b/>
                <w:bCs/>
                <w:color w:val="222222"/>
                <w:sz w:val="18"/>
                <w:szCs w:val="18"/>
              </w:rPr>
              <w:t xml:space="preserve">Assumed gap</w:t>
            </w:r>
          </w:p>
        </w:tc>
        <w:tc>
          <w:tcPr>
            <w:tcW w:type="dxa" w:w="3213"/>
            <w:tcBorders>
              <w:top w:val="single" w:color="D0D5DD" w:sz="4"/>
              <w:left w:val="single" w:color="D0D5DD" w:sz="4"/>
              <w:bottom w:val="single" w:color="D0D5DD" w:sz="4"/>
              <w:right w:val="single" w:color="D0D5DD" w:sz="4"/>
            </w:tcBorders>
            <w:shd w:fill="FFF4D6"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Can legally receive an offer, but the university assumes a subject the student has not ticked. Bridging likely.</w:t>
            </w:r>
          </w:p>
        </w:tc>
        <w:tc>
          <w:tcPr>
            <w:tcW w:type="dxa" w:w="3213"/>
            <w:tcBorders>
              <w:top w:val="single" w:color="D0D5DD" w:sz="4"/>
              <w:left w:val="single" w:color="D0D5DD" w:sz="4"/>
              <w:bottom w:val="single" w:color="D0D5DD" w:sz="4"/>
              <w:right w:val="single" w:color="D0D5DD" w:sz="4"/>
            </w:tcBorders>
            <w:shd w:fill="FFF4D6"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Amber badge + “bridging likely” note.</w:t>
            </w:r>
          </w:p>
        </w:tc>
      </w:tr>
      <w:tr>
        <w:tc>
          <w:tcPr>
            <w:tcW w:type="dxa" w:w="3212"/>
            <w:tcBorders>
              <w:top w:val="single" w:color="D0D5DD" w:sz="4"/>
              <w:left w:val="single" w:color="D0D5DD" w:sz="4"/>
              <w:bottom w:val="single" w:color="D0D5DD" w:sz="4"/>
              <w:right w:val="single" w:color="D0D5DD" w:sz="4"/>
            </w:tcBorders>
            <w:shd w:fill="FDECEC" w:val="clear"/>
            <w:tcMar>
              <w:top w:type="dxa" w:w="60"/>
              <w:left w:type="dxa" w:w="80"/>
              <w:bottom w:type="dxa" w:w="60"/>
              <w:right w:type="dxa" w:w="80"/>
            </w:tcMar>
            <w:vAlign w:val="center"/>
          </w:tcPr>
          <w:p>
            <w:r>
              <w:rPr>
                <w:rFonts w:ascii="Arial" w:cs="Arial" w:eastAsia="Arial" w:hAnsi="Arial"/>
                <w:b/>
                <w:bCs/>
                <w:color w:val="222222"/>
                <w:sz w:val="18"/>
                <w:szCs w:val="18"/>
              </w:rPr>
              <w:t xml:space="preserve">Blocked</w:t>
            </w:r>
          </w:p>
        </w:tc>
        <w:tc>
          <w:tcPr>
            <w:tcW w:type="dxa" w:w="3213"/>
            <w:tcBorders>
              <w:top w:val="single" w:color="D0D5DD" w:sz="4"/>
              <w:left w:val="single" w:color="D0D5DD" w:sz="4"/>
              <w:bottom w:val="single" w:color="D0D5DD" w:sz="4"/>
              <w:right w:val="single" w:color="D0D5DD" w:sz="4"/>
            </w:tcBorders>
            <w:shd w:fill="FDECEC"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 published prerequisite is missing. ATAR will not save it.</w:t>
            </w:r>
          </w:p>
        </w:tc>
        <w:tc>
          <w:tcPr>
            <w:tcW w:type="dxa" w:w="3213"/>
            <w:tcBorders>
              <w:top w:val="single" w:color="D0D5DD" w:sz="4"/>
              <w:left w:val="single" w:color="D0D5DD" w:sz="4"/>
              <w:bottom w:val="single" w:color="D0D5DD" w:sz="4"/>
              <w:right w:val="single" w:color="D0D5DD" w:sz="4"/>
            </w:tcBorders>
            <w:shd w:fill="FDECEC"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Red badge + missing subject named.</w:t>
            </w:r>
          </w:p>
        </w:tc>
      </w:tr>
      <w:tr>
        <w:tc>
          <w:tcPr>
            <w:tcW w:type="dxa" w:w="3212"/>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bCs/>
                <w:color w:val="222222"/>
                <w:sz w:val="18"/>
                <w:szCs w:val="18"/>
              </w:rPr>
              <w:t xml:space="preserve">Extra hurdle</w:t>
            </w:r>
          </w:p>
        </w:tc>
        <w:tc>
          <w:tcPr>
            <w:tcW w:type="dxa" w:w="3213"/>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Subjects may be fine; UCAT, interview, portfolio or Co-op sits on top.</w:t>
            </w:r>
          </w:p>
        </w:tc>
        <w:tc>
          <w:tcPr>
            <w:tcW w:type="dxa" w:w="3213"/>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Flag, not a traffic light. Never hide this.</w:t>
            </w:r>
          </w:p>
        </w:tc>
      </w:tr>
    </w:tbl>
    <w:p>
      <w:pPr>
        <w:pStyle w:val="Heading1"/>
        <w:pageBreakBefore/>
        <w:pBdr>
          <w:bottom w:val="single" w:color="1B365D" w:sz="12" w:space="8"/>
        </w:pBdr>
        <w:spacing w:after="200" w:before="0"/>
      </w:pPr>
      <w:r>
        <w:rPr>
          <w:rFonts w:ascii="Arial" w:cs="Arial" w:eastAsia="Arial" w:hAnsi="Arial"/>
          <w:b/>
          <w:bCs/>
          <w:color w:val="1B365D"/>
          <w:sz w:val="32"/>
          <w:szCs w:val="32"/>
        </w:rPr>
        <w:t xml:space="preserve">8. Feature specification</w:t>
      </w:r>
    </w:p>
    <w:p>
      <w:pPr>
        <w:pStyle w:val="Heading2"/>
        <w:spacing w:after="120" w:before="280"/>
      </w:pPr>
      <w:r>
        <w:rPr>
          <w:rFonts w:ascii="Arial" w:cs="Arial" w:eastAsia="Arial" w:hAnsi="Arial"/>
          <w:b/>
          <w:bCs/>
          <w:color w:val="0F6C6C"/>
          <w:sz w:val="26"/>
          <w:szCs w:val="26"/>
        </w:rPr>
        <w:t xml:space="preserve">MVP — must 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Feature</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Detail</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Priority</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HSC subject picker</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All common Board Developed ATAR courses. Enforce illegal combos.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Eligibility engine</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Prerequisite / assumed / recommended evaluated per course.</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Live recalculation</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No submit button. Untick updates the list instantly.</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Doors this closes</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Diff view when a subject is removed.</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Six universities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UNSW, University of Sydney, UTS, Macquarie, Western Sydney, Wollongong.</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High-demand course set</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~80 courses including official combined/double degrees.</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Last published LSR</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Shown as “lowest selection rank, main Year 12 round, year X”.</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Official deep link</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Every card links to UAC course page and uni handbook page.</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PDF / print summary</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One page: subjects, open list, closed list, data date.</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Disclaimer + glossary</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Prerequisite vs assumed vs recommended vs selection rank.</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bCs/>
                <w:color w:val="222222"/>
                <w:sz w:val="17"/>
                <w:szCs w:val="17"/>
              </w:rPr>
              <w:t xml:space="preserve">P0</w:t>
            </w:r>
          </w:p>
        </w:tc>
      </w:tr>
    </w:tbl>
    <w:p>
      <w:pPr>
        <w:pStyle w:val="Heading2"/>
        <w:spacing w:after="120" w:before="280"/>
      </w:pPr>
      <w:r>
        <w:rPr>
          <w:rFonts w:ascii="Arial" w:cs="Arial" w:eastAsia="Arial" w:hAnsi="Arial"/>
          <w:b/>
          <w:bCs/>
          <w:color w:val="0F6C6C"/>
          <w:sz w:val="26"/>
          <w:szCs w:val="26"/>
        </w:rPr>
        <w:t xml:space="preserve">Version 1.1 — should follow quickly</w:t>
      </w:r>
    </w:p>
    <w:p>
      <w:pPr>
        <w:pStyle w:val="ListParagraph"/>
        <w:numPr>
          <w:ilvl w:val="0"/>
          <w:numId w:val="2"/>
        </w:numPr>
        <w:spacing w:after="80" w:line="260"/>
      </w:pPr>
      <w:r>
        <w:rPr>
          <w:rFonts w:ascii="Arial" w:cs="Arial" w:eastAsia="Arial" w:hAnsi="Arial"/>
          <w:color w:val="222222"/>
          <w:sz w:val="21"/>
          <w:szCs w:val="21"/>
        </w:rPr>
        <w:t xml:space="preserve">Suburb / postcode → campus travel time (public transport, peak).</w:t>
      </w:r>
    </w:p>
    <w:p>
      <w:pPr>
        <w:pStyle w:val="ListParagraph"/>
        <w:numPr>
          <w:ilvl w:val="0"/>
          <w:numId w:val="2"/>
        </w:numPr>
        <w:spacing w:after="80" w:line="260"/>
      </w:pPr>
      <w:r>
        <w:rPr>
          <w:rFonts w:ascii="Arial" w:cs="Arial" w:eastAsia="Arial" w:hAnsi="Arial"/>
          <w:color w:val="222222"/>
          <w:sz w:val="21"/>
          <w:szCs w:val="21"/>
        </w:rPr>
        <w:t xml:space="preserve">ATAR band overlay that sorts but never hides Open courses.</w:t>
      </w:r>
    </w:p>
    <w:p>
      <w:pPr>
        <w:pStyle w:val="ListParagraph"/>
        <w:numPr>
          <w:ilvl w:val="0"/>
          <w:numId w:val="2"/>
        </w:numPr>
        <w:spacing w:after="80" w:line="260"/>
      </w:pPr>
      <w:r>
        <w:rPr>
          <w:rFonts w:ascii="Arial" w:cs="Arial" w:eastAsia="Arial" w:hAnsi="Arial"/>
          <w:color w:val="222222"/>
          <w:sz w:val="21"/>
          <w:szCs w:val="21"/>
        </w:rPr>
        <w:t xml:space="preserve">Extra-hurdle flags: UCAT, interview, portfolio, Co-op, Dalyell, HSC Plus, Gateway, SRS.</w:t>
      </w:r>
    </w:p>
    <w:p>
      <w:pPr>
        <w:pStyle w:val="ListParagraph"/>
        <w:numPr>
          <w:ilvl w:val="0"/>
          <w:numId w:val="2"/>
        </w:numPr>
        <w:spacing w:after="80" w:line="260"/>
      </w:pPr>
      <w:r>
        <w:rPr>
          <w:rFonts w:ascii="Arial" w:cs="Arial" w:eastAsia="Arial" w:hAnsi="Arial"/>
          <w:color w:val="222222"/>
          <w:sz w:val="21"/>
          <w:szCs w:val="21"/>
        </w:rPr>
        <w:t xml:space="preserve">Compare tray (3 courses).</w:t>
      </w:r>
    </w:p>
    <w:p>
      <w:pPr>
        <w:pStyle w:val="ListParagraph"/>
        <w:numPr>
          <w:ilvl w:val="0"/>
          <w:numId w:val="2"/>
        </w:numPr>
        <w:spacing w:after="80" w:line="260"/>
      </w:pPr>
      <w:r>
        <w:rPr>
          <w:rFonts w:ascii="Arial" w:cs="Arial" w:eastAsia="Arial" w:hAnsi="Arial"/>
          <w:color w:val="222222"/>
          <w:sz w:val="21"/>
          <w:szCs w:val="21"/>
        </w:rPr>
        <w:t xml:space="preserve">“Keep doors open” recommended Year 11 patterns for Engineering, Computing, Health, Commerce, Law.</w:t>
      </w:r>
    </w:p>
    <w:p>
      <w:pPr>
        <w:pStyle w:val="Heading2"/>
        <w:spacing w:after="120" w:before="280"/>
      </w:pPr>
      <w:r>
        <w:rPr>
          <w:rFonts w:ascii="Arial" w:cs="Arial" w:eastAsia="Arial" w:hAnsi="Arial"/>
          <w:b/>
          <w:bCs/>
          <w:color w:val="0F6C6C"/>
          <w:sz w:val="26"/>
          <w:szCs w:val="26"/>
        </w:rPr>
        <w:t xml:space="preserve">Version 2 — only after data ops are boring</w:t>
      </w:r>
    </w:p>
    <w:p>
      <w:pPr>
        <w:pStyle w:val="ListParagraph"/>
        <w:numPr>
          <w:ilvl w:val="0"/>
          <w:numId w:val="2"/>
        </w:numPr>
        <w:spacing w:after="80" w:line="260"/>
      </w:pPr>
      <w:r>
        <w:rPr>
          <w:rFonts w:ascii="Arial" w:cs="Arial" w:eastAsia="Arial" w:hAnsi="Arial"/>
          <w:color w:val="222222"/>
          <w:sz w:val="21"/>
          <w:szCs w:val="21"/>
        </w:rPr>
        <w:t xml:space="preserve">All UAC undergraduate courses, not a curated 80.</w:t>
      </w:r>
    </w:p>
    <w:p>
      <w:pPr>
        <w:pStyle w:val="ListParagraph"/>
        <w:numPr>
          <w:ilvl w:val="0"/>
          <w:numId w:val="2"/>
        </w:numPr>
        <w:spacing w:after="80" w:line="260"/>
      </w:pPr>
      <w:r>
        <w:rPr>
          <w:rFonts w:ascii="Arial" w:cs="Arial" w:eastAsia="Arial" w:hAnsi="Arial"/>
          <w:color w:val="222222"/>
          <w:sz w:val="21"/>
          <w:szCs w:val="21"/>
        </w:rPr>
        <w:t xml:space="preserve">Early-entry scheme matcher (Macquarie-style band rules, UNSW Gateway, USYD schemes).</w:t>
      </w:r>
    </w:p>
    <w:p>
      <w:pPr>
        <w:pStyle w:val="ListParagraph"/>
        <w:numPr>
          <w:ilvl w:val="0"/>
          <w:numId w:val="2"/>
        </w:numPr>
        <w:spacing w:after="80" w:line="260"/>
      </w:pPr>
      <w:r>
        <w:rPr>
          <w:rFonts w:ascii="Arial" w:cs="Arial" w:eastAsia="Arial" w:hAnsi="Arial"/>
          <w:color w:val="222222"/>
          <w:sz w:val="21"/>
          <w:szCs w:val="21"/>
        </w:rPr>
        <w:t xml:space="preserve">QILT employment and median salary on the course page.</w:t>
      </w:r>
    </w:p>
    <w:p>
      <w:pPr>
        <w:pStyle w:val="ListParagraph"/>
        <w:numPr>
          <w:ilvl w:val="0"/>
          <w:numId w:val="2"/>
        </w:numPr>
        <w:spacing w:after="80" w:line="260"/>
      </w:pPr>
      <w:r>
        <w:rPr>
          <w:rFonts w:ascii="Arial" w:cs="Arial" w:eastAsia="Arial" w:hAnsi="Arial"/>
          <w:color w:val="222222"/>
          <w:sz w:val="21"/>
          <w:szCs w:val="21"/>
        </w:rPr>
        <w:t xml:space="preserve">School workspace for careers advisers.</w:t>
      </w:r>
    </w:p>
    <w:p>
      <w:pPr>
        <w:pStyle w:val="ListParagraph"/>
        <w:numPr>
          <w:ilvl w:val="0"/>
          <w:numId w:val="2"/>
        </w:numPr>
        <w:spacing w:after="80" w:line="260"/>
      </w:pPr>
      <w:r>
        <w:rPr>
          <w:rFonts w:ascii="Arial" w:cs="Arial" w:eastAsia="Arial" w:hAnsi="Arial"/>
          <w:color w:val="222222"/>
          <w:sz w:val="21"/>
          <w:szCs w:val="21"/>
        </w:rPr>
        <w:t xml:space="preserve">Optional AI overlay written as three buckets of work, not a score.</w:t>
      </w:r>
    </w:p>
    <w:p>
      <w:pPr>
        <w:pStyle w:val="ListParagraph"/>
        <w:numPr>
          <w:ilvl w:val="0"/>
          <w:numId w:val="2"/>
        </w:numPr>
        <w:spacing w:after="80" w:line="260"/>
      </w:pPr>
      <w:r>
        <w:rPr>
          <w:rFonts w:ascii="Arial" w:cs="Arial" w:eastAsia="Arial" w:hAnsi="Arial"/>
          <w:color w:val="222222"/>
          <w:sz w:val="21"/>
          <w:szCs w:val="21"/>
        </w:rPr>
        <w:t xml:space="preserve">ANU and ACU as extra institutions.</w:t>
      </w:r>
    </w:p>
    <w:p>
      <w:pPr>
        <w:pStyle w:val="Heading2"/>
        <w:spacing w:after="120" w:before="280"/>
      </w:pPr>
      <w:r>
        <w:rPr>
          <w:rFonts w:ascii="Arial" w:cs="Arial" w:eastAsia="Arial" w:hAnsi="Arial"/>
          <w:b/>
          <w:bCs/>
          <w:color w:val="0F6C6C"/>
          <w:sz w:val="26"/>
          <w:szCs w:val="26"/>
        </w:rPr>
        <w:t xml:space="preserve">Explicit non-goals</w:t>
      </w:r>
    </w:p>
    <w:p>
      <w:pPr>
        <w:pStyle w:val="ListParagraph"/>
        <w:numPr>
          <w:ilvl w:val="0"/>
          <w:numId w:val="4"/>
        </w:numPr>
        <w:spacing w:after="80" w:line="260"/>
      </w:pPr>
      <w:r>
        <w:rPr>
          <w:rFonts w:ascii="Arial" w:cs="Arial" w:eastAsia="Arial" w:hAnsi="Arial"/>
          <w:color w:val="222222"/>
          <w:sz w:val="21"/>
          <w:szCs w:val="21"/>
        </w:rPr>
        <w:t xml:space="preserve">Predicting a student’s ATAR from school assessment marks.</w:t>
      </w:r>
    </w:p>
    <w:p>
      <w:pPr>
        <w:pStyle w:val="ListParagraph"/>
        <w:numPr>
          <w:ilvl w:val="0"/>
          <w:numId w:val="4"/>
        </w:numPr>
        <w:spacing w:after="80" w:line="260"/>
      </w:pPr>
      <w:r>
        <w:rPr>
          <w:rFonts w:ascii="Arial" w:cs="Arial" w:eastAsia="Arial" w:hAnsi="Arial"/>
          <w:color w:val="222222"/>
          <w:sz w:val="21"/>
          <w:szCs w:val="21"/>
        </w:rPr>
        <w:t xml:space="preserve">Guaranteeing an offer.</w:t>
      </w:r>
    </w:p>
    <w:p>
      <w:pPr>
        <w:pStyle w:val="ListParagraph"/>
        <w:numPr>
          <w:ilvl w:val="0"/>
          <w:numId w:val="4"/>
        </w:numPr>
        <w:spacing w:after="80" w:line="260"/>
      </w:pPr>
      <w:r>
        <w:rPr>
          <w:rFonts w:ascii="Arial" w:cs="Arial" w:eastAsia="Arial" w:hAnsi="Arial"/>
          <w:color w:val="222222"/>
          <w:sz w:val="21"/>
          <w:szCs w:val="21"/>
        </w:rPr>
        <w:t xml:space="preserve">Personality or “passion” quizzes as the front door.</w:t>
      </w:r>
    </w:p>
    <w:p>
      <w:pPr>
        <w:pStyle w:val="ListParagraph"/>
        <w:numPr>
          <w:ilvl w:val="0"/>
          <w:numId w:val="4"/>
        </w:numPr>
        <w:spacing w:after="80" w:line="260"/>
      </w:pPr>
      <w:r>
        <w:rPr>
          <w:rFonts w:ascii="Arial" w:cs="Arial" w:eastAsia="Arial" w:hAnsi="Arial"/>
          <w:color w:val="222222"/>
          <w:sz w:val="21"/>
          <w:szCs w:val="21"/>
        </w:rPr>
        <w:t xml:space="preserve">Ranking universities as better or worse.</w:t>
      </w:r>
    </w:p>
    <w:p>
      <w:pPr>
        <w:pStyle w:val="ListParagraph"/>
        <w:numPr>
          <w:ilvl w:val="0"/>
          <w:numId w:val="4"/>
        </w:numPr>
        <w:spacing w:after="80" w:line="260"/>
      </w:pPr>
      <w:r>
        <w:rPr>
          <w:rFonts w:ascii="Arial" w:cs="Arial" w:eastAsia="Arial" w:hAnsi="Arial"/>
          <w:color w:val="222222"/>
          <w:sz w:val="21"/>
          <w:szCs w:val="21"/>
        </w:rPr>
        <w:t xml:space="preserve">Claiming any degree is AI-proof.</w:t>
      </w:r>
    </w:p>
    <w:p>
      <w:pPr>
        <w:pStyle w:val="ListParagraph"/>
        <w:numPr>
          <w:ilvl w:val="0"/>
          <w:numId w:val="4"/>
        </w:numPr>
        <w:spacing w:after="80" w:line="260"/>
      </w:pPr>
      <w:r>
        <w:rPr>
          <w:rFonts w:ascii="Arial" w:cs="Arial" w:eastAsia="Arial" w:hAnsi="Arial"/>
          <w:color w:val="222222"/>
          <w:sz w:val="21"/>
          <w:szCs w:val="21"/>
        </w:rPr>
        <w:t xml:space="preserve">Charging students for the core planner.</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9. Eligibility engine</w:t>
      </w:r>
    </w:p>
    <w:p>
      <w:pPr>
        <w:pStyle w:val="Heading2"/>
        <w:spacing w:after="120" w:before="280"/>
      </w:pPr>
      <w:r>
        <w:rPr>
          <w:rFonts w:ascii="Arial" w:cs="Arial" w:eastAsia="Arial" w:hAnsi="Arial"/>
          <w:b/>
          <w:bCs/>
          <w:color w:val="0F6C6C"/>
          <w:sz w:val="26"/>
          <w:szCs w:val="26"/>
        </w:rPr>
        <w:t xml:space="preserve">Rule types stored per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Field</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Example</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Effect if missing</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prerequisite_subjects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Mathematics Advanced Band 4, or Ext 1 Band E3+</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Blocked</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assumed_knowledge</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Mathematics Extension 1; Physics</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Assumed gap</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recommended_studies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Engineering Studies, Chemistry</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No status change; shown as a tip</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english_rule</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Any 2 units of English / English Advanced Band x</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Blocked if unmet</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extra_hurdles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UCAT, interview, portfolio</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Flag only</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duration_eftsl</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5.0 years for Eng/Commerce</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Display</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lsr_history</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[{year:2026, lsr:92.00, round:main}]</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Display with year label</w:t>
            </w:r>
          </w:p>
        </w:tc>
      </w:tr>
    </w:tbl>
    <w:p>
      <w:pPr>
        <w:pStyle w:val="Heading2"/>
        <w:spacing w:after="120" w:before="280"/>
      </w:pPr>
      <w:r>
        <w:rPr>
          <w:rFonts w:ascii="Arial" w:cs="Arial" w:eastAsia="Arial" w:hAnsi="Arial"/>
          <w:b/>
          <w:bCs/>
          <w:color w:val="0F6C6C"/>
          <w:sz w:val="26"/>
          <w:szCs w:val="26"/>
        </w:rPr>
        <w:t xml:space="preserve">Maths pathway logic (must be encoded, not left to the user)</w:t>
      </w:r>
    </w:p>
    <w:p>
      <w:pPr>
        <w:spacing w:after="160" w:before="0" w:line="276"/>
      </w:pPr>
      <w:r>
        <w:rPr>
          <w:rFonts w:ascii="Arial" w:cs="Arial" w:eastAsia="Arial" w:hAnsi="Arial"/>
          <w:color w:val="222222"/>
          <w:sz w:val="22"/>
          <w:szCs w:val="22"/>
        </w:rPr>
        <w:t xml:space="preserve">NSW mathematics is a single pathway. The picker must prevent combinations that NESA does not allow.</w:t>
      </w:r>
    </w:p>
    <w:p>
      <w:pPr>
        <w:pStyle w:val="ListParagraph"/>
        <w:numPr>
          <w:ilvl w:val="0"/>
          <w:numId w:val="2"/>
        </w:numPr>
        <w:spacing w:after="80" w:line="260"/>
      </w:pPr>
      <w:r>
        <w:rPr>
          <w:rFonts w:ascii="Arial" w:cs="Arial" w:eastAsia="Arial" w:hAnsi="Arial"/>
          <w:color w:val="222222"/>
          <w:sz w:val="21"/>
          <w:szCs w:val="21"/>
        </w:rPr>
        <w:t xml:space="preserve">Standard and Advanced cannot both be selected.</w:t>
      </w:r>
    </w:p>
    <w:p>
      <w:pPr>
        <w:pStyle w:val="ListParagraph"/>
        <w:numPr>
          <w:ilvl w:val="0"/>
          <w:numId w:val="2"/>
        </w:numPr>
        <w:spacing w:after="80" w:line="260"/>
      </w:pPr>
      <w:r>
        <w:rPr>
          <w:rFonts w:ascii="Arial" w:cs="Arial" w:eastAsia="Arial" w:hAnsi="Arial"/>
          <w:color w:val="222222"/>
          <w:sz w:val="21"/>
          <w:szCs w:val="21"/>
        </w:rPr>
        <w:t xml:space="preserve">Extension 1 requires Advanced.</w:t>
      </w:r>
    </w:p>
    <w:p>
      <w:pPr>
        <w:pStyle w:val="ListParagraph"/>
        <w:numPr>
          <w:ilvl w:val="0"/>
          <w:numId w:val="2"/>
        </w:numPr>
        <w:spacing w:after="80" w:line="260"/>
      </w:pPr>
      <w:r>
        <w:rPr>
          <w:rFonts w:ascii="Arial" w:cs="Arial" w:eastAsia="Arial" w:hAnsi="Arial"/>
          <w:color w:val="222222"/>
          <w:sz w:val="21"/>
          <w:szCs w:val="21"/>
        </w:rPr>
        <w:t xml:space="preserve">Extension 2 requires Advanced + Extension 1 and is Year 12 only.</w:t>
      </w:r>
    </w:p>
    <w:p>
      <w:pPr>
        <w:pStyle w:val="ListParagraph"/>
        <w:numPr>
          <w:ilvl w:val="0"/>
          <w:numId w:val="2"/>
        </w:numPr>
        <w:spacing w:after="80" w:line="260"/>
      </w:pPr>
      <w:r>
        <w:rPr>
          <w:rFonts w:ascii="Arial" w:cs="Arial" w:eastAsia="Arial" w:hAnsi="Arial"/>
          <w:color w:val="222222"/>
          <w:sz w:val="21"/>
          <w:szCs w:val="21"/>
        </w:rPr>
        <w:t xml:space="preserve">If a course requires “Mathematics Advanced Band 4 or Ext 1 Band E3 or Ext 2 Band E3”, treat Ext 1 or Ext 2 as satisfying the Advanced requirement.</w:t>
      </w:r>
    </w:p>
    <w:p>
      <w:pPr>
        <w:pStyle w:val="Heading2"/>
        <w:spacing w:after="120" w:before="280"/>
      </w:pPr>
      <w:r>
        <w:rPr>
          <w:rFonts w:ascii="Arial" w:cs="Arial" w:eastAsia="Arial" w:hAnsi="Arial"/>
          <w:b/>
          <w:bCs/>
          <w:color w:val="0F6C6C"/>
          <w:sz w:val="26"/>
          <w:szCs w:val="26"/>
        </w:rPr>
        <w:t xml:space="preserve">Evaluation order</w:t>
      </w:r>
    </w:p>
    <w:p>
      <w:pPr>
        <w:pStyle w:val="ListParagraph"/>
        <w:numPr>
          <w:ilvl w:val="0"/>
          <w:numId w:val="3"/>
        </w:numPr>
        <w:spacing w:after="80" w:line="260"/>
      </w:pPr>
      <w:r>
        <w:rPr>
          <w:rFonts w:ascii="Arial" w:cs="Arial" w:eastAsia="Arial" w:hAnsi="Arial"/>
          <w:color w:val="222222"/>
          <w:sz w:val="21"/>
          <w:szCs w:val="21"/>
        </w:rPr>
        <w:t xml:space="preserve">If any prerequisite fails → Blocked.</w:t>
      </w:r>
    </w:p>
    <w:p>
      <w:pPr>
        <w:pStyle w:val="ListParagraph"/>
        <w:numPr>
          <w:ilvl w:val="0"/>
          <w:numId w:val="3"/>
        </w:numPr>
        <w:spacing w:after="80" w:line="260"/>
      </w:pPr>
      <w:r>
        <w:rPr>
          <w:rFonts w:ascii="Arial" w:cs="Arial" w:eastAsia="Arial" w:hAnsi="Arial"/>
          <w:color w:val="222222"/>
          <w:sz w:val="21"/>
          <w:szCs w:val="21"/>
        </w:rPr>
        <w:t xml:space="preserve">Else if any assumed-knowledge subject is missing → Assumed gap.</w:t>
      </w:r>
    </w:p>
    <w:p>
      <w:pPr>
        <w:pStyle w:val="ListParagraph"/>
        <w:numPr>
          <w:ilvl w:val="0"/>
          <w:numId w:val="3"/>
        </w:numPr>
        <w:spacing w:after="80" w:line="260"/>
      </w:pPr>
      <w:r>
        <w:rPr>
          <w:rFonts w:ascii="Arial" w:cs="Arial" w:eastAsia="Arial" w:hAnsi="Arial"/>
          <w:color w:val="222222"/>
          <w:sz w:val="21"/>
          <w:szCs w:val="21"/>
        </w:rPr>
        <w:t xml:space="preserve">Else → Open.</w:t>
      </w:r>
    </w:p>
    <w:p>
      <w:pPr>
        <w:pStyle w:val="ListParagraph"/>
        <w:numPr>
          <w:ilvl w:val="0"/>
          <w:numId w:val="3"/>
        </w:numPr>
        <w:spacing w:after="80" w:line="260"/>
      </w:pPr>
      <w:r>
        <w:rPr>
          <w:rFonts w:ascii="Arial" w:cs="Arial" w:eastAsia="Arial" w:hAnsi="Arial"/>
          <w:color w:val="222222"/>
          <w:sz w:val="21"/>
          <w:szCs w:val="21"/>
        </w:rPr>
        <w:t xml:space="preserve">Attach extra-hurdle flags in all three states.</w:t>
      </w:r>
    </w:p>
    <w:p>
      <w:pPr>
        <w:pStyle w:val="Heading2"/>
        <w:spacing w:after="120" w:before="280"/>
      </w:pPr>
      <w:r>
        <w:rPr>
          <w:rFonts w:ascii="Arial" w:cs="Arial" w:eastAsia="Arial" w:hAnsi="Arial"/>
          <w:b/>
          <w:bCs/>
          <w:color w:val="0F6C6C"/>
          <w:sz w:val="26"/>
          <w:szCs w:val="26"/>
        </w:rPr>
        <w:t xml:space="preserve">Worked example — Girraween Year 11 profile</w:t>
      </w:r>
    </w:p>
    <w:p>
      <w:pPr>
        <w:spacing w:after="160" w:before="0" w:line="276"/>
      </w:pPr>
      <w:r>
        <w:rPr>
          <w:rFonts w:ascii="Arial" w:cs="Arial" w:eastAsia="Arial" w:hAnsi="Arial"/>
          <w:color w:val="222222"/>
          <w:sz w:val="22"/>
          <w:szCs w:val="22"/>
        </w:rPr>
        <w:t xml:space="preserve">Subjects modelled: English Advanced, Mathematics Advanced, Mathematics Extension 1, Physics, Chemistry, Engineering Studies, Modern or Ancient History. Extension 2 offered but not yet ticked.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Course family</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Typical status</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Why</w:t>
            </w:r>
          </w:p>
        </w:tc>
      </w:tr>
      <w:tr>
        <w:tc>
          <w:tcPr>
            <w:tcW w:type="dxa" w:w="3212"/>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UNSW / USYD / UTS Engineering (most streams)</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Open or assumed-strong</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Ext 1 + Physics present. Chemistry covers biomedical/chemical streams.</w:t>
            </w:r>
          </w:p>
        </w:tc>
      </w:tr>
      <w:tr>
        <w:tc>
          <w:tcPr>
            <w:tcW w:type="dxa" w:w="3212"/>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USYD Advanced Computing and combined</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Open if maths prerequisite met</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Maths Advanced / Ext rule is the gate, not Engineering Studies.</w:t>
            </w:r>
          </w:p>
        </w:tc>
      </w:tr>
      <w:tr>
        <w:tc>
          <w:tcPr>
            <w:tcW w:type="dxa" w:w="3212"/>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Engineering / Commerce doubles</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Open on subjects; ATAR band may be tight</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Same subject rules as Engineering, higher historical LSR.</w:t>
            </w:r>
          </w:p>
        </w:tc>
      </w:tr>
      <w:tr>
        <w:tc>
          <w:tcPr>
            <w:tcW w:type="dxa" w:w="3212"/>
            <w:tcBorders>
              <w:top w:val="single" w:color="D0D5DD" w:sz="4"/>
              <w:left w:val="single" w:color="D0D5DD" w:sz="4"/>
              <w:bottom w:val="single" w:color="D0D5DD" w:sz="4"/>
              <w:right w:val="single" w:color="D0D5DD" w:sz="4"/>
            </w:tcBorders>
            <w:shd w:fill="FFF4D6"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Commerce / Economics (quant majors)</w:t>
            </w:r>
          </w:p>
        </w:tc>
        <w:tc>
          <w:tcPr>
            <w:tcW w:type="dxa" w:w="3213"/>
            <w:tcBorders>
              <w:top w:val="single" w:color="D0D5DD" w:sz="4"/>
              <w:left w:val="single" w:color="D0D5DD" w:sz="4"/>
              <w:bottom w:val="single" w:color="D0D5DD" w:sz="4"/>
              <w:right w:val="single" w:color="D0D5DD" w:sz="4"/>
            </w:tcBorders>
            <w:shd w:fill="FFF4D6"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Open or assumed gap by major</w:t>
            </w:r>
          </w:p>
        </w:tc>
        <w:tc>
          <w:tcPr>
            <w:tcW w:type="dxa" w:w="3213"/>
            <w:tcBorders>
              <w:top w:val="single" w:color="D0D5DD" w:sz="4"/>
              <w:left w:val="single" w:color="D0D5DD" w:sz="4"/>
              <w:bottom w:val="single" w:color="D0D5DD" w:sz="4"/>
              <w:right w:val="single" w:color="D0D5DD" w:sz="4"/>
            </w:tcBorders>
            <w:shd w:fill="FFF4D6"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Some majors assume Advanced; finance/actuarial prefer Ext 1.</w:t>
            </w:r>
          </w:p>
        </w:tc>
      </w:tr>
      <w:tr>
        <w:tc>
          <w:tcPr>
            <w:tcW w:type="dxa" w:w="3212"/>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Arts / Law combined</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Usually Open on subjects</w:t>
            </w:r>
          </w:p>
        </w:tc>
        <w:tc>
          <w:tcPr>
            <w:tcW w:type="dxa" w:w="3213"/>
            <w:tcBorders>
              <w:top w:val="single" w:color="D0D5DD" w:sz="4"/>
              <w:left w:val="single" w:color="D0D5DD" w:sz="4"/>
              <w:bottom w:val="single" w:color="D0D5DD" w:sz="4"/>
              <w:right w:val="single" w:color="D0D5DD" w:sz="4"/>
            </w:tcBorders>
            <w:shd w:fill="E6F4EA"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English + History help the work, not a hard science prerequisite. Extra hurdles possible.</w:t>
            </w:r>
          </w:p>
        </w:tc>
      </w:tr>
      <w:tr>
        <w:tc>
          <w:tcPr>
            <w:tcW w:type="dxa" w:w="3212"/>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Medicine / MD pathways</w:t>
            </w:r>
          </w:p>
        </w:tc>
        <w:tc>
          <w:tcPr>
            <w:tcW w:type="dxa" w:w="3213"/>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Open on subjects + extra hurdle</w:t>
            </w:r>
          </w:p>
        </w:tc>
        <w:tc>
          <w:tcPr>
            <w:tcW w:type="dxa" w:w="3213"/>
            <w:tcBorders>
              <w:top w:val="single" w:color="D0D5DD" w:sz="4"/>
              <w:left w:val="single" w:color="D0D5DD" w:sz="4"/>
              <w:bottom w:val="single" w:color="D0D5DD" w:sz="4"/>
              <w:right w:val="single" w:color="D0D5DD" w:sz="4"/>
            </w:tcBorders>
            <w:shd w:fill="F4F6F8"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Chemistry present. UCAT and interview decide, not Physics.</w:t>
            </w:r>
          </w:p>
        </w:tc>
      </w:tr>
      <w:tr>
        <w:tc>
          <w:tcPr>
            <w:tcW w:type="dxa" w:w="3212"/>
            <w:tcBorders>
              <w:top w:val="single" w:color="D0D5DD" w:sz="4"/>
              <w:left w:val="single" w:color="D0D5DD" w:sz="4"/>
              <w:bottom w:val="single" w:color="D0D5DD" w:sz="4"/>
              <w:right w:val="single" w:color="D0D5DD" w:sz="4"/>
            </w:tcBorders>
            <w:shd w:fill="FDECEC"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If Physics is dropped</w:t>
            </w:r>
          </w:p>
        </w:tc>
        <w:tc>
          <w:tcPr>
            <w:tcW w:type="dxa" w:w="3213"/>
            <w:tcBorders>
              <w:top w:val="single" w:color="D0D5DD" w:sz="4"/>
              <w:left w:val="single" w:color="D0D5DD" w:sz="4"/>
              <w:bottom w:val="single" w:color="D0D5DD" w:sz="4"/>
              <w:right w:val="single" w:color="D0D5DD" w:sz="4"/>
            </w:tcBorders>
            <w:shd w:fill="FDECEC"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Many engineering streams → Gap or Blocked</w:t>
            </w:r>
          </w:p>
        </w:tc>
        <w:tc>
          <w:tcPr>
            <w:tcW w:type="dxa" w:w="3213"/>
            <w:tcBorders>
              <w:top w:val="single" w:color="D0D5DD" w:sz="4"/>
              <w:left w:val="single" w:color="D0D5DD" w:sz="4"/>
              <w:bottom w:val="single" w:color="D0D5DD" w:sz="4"/>
              <w:right w:val="single" w:color="D0D5DD" w:sz="4"/>
            </w:tcBorders>
            <w:shd w:fill="FDECEC"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This is the demonstration the product must make unmissable.</w:t>
            </w:r>
          </w:p>
        </w:tc>
      </w:tr>
    </w:tbl>
    <w:p>
      <w:pPr>
        <w:pStyle w:val="Heading1"/>
        <w:pageBreakBefore/>
        <w:pBdr>
          <w:bottom w:val="single" w:color="1B365D" w:sz="12" w:space="8"/>
        </w:pBdr>
        <w:spacing w:after="200" w:before="0"/>
      </w:pPr>
      <w:r>
        <w:rPr>
          <w:rFonts w:ascii="Arial" w:cs="Arial" w:eastAsia="Arial" w:hAnsi="Arial"/>
          <w:b/>
          <w:bCs/>
          <w:color w:val="1B365D"/>
          <w:sz w:val="32"/>
          <w:szCs w:val="32"/>
        </w:rPr>
        <w:t xml:space="preserve">10. Data sources and operating rhythm</w:t>
      </w:r>
    </w:p>
    <w:p>
      <w:pPr>
        <w:spacing w:after="160" w:before="0" w:line="276"/>
      </w:pPr>
      <w:r>
        <w:rPr>
          <w:rFonts w:ascii="Arial" w:cs="Arial" w:eastAsia="Arial" w:hAnsi="Arial"/>
          <w:color w:val="222222"/>
          <w:sz w:val="22"/>
          <w:szCs w:val="22"/>
        </w:rPr>
        <w:t xml:space="preserve">The product fails if the data is a year late. Treat data operations as the product, not as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Data</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Source</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Cadence</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Course list, UAC codes, LSR</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UAC course search / Year 10 and Year 12 publications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Full refresh when UAC publishes the next intake list (typically from April).</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Prerequisites / assumed knowledge</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UAC institution entries + university handbooks</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Same refresh, plus a mid-year exception pass.</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HSC course legality</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NESA syllabuses (exclusions and corequisites)</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When NESA updates Stage 6 maths/science rules.</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Adjustment schemes</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Each university admissions page</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Before Term 4 each year.</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Outcomes (v2)</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QILT / ComparED</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Annual.</w:t>
            </w:r>
          </w:p>
        </w:tc>
      </w:tr>
    </w:tbl>
    <w:p>
      <w:pPr>
        <w:pStyle w:val="Heading2"/>
        <w:spacing w:after="120" w:before="280"/>
      </w:pPr>
      <w:r>
        <w:rPr>
          <w:rFonts w:ascii="Arial" w:cs="Arial" w:eastAsia="Arial" w:hAnsi="Arial"/>
          <w:b/>
          <w:bCs/>
          <w:color w:val="0F6C6C"/>
          <w:sz w:val="26"/>
          <w:szCs w:val="26"/>
        </w:rPr>
        <w:t xml:space="preserve">Suggested data model (simple)</w:t>
      </w:r>
    </w:p>
    <w:p>
      <w:pPr>
        <w:spacing w:after="160" w:before="0" w:line="276"/>
      </w:pPr>
      <w:r>
        <w:rPr>
          <w:rFonts w:ascii="Arial" w:cs="Arial" w:eastAsia="Arial" w:hAnsi="Arial"/>
          <w:color w:val="222222"/>
          <w:sz w:val="22"/>
          <w:szCs w:val="22"/>
        </w:rPr>
        <w:t xml:space="preserve">Store courses as versioned JSON. Each course has a valid_from / valid_to intake year. The planner always evaluates against one intake year chosen by the user (e.g. “starting uni in 2028”). Never mix 2026 rules with 2028 rules on the same card.</w:t>
      </w:r>
    </w:p>
    <w:p>
      <w:pPr>
        <w:pStyle w:val="Heading2"/>
        <w:spacing w:after="120" w:before="280"/>
      </w:pPr>
      <w:r>
        <w:rPr>
          <w:rFonts w:ascii="Arial" w:cs="Arial" w:eastAsia="Arial" w:hAnsi="Arial"/>
          <w:b/>
          <w:bCs/>
          <w:color w:val="0F6C6C"/>
          <w:sz w:val="26"/>
          <w:szCs w:val="26"/>
        </w:rPr>
        <w:t xml:space="preserve">Quality bar</w:t>
      </w:r>
    </w:p>
    <w:p>
      <w:pPr>
        <w:pStyle w:val="ListParagraph"/>
        <w:numPr>
          <w:ilvl w:val="0"/>
          <w:numId w:val="2"/>
        </w:numPr>
        <w:spacing w:after="80" w:line="260"/>
      </w:pPr>
      <w:r>
        <w:rPr>
          <w:rFonts w:ascii="Arial" w:cs="Arial" w:eastAsia="Arial" w:hAnsi="Arial"/>
          <w:color w:val="222222"/>
          <w:sz w:val="21"/>
          <w:szCs w:val="21"/>
        </w:rPr>
        <w:t xml:space="preserve">Every rule has a source URL and a captured-on date.</w:t>
      </w:r>
    </w:p>
    <w:p>
      <w:pPr>
        <w:pStyle w:val="ListParagraph"/>
        <w:numPr>
          <w:ilvl w:val="0"/>
          <w:numId w:val="2"/>
        </w:numPr>
        <w:spacing w:after="80" w:line="260"/>
      </w:pPr>
      <w:r>
        <w:rPr>
          <w:rFonts w:ascii="Arial" w:cs="Arial" w:eastAsia="Arial" w:hAnsi="Arial"/>
          <w:color w:val="222222"/>
          <w:sz w:val="21"/>
          <w:szCs w:val="21"/>
        </w:rPr>
        <w:t xml:space="preserve">A second person spot-checks 15 courses after each refresh.</w:t>
      </w:r>
    </w:p>
    <w:p>
      <w:pPr>
        <w:pStyle w:val="ListParagraph"/>
        <w:numPr>
          <w:ilvl w:val="0"/>
          <w:numId w:val="2"/>
        </w:numPr>
        <w:spacing w:after="80" w:line="260"/>
      </w:pPr>
      <w:r>
        <w:rPr>
          <w:rFonts w:ascii="Arial" w:cs="Arial" w:eastAsia="Arial" w:hAnsi="Arial"/>
          <w:color w:val="222222"/>
          <w:sz w:val="21"/>
          <w:szCs w:val="21"/>
        </w:rPr>
        <w:t xml:space="preserve">If a university changes a maths prerequisite mid-cycle, that course is flagged “verify” rather than silently wrong.</w:t>
      </w:r>
    </w:p>
    <w:p>
      <w:pPr>
        <w:pStyle w:val="ListParagraph"/>
        <w:numPr>
          <w:ilvl w:val="0"/>
          <w:numId w:val="2"/>
        </w:numPr>
        <w:spacing w:after="80" w:line="260"/>
      </w:pPr>
      <w:r>
        <w:rPr>
          <w:rFonts w:ascii="Arial" w:cs="Arial" w:eastAsia="Arial" w:hAnsi="Arial"/>
          <w:color w:val="222222"/>
          <w:sz w:val="21"/>
          <w:szCs w:val="21"/>
        </w:rPr>
        <w:t xml:space="preserve">Homepage shows “Rules current for 2028 intake, last checked DATE”.</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11. Content, trust and AI framing</w:t>
      </w:r>
    </w:p>
    <w:p>
      <w:pPr>
        <w:pStyle w:val="Heading2"/>
        <w:spacing w:after="120" w:before="280"/>
      </w:pPr>
      <w:r>
        <w:rPr>
          <w:rFonts w:ascii="Arial" w:cs="Arial" w:eastAsia="Arial" w:hAnsi="Arial"/>
          <w:b/>
          <w:bCs/>
          <w:color w:val="0F6C6C"/>
          <w:sz w:val="26"/>
          <w:szCs w:val="26"/>
        </w:rPr>
        <w:t xml:space="preserve">Voice</w:t>
      </w:r>
    </w:p>
    <w:p>
      <w:pPr>
        <w:spacing w:after="160" w:before="0" w:line="276"/>
      </w:pPr>
      <w:r>
        <w:rPr>
          <w:rFonts w:ascii="Arial" w:cs="Arial" w:eastAsia="Arial" w:hAnsi="Arial"/>
          <w:color w:val="222222"/>
          <w:sz w:val="22"/>
          <w:szCs w:val="22"/>
        </w:rPr>
        <w:t xml:space="preserve">Factual, calm, comparative. No hype. Write like a careful careers adviser, not a growth landing page. Short sentences. Name the uncertainty.</w:t>
      </w:r>
    </w:p>
    <w:p>
      <w:pPr>
        <w:pStyle w:val="Heading2"/>
        <w:spacing w:after="120" w:before="280"/>
      </w:pPr>
      <w:r>
        <w:rPr>
          <w:rFonts w:ascii="Arial" w:cs="Arial" w:eastAsia="Arial" w:hAnsi="Arial"/>
          <w:b/>
          <w:bCs/>
          <w:color w:val="0F6C6C"/>
          <w:sz w:val="26"/>
          <w:szCs w:val="26"/>
        </w:rPr>
        <w:t xml:space="preserve">Required disclaimer (every results view and PDF)</w:t>
      </w:r>
    </w:p>
    <w:p>
      <w:pPr>
        <w:spacing w:after="160" w:before="0" w:line="276"/>
      </w:pPr>
      <w:r>
        <w:rPr>
          <w:rFonts w:ascii="Arial" w:cs="Arial" w:eastAsia="Arial" w:hAnsi="Arial"/>
          <w:color w:val="222222"/>
          <w:sz w:val="22"/>
          <w:szCs w:val="22"/>
        </w:rPr>
        <w:t xml:space="preserve">“PathwayPlan is an independent guide. It is not UAC and not a university. Eligibility is based on published prerequisites and assumed knowledge at the date shown. Lowest selection ranks are from past offer rounds and can move. Confirm every preference on UAC and the university handbook before you apply.”</w:t>
      </w:r>
    </w:p>
    <w:p>
      <w:pPr>
        <w:pStyle w:val="Heading2"/>
        <w:spacing w:after="120" w:before="280"/>
      </w:pPr>
      <w:r>
        <w:rPr>
          <w:rFonts w:ascii="Arial" w:cs="Arial" w:eastAsia="Arial" w:hAnsi="Arial"/>
          <w:b/>
          <w:bCs/>
          <w:color w:val="0F6C6C"/>
          <w:sz w:val="26"/>
          <w:szCs w:val="26"/>
        </w:rPr>
        <w:t xml:space="preserve">How to talk about AI without becoming a trend site</w:t>
      </w:r>
    </w:p>
    <w:p>
      <w:pPr>
        <w:pStyle w:val="ListParagraph"/>
        <w:numPr>
          <w:ilvl w:val="0"/>
          <w:numId w:val="2"/>
        </w:numPr>
        <w:spacing w:after="80" w:line="260"/>
      </w:pPr>
      <w:r>
        <w:rPr>
          <w:rFonts w:ascii="Arial" w:cs="Arial" w:eastAsia="Arial" w:hAnsi="Arial"/>
          <w:color w:val="222222"/>
          <w:sz w:val="21"/>
          <w:szCs w:val="21"/>
        </w:rPr>
        <w:t xml:space="preserve">Do not score degrees as AI-safe or AI-dead.</w:t>
      </w:r>
    </w:p>
    <w:p>
      <w:pPr>
        <w:pStyle w:val="ListParagraph"/>
        <w:numPr>
          <w:ilvl w:val="0"/>
          <w:numId w:val="2"/>
        </w:numPr>
        <w:spacing w:after="80" w:line="260"/>
      </w:pPr>
      <w:r>
        <w:rPr>
          <w:rFonts w:ascii="Arial" w:cs="Arial" w:eastAsia="Arial" w:hAnsi="Arial"/>
          <w:color w:val="222222"/>
          <w:sz w:val="21"/>
          <w:szCs w:val="21"/>
        </w:rPr>
        <w:t xml:space="preserve">On selected STEM/commerce courses, add three bullets: work likely to be automated, work that uses AI as a tool, work that stays human because of liability, physical systems, or regulated judgement.</w:t>
      </w:r>
    </w:p>
    <w:p>
      <w:pPr>
        <w:pStyle w:val="ListParagraph"/>
        <w:numPr>
          <w:ilvl w:val="0"/>
          <w:numId w:val="2"/>
        </w:numPr>
        <w:spacing w:after="80" w:line="260"/>
      </w:pPr>
      <w:r>
        <w:rPr>
          <w:rFonts w:ascii="Arial" w:cs="Arial" w:eastAsia="Arial" w:hAnsi="Arial"/>
          <w:color w:val="222222"/>
          <w:sz w:val="21"/>
          <w:szCs w:val="21"/>
        </w:rPr>
        <w:t xml:space="preserve">Default advice stays conservative: combine a technical base with a domain (engineering + commerce, computing + science, science + later specialisation) rather than a standalone “AI degree”.</w:t>
      </w:r>
    </w:p>
    <w:p>
      <w:pPr>
        <w:pStyle w:val="Heading2"/>
        <w:spacing w:after="120" w:before="280"/>
      </w:pPr>
      <w:r>
        <w:rPr>
          <w:rFonts w:ascii="Arial" w:cs="Arial" w:eastAsia="Arial" w:hAnsi="Arial"/>
          <w:b/>
          <w:bCs/>
          <w:color w:val="0F6C6C"/>
          <w:sz w:val="26"/>
          <w:szCs w:val="26"/>
        </w:rPr>
        <w:t xml:space="preserve">Double-degree copy — default stance</w:t>
      </w:r>
    </w:p>
    <w:p>
      <w:pPr>
        <w:spacing w:after="160" w:before="0" w:line="276"/>
      </w:pPr>
      <w:r>
        <w:rPr>
          <w:rFonts w:ascii="Arial" w:cs="Arial" w:eastAsia="Arial" w:hAnsi="Arial"/>
          <w:color w:val="222222"/>
          <w:sz w:val="22"/>
          <w:szCs w:val="22"/>
        </w:rPr>
        <w:t xml:space="preserve">In Australia a designed combined degree is often five years and two testamurs. Recommend it when the second field is a real domain the student will use. Do not recommend CS + IT style stacking. State the extra year and the usual ATAR premium in the same sentence.</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12. Technical approach for MVP</w:t>
      </w:r>
    </w:p>
    <w:p>
      <w:pPr>
        <w:spacing w:after="160" w:before="0" w:line="276"/>
      </w:pPr>
      <w:r>
        <w:rPr>
          <w:rFonts w:ascii="Arial" w:cs="Arial" w:eastAsia="Arial" w:hAnsi="Arial"/>
          <w:color w:val="222222"/>
          <w:sz w:val="22"/>
          <w:szCs w:val="22"/>
        </w:rPr>
        <w:t xml:space="preserve">Keep the first version static-data and fast. The intelligence is the encoded rules, not a model.</w:t>
      </w:r>
    </w:p>
    <w:p>
      <w:pPr>
        <w:pStyle w:val="ListParagraph"/>
        <w:numPr>
          <w:ilvl w:val="0"/>
          <w:numId w:val="2"/>
        </w:numPr>
        <w:spacing w:after="80" w:line="260"/>
      </w:pPr>
      <w:r>
        <w:rPr>
          <w:rFonts w:ascii="Arial" w:cs="Arial" w:eastAsia="Arial" w:hAnsi="Arial"/>
          <w:b/>
          <w:bCs/>
          <w:color w:val="222222"/>
          <w:sz w:val="21"/>
          <w:szCs w:val="21"/>
        </w:rPr>
        <w:t xml:space="preserve">Front end: </w:t>
      </w:r>
      <w:r>
        <w:rPr>
          <w:rFonts w:ascii="Arial" w:cs="Arial" w:eastAsia="Arial" w:hAnsi="Arial"/>
          <w:color w:val="222222"/>
          <w:sz w:val="21"/>
          <w:szCs w:val="21"/>
        </w:rPr>
        <w:t xml:space="preserve">A simple web app (Vite + React is enough). Mobile-first; careers advisers will use a laptop.</w:t>
      </w:r>
    </w:p>
    <w:p>
      <w:pPr>
        <w:pStyle w:val="ListParagraph"/>
        <w:numPr>
          <w:ilvl w:val="0"/>
          <w:numId w:val="2"/>
        </w:numPr>
        <w:spacing w:after="80" w:line="260"/>
      </w:pPr>
      <w:r>
        <w:rPr>
          <w:rFonts w:ascii="Arial" w:cs="Arial" w:eastAsia="Arial" w:hAnsi="Arial"/>
          <w:b/>
          <w:bCs/>
          <w:color w:val="222222"/>
          <w:sz w:val="21"/>
          <w:szCs w:val="21"/>
        </w:rPr>
        <w:t xml:space="preserve">Data: </w:t>
      </w:r>
      <w:r>
        <w:rPr>
          <w:rFonts w:ascii="Arial" w:cs="Arial" w:eastAsia="Arial" w:hAnsi="Arial"/>
          <w:color w:val="222222"/>
          <w:sz w:val="21"/>
          <w:szCs w:val="21"/>
        </w:rPr>
        <w:t xml:space="preserve">Versioned JSON or a small SQLite/Supabase table. Start with hand-curated rows.</w:t>
      </w:r>
    </w:p>
    <w:p>
      <w:pPr>
        <w:pStyle w:val="ListParagraph"/>
        <w:numPr>
          <w:ilvl w:val="0"/>
          <w:numId w:val="2"/>
        </w:numPr>
        <w:spacing w:after="80" w:line="260"/>
      </w:pPr>
      <w:r>
        <w:rPr>
          <w:rFonts w:ascii="Arial" w:cs="Arial" w:eastAsia="Arial" w:hAnsi="Arial"/>
          <w:b/>
          <w:bCs/>
          <w:color w:val="222222"/>
          <w:sz w:val="21"/>
          <w:szCs w:val="21"/>
        </w:rPr>
        <w:t xml:space="preserve">Hosting: </w:t>
      </w:r>
      <w:r>
        <w:rPr>
          <w:rFonts w:ascii="Arial" w:cs="Arial" w:eastAsia="Arial" w:hAnsi="Arial"/>
          <w:color w:val="222222"/>
          <w:sz w:val="21"/>
          <w:szCs w:val="21"/>
        </w:rPr>
        <w:t xml:space="preserve">Static host with a cheap backend only if you add save/export accounts later. Netlify or equivalent is fine.</w:t>
      </w:r>
    </w:p>
    <w:p>
      <w:pPr>
        <w:pStyle w:val="ListParagraph"/>
        <w:numPr>
          <w:ilvl w:val="0"/>
          <w:numId w:val="2"/>
        </w:numPr>
        <w:spacing w:after="80" w:line="260"/>
      </w:pPr>
      <w:r>
        <w:rPr>
          <w:rFonts w:ascii="Arial" w:cs="Arial" w:eastAsia="Arial" w:hAnsi="Arial"/>
          <w:b/>
          <w:bCs/>
          <w:color w:val="222222"/>
          <w:sz w:val="21"/>
          <w:szCs w:val="21"/>
        </w:rPr>
        <w:t xml:space="preserve">No LLM in the eligibility path. </w:t>
      </w:r>
      <w:r>
        <w:rPr>
          <w:rFonts w:ascii="Arial" w:cs="Arial" w:eastAsia="Arial" w:hAnsi="Arial"/>
          <w:color w:val="222222"/>
          <w:sz w:val="21"/>
          <w:szCs w:val="21"/>
        </w:rPr>
        <w:t xml:space="preserve">A language model may draft guide pages. It must not decide Open / Gap / Blocked.</w:t>
      </w:r>
    </w:p>
    <w:p>
      <w:pPr>
        <w:pStyle w:val="ListParagraph"/>
        <w:numPr>
          <w:ilvl w:val="0"/>
          <w:numId w:val="2"/>
        </w:numPr>
        <w:spacing w:after="80" w:line="260"/>
      </w:pPr>
      <w:r>
        <w:rPr>
          <w:rFonts w:ascii="Arial" w:cs="Arial" w:eastAsia="Arial" w:hAnsi="Arial"/>
          <w:b/>
          <w:bCs/>
          <w:color w:val="222222"/>
          <w:sz w:val="21"/>
          <w:szCs w:val="21"/>
        </w:rPr>
        <w:t xml:space="preserve">Analytics: </w:t>
      </w:r>
      <w:r>
        <w:rPr>
          <w:rFonts w:ascii="Arial" w:cs="Arial" w:eastAsia="Arial" w:hAnsi="Arial"/>
          <w:color w:val="222222"/>
          <w:sz w:val="21"/>
          <w:szCs w:val="21"/>
        </w:rPr>
        <w:t xml:space="preserve">Privacy-light. Count subject combinations and which courses are opened. Do not collect student names in MVP.</w:t>
      </w:r>
    </w:p>
    <w:p>
      <w:pPr>
        <w:pStyle w:val="ListParagraph"/>
        <w:numPr>
          <w:ilvl w:val="0"/>
          <w:numId w:val="2"/>
        </w:numPr>
        <w:spacing w:after="80" w:line="260"/>
      </w:pPr>
      <w:r>
        <w:rPr>
          <w:rFonts w:ascii="Arial" w:cs="Arial" w:eastAsia="Arial" w:hAnsi="Arial"/>
          <w:b/>
          <w:bCs/>
          <w:color w:val="222222"/>
          <w:sz w:val="21"/>
          <w:szCs w:val="21"/>
        </w:rPr>
        <w:t xml:space="preserve">Export: </w:t>
      </w:r>
      <w:r>
        <w:rPr>
          <w:rFonts w:ascii="Arial" w:cs="Arial" w:eastAsia="Arial" w:hAnsi="Arial"/>
          <w:color w:val="222222"/>
          <w:sz w:val="21"/>
          <w:szCs w:val="21"/>
        </w:rPr>
        <w:t xml:space="preserve">Browser print stylesheet that produces a clean one-page A4 summary.</w:t>
      </w:r>
    </w:p>
    <w:p>
      <w:pPr>
        <w:pStyle w:val="Heading2"/>
        <w:spacing w:after="120" w:before="280"/>
      </w:pPr>
      <w:r>
        <w:rPr>
          <w:rFonts w:ascii="Arial" w:cs="Arial" w:eastAsia="Arial" w:hAnsi="Arial"/>
          <w:b/>
          <w:bCs/>
          <w:color w:val="0F6C6C"/>
          <w:sz w:val="26"/>
          <w:szCs w:val="26"/>
        </w:rPr>
        <w:t xml:space="preserve">Accessibility and inclusion</w:t>
      </w:r>
    </w:p>
    <w:p>
      <w:pPr>
        <w:pStyle w:val="ListParagraph"/>
        <w:numPr>
          <w:ilvl w:val="0"/>
          <w:numId w:val="2"/>
        </w:numPr>
        <w:spacing w:after="80" w:line="260"/>
      </w:pPr>
      <w:r>
        <w:rPr>
          <w:rFonts w:ascii="Arial" w:cs="Arial" w:eastAsia="Arial" w:hAnsi="Arial"/>
          <w:color w:val="222222"/>
          <w:sz w:val="21"/>
          <w:szCs w:val="21"/>
        </w:rPr>
        <w:t xml:space="preserve">WCAG 2.2 AA as a target. Traffic lights also use words, not colour alone.</w:t>
      </w:r>
    </w:p>
    <w:p>
      <w:pPr>
        <w:pStyle w:val="ListParagraph"/>
        <w:numPr>
          <w:ilvl w:val="0"/>
          <w:numId w:val="2"/>
        </w:numPr>
        <w:spacing w:after="80" w:line="260"/>
      </w:pPr>
      <w:r>
        <w:rPr>
          <w:rFonts w:ascii="Arial" w:cs="Arial" w:eastAsia="Arial" w:hAnsi="Arial"/>
          <w:color w:val="222222"/>
          <w:sz w:val="21"/>
          <w:szCs w:val="21"/>
        </w:rPr>
        <w:t xml:space="preserve">English first. A later Hindi helper layer is optional and must not be the source of rules.</w:t>
      </w:r>
    </w:p>
    <w:p>
      <w:pPr>
        <w:pStyle w:val="ListParagraph"/>
        <w:numPr>
          <w:ilvl w:val="0"/>
          <w:numId w:val="2"/>
        </w:numPr>
        <w:spacing w:after="80" w:line="260"/>
      </w:pPr>
      <w:r>
        <w:rPr>
          <w:rFonts w:ascii="Arial" w:cs="Arial" w:eastAsia="Arial" w:hAnsi="Arial"/>
          <w:color w:val="222222"/>
          <w:sz w:val="21"/>
          <w:szCs w:val="21"/>
        </w:rPr>
        <w:t xml:space="preserve">Works without an account.</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13. Go-to-market</w:t>
      </w:r>
    </w:p>
    <w:p>
      <w:pPr>
        <w:pStyle w:val="Heading2"/>
        <w:spacing w:after="120" w:before="280"/>
      </w:pPr>
      <w:r>
        <w:rPr>
          <w:rFonts w:ascii="Arial" w:cs="Arial" w:eastAsia="Arial" w:hAnsi="Arial"/>
          <w:b/>
          <w:bCs/>
          <w:color w:val="0F6C6C"/>
          <w:sz w:val="26"/>
          <w:szCs w:val="26"/>
        </w:rPr>
        <w:t xml:space="preserve">Beachhead</w:t>
      </w:r>
    </w:p>
    <w:p>
      <w:pPr>
        <w:spacing w:after="160" w:before="0" w:line="276"/>
      </w:pPr>
      <w:r>
        <w:rPr>
          <w:rFonts w:ascii="Arial" w:cs="Arial" w:eastAsia="Arial" w:hAnsi="Arial"/>
          <w:color w:val="222222"/>
          <w:sz w:val="22"/>
          <w:szCs w:val="22"/>
        </w:rPr>
        <w:t xml:space="preserve">Western Sydney selective and high-ATAR comprehensive schools, starting with careers advisers rather than paid ads. Girraween-type schools already run structured careers meetings and university partnerships. A planner that produces a meeting artefact has a distribution path.</w:t>
      </w:r>
    </w:p>
    <w:p>
      <w:pPr>
        <w:pStyle w:val="Heading2"/>
        <w:spacing w:after="120" w:before="280"/>
      </w:pPr>
      <w:r>
        <w:rPr>
          <w:rFonts w:ascii="Arial" w:cs="Arial" w:eastAsia="Arial" w:hAnsi="Arial"/>
          <w:b/>
          <w:bCs/>
          <w:color w:val="0F6C6C"/>
          <w:sz w:val="26"/>
          <w:szCs w:val="26"/>
        </w:rPr>
        <w:t xml:space="preserve">Channels</w:t>
      </w:r>
    </w:p>
    <w:p>
      <w:pPr>
        <w:pStyle w:val="ListParagraph"/>
        <w:numPr>
          <w:ilvl w:val="0"/>
          <w:numId w:val="2"/>
        </w:numPr>
        <w:spacing w:after="80" w:line="260"/>
      </w:pPr>
      <w:r>
        <w:rPr>
          <w:rFonts w:ascii="Arial" w:cs="Arial" w:eastAsia="Arial" w:hAnsi="Arial"/>
          <w:color w:val="222222"/>
          <w:sz w:val="21"/>
          <w:szCs w:val="21"/>
        </w:rPr>
        <w:t xml:space="preserve">Direct email to careers advisers with a 3-minute screen recording of the Physics-off demo.</w:t>
      </w:r>
    </w:p>
    <w:p>
      <w:pPr>
        <w:pStyle w:val="ListParagraph"/>
        <w:numPr>
          <w:ilvl w:val="0"/>
          <w:numId w:val="2"/>
        </w:numPr>
        <w:spacing w:after="80" w:line="260"/>
      </w:pPr>
      <w:r>
        <w:rPr>
          <w:rFonts w:ascii="Arial" w:cs="Arial" w:eastAsia="Arial" w:hAnsi="Arial"/>
          <w:color w:val="222222"/>
          <w:sz w:val="21"/>
          <w:szCs w:val="21"/>
        </w:rPr>
        <w:t xml:space="preserve">Parent Facebook/WhatsApp year-group networks — they already swap UAC rumours.</w:t>
      </w:r>
    </w:p>
    <w:p>
      <w:pPr>
        <w:pStyle w:val="ListParagraph"/>
        <w:numPr>
          <w:ilvl w:val="0"/>
          <w:numId w:val="2"/>
        </w:numPr>
        <w:spacing w:after="80" w:line="260"/>
      </w:pPr>
      <w:r>
        <w:rPr>
          <w:rFonts w:ascii="Arial" w:cs="Arial" w:eastAsia="Arial" w:hAnsi="Arial"/>
          <w:color w:val="222222"/>
          <w:sz w:val="21"/>
          <w:szCs w:val="21"/>
        </w:rPr>
        <w:t xml:space="preserve">Open-day season (August–September) and Year 10 subject-selection season (Term 3).</w:t>
      </w:r>
    </w:p>
    <w:p>
      <w:pPr>
        <w:pStyle w:val="ListParagraph"/>
        <w:numPr>
          <w:ilvl w:val="0"/>
          <w:numId w:val="2"/>
        </w:numPr>
        <w:spacing w:after="80" w:line="260"/>
      </w:pPr>
      <w:r>
        <w:rPr>
          <w:rFonts w:ascii="Arial" w:cs="Arial" w:eastAsia="Arial" w:hAnsi="Arial"/>
          <w:color w:val="222222"/>
          <w:sz w:val="21"/>
          <w:szCs w:val="21"/>
        </w:rPr>
        <w:t xml:space="preserve">Practical guides that rank in search: “HSC Physics prerequisite engineering NSW”, “Standard vs Advanced maths university”.</w:t>
      </w:r>
    </w:p>
    <w:p>
      <w:pPr>
        <w:pStyle w:val="ListParagraph"/>
        <w:numPr>
          <w:ilvl w:val="0"/>
          <w:numId w:val="2"/>
        </w:numPr>
        <w:spacing w:after="80" w:line="260"/>
      </w:pPr>
      <w:r>
        <w:rPr>
          <w:rFonts w:ascii="Arial" w:cs="Arial" w:eastAsia="Arial" w:hAnsi="Arial"/>
          <w:color w:val="222222"/>
          <w:sz w:val="21"/>
          <w:szCs w:val="21"/>
        </w:rPr>
        <w:t xml:space="preserve">Do not buy the UAC brand. Say clearly you sit beside UAC.</w:t>
      </w:r>
    </w:p>
    <w:p>
      <w:pPr>
        <w:pStyle w:val="Heading2"/>
        <w:spacing w:after="120" w:before="280"/>
      </w:pPr>
      <w:r>
        <w:rPr>
          <w:rFonts w:ascii="Arial" w:cs="Arial" w:eastAsia="Arial" w:hAnsi="Arial"/>
          <w:b/>
          <w:bCs/>
          <w:color w:val="0F6C6C"/>
          <w:sz w:val="26"/>
          <w:szCs w:val="26"/>
        </w:rPr>
        <w:t xml:space="preserve">Business model (keep this secondary)</w:t>
      </w:r>
    </w:p>
    <w:p>
      <w:pPr>
        <w:spacing w:after="160" w:before="0" w:line="276"/>
      </w:pPr>
      <w:r>
        <w:rPr>
          <w:rFonts w:ascii="Arial" w:cs="Arial" w:eastAsia="Arial" w:hAnsi="Arial"/>
          <w:color w:val="222222"/>
          <w:sz w:val="22"/>
          <w:szCs w:val="22"/>
        </w:rPr>
        <w:t xml:space="preserve">Free for families. Possible later revenue: school licence with saved cohorts, or a carefully labelled affiliate to tutoring only after trust is established. Do not put ads on the results page in year one.</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14.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Risk</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Why it matters</w:t>
            </w:r>
          </w:p>
        </w:tc>
        <w:tc>
          <w:tcPr>
            <w:tcW w:type="dxa" w:w="3213"/>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Mitigation</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Stale prerequisite</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 student drops Physics because the tool said Engineering was still Open.</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Date stamp, official links, “verify” flag, two-person check, NSW-only scope.</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Parents treat LSR as a cut-off</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They chase a number instead of a subject set.</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Label as last year’s lowest selection rank. Sort by eligibility first, rank second.</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UAC builds the explorer</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Official tool would win on trust.</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Accept it. Differentiation then becomes doubles, commute, meeting export, and explanation quality.</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Scope creep to 200 universities</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Data quality collapses.</w:t>
            </w:r>
          </w:p>
        </w:tc>
        <w:tc>
          <w:tcPr>
            <w:tcW w:type="dxa" w:w="3213"/>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Hard cap: six unis and 80 courses until refresh is routine.</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Legal / consumer risk</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Education products attract complaint if a door was mislabelled.</w:t>
            </w:r>
          </w:p>
        </w:tc>
        <w:tc>
          <w:tcPr>
            <w:tcW w:type="dxa" w:w="321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7"/>
                <w:szCs w:val="17"/>
              </w:rPr>
              <w:t xml:space="preserve">No offer predictions. Disclaimer. Encourage official confirmation. Consider insurance if schools pay.</w:t>
            </w:r>
          </w:p>
        </w:tc>
      </w:tr>
    </w:tbl>
    <w:p>
      <w:pPr>
        <w:pStyle w:val="Heading1"/>
        <w:pageBreakBefore/>
        <w:pBdr>
          <w:bottom w:val="single" w:color="1B365D" w:sz="12" w:space="8"/>
        </w:pBdr>
        <w:spacing w:after="200" w:before="0"/>
      </w:pPr>
      <w:r>
        <w:rPr>
          <w:rFonts w:ascii="Arial" w:cs="Arial" w:eastAsia="Arial" w:hAnsi="Arial"/>
          <w:b/>
          <w:bCs/>
          <w:color w:val="1B365D"/>
          <w:sz w:val="32"/>
          <w:szCs w:val="32"/>
        </w:rPr>
        <w:t xml:space="preserve">15. 90-day build plan</w:t>
      </w:r>
    </w:p>
    <w:p>
      <w:pPr>
        <w:pStyle w:val="Heading2"/>
        <w:spacing w:after="120" w:before="280"/>
      </w:pPr>
      <w:r>
        <w:rPr>
          <w:rFonts w:ascii="Arial" w:cs="Arial" w:eastAsia="Arial" w:hAnsi="Arial"/>
          <w:b/>
          <w:bCs/>
          <w:color w:val="0F6C6C"/>
          <w:sz w:val="26"/>
          <w:szCs w:val="26"/>
        </w:rPr>
        <w:t xml:space="preserve">Days 1–20 — encode the truth</w:t>
      </w:r>
    </w:p>
    <w:p>
      <w:pPr>
        <w:pStyle w:val="ListParagraph"/>
        <w:numPr>
          <w:ilvl w:val="0"/>
          <w:numId w:val="2"/>
        </w:numPr>
        <w:spacing w:after="80" w:line="260"/>
      </w:pPr>
      <w:r>
        <w:rPr>
          <w:rFonts w:ascii="Arial" w:cs="Arial" w:eastAsia="Arial" w:hAnsi="Arial"/>
          <w:color w:val="222222"/>
          <w:sz w:val="21"/>
          <w:szCs w:val="21"/>
        </w:rPr>
        <w:t xml:space="preserve">Choose the 80-course list across the six universities (singles + official doubles).</w:t>
      </w:r>
    </w:p>
    <w:p>
      <w:pPr>
        <w:pStyle w:val="ListParagraph"/>
        <w:numPr>
          <w:ilvl w:val="0"/>
          <w:numId w:val="2"/>
        </w:numPr>
        <w:spacing w:after="80" w:line="260"/>
      </w:pPr>
      <w:r>
        <w:rPr>
          <w:rFonts w:ascii="Arial" w:cs="Arial" w:eastAsia="Arial" w:hAnsi="Arial"/>
          <w:color w:val="222222"/>
          <w:sz w:val="21"/>
          <w:szCs w:val="21"/>
        </w:rPr>
        <w:t xml:space="preserve">Build a spreadsheet with prerequisite, assumed, recommended, duration, campus, UAC code, handbook URL, last LSR.</w:t>
      </w:r>
    </w:p>
    <w:p>
      <w:pPr>
        <w:pStyle w:val="ListParagraph"/>
        <w:numPr>
          <w:ilvl w:val="0"/>
          <w:numId w:val="2"/>
        </w:numPr>
        <w:spacing w:after="80" w:line="260"/>
      </w:pPr>
      <w:r>
        <w:rPr>
          <w:rFonts w:ascii="Arial" w:cs="Arial" w:eastAsia="Arial" w:hAnsi="Arial"/>
          <w:color w:val="222222"/>
          <w:sz w:val="21"/>
          <w:szCs w:val="21"/>
        </w:rPr>
        <w:t xml:space="preserve">Write the maths pathway state machine.</w:t>
      </w:r>
    </w:p>
    <w:p>
      <w:pPr>
        <w:pStyle w:val="ListParagraph"/>
        <w:numPr>
          <w:ilvl w:val="0"/>
          <w:numId w:val="2"/>
        </w:numPr>
        <w:spacing w:after="80" w:line="260"/>
      </w:pPr>
      <w:r>
        <w:rPr>
          <w:rFonts w:ascii="Arial" w:cs="Arial" w:eastAsia="Arial" w:hAnsi="Arial"/>
          <w:color w:val="222222"/>
          <w:sz w:val="21"/>
          <w:szCs w:val="21"/>
        </w:rPr>
        <w:t xml:space="preserve">Draft the glossary page.</w:t>
      </w:r>
    </w:p>
    <w:p>
      <w:pPr>
        <w:pStyle w:val="Heading2"/>
        <w:spacing w:after="120" w:before="280"/>
      </w:pPr>
      <w:r>
        <w:rPr>
          <w:rFonts w:ascii="Arial" w:cs="Arial" w:eastAsia="Arial" w:hAnsi="Arial"/>
          <w:b/>
          <w:bCs/>
          <w:color w:val="0F6C6C"/>
          <w:sz w:val="26"/>
          <w:szCs w:val="26"/>
        </w:rPr>
        <w:t xml:space="preserve">Days 21–50 — ship the loop</w:t>
      </w:r>
    </w:p>
    <w:p>
      <w:pPr>
        <w:pStyle w:val="ListParagraph"/>
        <w:numPr>
          <w:ilvl w:val="0"/>
          <w:numId w:val="2"/>
        </w:numPr>
        <w:spacing w:after="80" w:line="260"/>
      </w:pPr>
      <w:r>
        <w:rPr>
          <w:rFonts w:ascii="Arial" w:cs="Arial" w:eastAsia="Arial" w:hAnsi="Arial"/>
          <w:color w:val="222222"/>
          <w:sz w:val="21"/>
          <w:szCs w:val="21"/>
        </w:rPr>
        <w:t xml:space="preserve">Picker + live results + traffic lights + doors-this-closes diff.</w:t>
      </w:r>
    </w:p>
    <w:p>
      <w:pPr>
        <w:pStyle w:val="ListParagraph"/>
        <w:numPr>
          <w:ilvl w:val="0"/>
          <w:numId w:val="2"/>
        </w:numPr>
        <w:spacing w:after="80" w:line="260"/>
      </w:pPr>
      <w:r>
        <w:rPr>
          <w:rFonts w:ascii="Arial" w:cs="Arial" w:eastAsia="Arial" w:hAnsi="Arial"/>
          <w:color w:val="222222"/>
          <w:sz w:val="21"/>
          <w:szCs w:val="21"/>
        </w:rPr>
        <w:t xml:space="preserve">Course detail page with official links.</w:t>
      </w:r>
    </w:p>
    <w:p>
      <w:pPr>
        <w:pStyle w:val="ListParagraph"/>
        <w:numPr>
          <w:ilvl w:val="0"/>
          <w:numId w:val="2"/>
        </w:numPr>
        <w:spacing w:after="80" w:line="260"/>
      </w:pPr>
      <w:r>
        <w:rPr>
          <w:rFonts w:ascii="Arial" w:cs="Arial" w:eastAsia="Arial" w:hAnsi="Arial"/>
          <w:color w:val="222222"/>
          <w:sz w:val="21"/>
          <w:szCs w:val="21"/>
        </w:rPr>
        <w:t xml:space="preserve">Printable summary.</w:t>
      </w:r>
    </w:p>
    <w:p>
      <w:pPr>
        <w:pStyle w:val="ListParagraph"/>
        <w:numPr>
          <w:ilvl w:val="0"/>
          <w:numId w:val="2"/>
        </w:numPr>
        <w:spacing w:after="80" w:line="260"/>
      </w:pPr>
      <w:r>
        <w:rPr>
          <w:rFonts w:ascii="Arial" w:cs="Arial" w:eastAsia="Arial" w:hAnsi="Arial"/>
          <w:color w:val="222222"/>
          <w:sz w:val="21"/>
          <w:szCs w:val="21"/>
        </w:rPr>
        <w:t xml:space="preserve">Test with three families and one careers adviser. The Physics-off test must be obvious.</w:t>
      </w:r>
    </w:p>
    <w:p>
      <w:pPr>
        <w:pStyle w:val="Heading2"/>
        <w:spacing w:after="120" w:before="280"/>
      </w:pPr>
      <w:r>
        <w:rPr>
          <w:rFonts w:ascii="Arial" w:cs="Arial" w:eastAsia="Arial" w:hAnsi="Arial"/>
          <w:b/>
          <w:bCs/>
          <w:color w:val="0F6C6C"/>
          <w:sz w:val="26"/>
          <w:szCs w:val="26"/>
        </w:rPr>
        <w:t xml:space="preserve">Days 51–90 — make it usable in a meeting</w:t>
      </w:r>
    </w:p>
    <w:p>
      <w:pPr>
        <w:pStyle w:val="ListParagraph"/>
        <w:numPr>
          <w:ilvl w:val="0"/>
          <w:numId w:val="2"/>
        </w:numPr>
        <w:spacing w:after="80" w:line="260"/>
      </w:pPr>
      <w:r>
        <w:rPr>
          <w:rFonts w:ascii="Arial" w:cs="Arial" w:eastAsia="Arial" w:hAnsi="Arial"/>
          <w:color w:val="222222"/>
          <w:sz w:val="21"/>
          <w:szCs w:val="21"/>
        </w:rPr>
        <w:t xml:space="preserve">ATAR band sort, extra-hurdle flags, compare tray.</w:t>
      </w:r>
    </w:p>
    <w:p>
      <w:pPr>
        <w:pStyle w:val="ListParagraph"/>
        <w:numPr>
          <w:ilvl w:val="0"/>
          <w:numId w:val="2"/>
        </w:numPr>
        <w:spacing w:after="80" w:line="260"/>
      </w:pPr>
      <w:r>
        <w:rPr>
          <w:rFonts w:ascii="Arial" w:cs="Arial" w:eastAsia="Arial" w:hAnsi="Arial"/>
          <w:color w:val="222222"/>
          <w:sz w:val="21"/>
          <w:szCs w:val="21"/>
        </w:rPr>
        <w:t xml:space="preserve">For-schools page and a 3-minute demo video.</w:t>
      </w:r>
    </w:p>
    <w:p>
      <w:pPr>
        <w:pStyle w:val="ListParagraph"/>
        <w:numPr>
          <w:ilvl w:val="0"/>
          <w:numId w:val="2"/>
        </w:numPr>
        <w:spacing w:after="80" w:line="260"/>
      </w:pPr>
      <w:r>
        <w:rPr>
          <w:rFonts w:ascii="Arial" w:cs="Arial" w:eastAsia="Arial" w:hAnsi="Arial"/>
          <w:color w:val="222222"/>
          <w:sz w:val="21"/>
          <w:szCs w:val="21"/>
        </w:rPr>
        <w:t xml:space="preserve">First full data-check against the current UAC listing.</w:t>
      </w:r>
    </w:p>
    <w:p>
      <w:pPr>
        <w:pStyle w:val="ListParagraph"/>
        <w:numPr>
          <w:ilvl w:val="0"/>
          <w:numId w:val="2"/>
        </w:numPr>
        <w:spacing w:after="80" w:line="260"/>
      </w:pPr>
      <w:r>
        <w:rPr>
          <w:rFonts w:ascii="Arial" w:cs="Arial" w:eastAsia="Arial" w:hAnsi="Arial"/>
          <w:color w:val="222222"/>
          <w:sz w:val="21"/>
          <w:szCs w:val="21"/>
        </w:rPr>
        <w:t xml:space="preserve">Soft launch to a handful of Western Sydney schools before Year 10 subject-selection peak.</w:t>
      </w:r>
    </w:p>
    <w:p>
      <w:pPr>
        <w:pStyle w:val="Heading2"/>
        <w:spacing w:after="120" w:before="280"/>
      </w:pPr>
      <w:r>
        <w:rPr>
          <w:rFonts w:ascii="Arial" w:cs="Arial" w:eastAsia="Arial" w:hAnsi="Arial"/>
          <w:b/>
          <w:bCs/>
          <w:color w:val="0F6C6C"/>
          <w:sz w:val="26"/>
          <w:szCs w:val="26"/>
        </w:rPr>
        <w:t xml:space="preserve">Success criteria for the MVP</w:t>
      </w:r>
    </w:p>
    <w:p>
      <w:pPr>
        <w:pStyle w:val="ListParagraph"/>
        <w:numPr>
          <w:ilvl w:val="0"/>
          <w:numId w:val="2"/>
        </w:numPr>
        <w:spacing w:after="80" w:line="260"/>
      </w:pPr>
      <w:r>
        <w:rPr>
          <w:rFonts w:ascii="Arial" w:cs="Arial" w:eastAsia="Arial" w:hAnsi="Arial"/>
          <w:color w:val="222222"/>
          <w:sz w:val="21"/>
          <w:szCs w:val="21"/>
        </w:rPr>
        <w:t xml:space="preserve">A parent can complete Journey A without help in under four minutes.</w:t>
      </w:r>
    </w:p>
    <w:p>
      <w:pPr>
        <w:pStyle w:val="ListParagraph"/>
        <w:numPr>
          <w:ilvl w:val="0"/>
          <w:numId w:val="2"/>
        </w:numPr>
        <w:spacing w:after="80" w:line="260"/>
      </w:pPr>
      <w:r>
        <w:rPr>
          <w:rFonts w:ascii="Arial" w:cs="Arial" w:eastAsia="Arial" w:hAnsi="Arial"/>
          <w:color w:val="222222"/>
          <w:sz w:val="21"/>
          <w:szCs w:val="21"/>
        </w:rPr>
        <w:t xml:space="preserve">Zero known prerequisite errors on the 80-course set.</w:t>
      </w:r>
    </w:p>
    <w:p>
      <w:pPr>
        <w:pStyle w:val="ListParagraph"/>
        <w:numPr>
          <w:ilvl w:val="0"/>
          <w:numId w:val="2"/>
        </w:numPr>
        <w:spacing w:after="80" w:line="260"/>
      </w:pPr>
      <w:r>
        <w:rPr>
          <w:rFonts w:ascii="Arial" w:cs="Arial" w:eastAsia="Arial" w:hAnsi="Arial"/>
          <w:color w:val="222222"/>
          <w:sz w:val="21"/>
          <w:szCs w:val="21"/>
        </w:rPr>
        <w:t xml:space="preserve">At least one careers adviser uses the PDF in a real student meeting.</w:t>
      </w:r>
    </w:p>
    <w:p>
      <w:pPr>
        <w:pStyle w:val="ListParagraph"/>
        <w:numPr>
          <w:ilvl w:val="0"/>
          <w:numId w:val="2"/>
        </w:numPr>
        <w:spacing w:after="80" w:line="260"/>
      </w:pPr>
      <w:r>
        <w:rPr>
          <w:rFonts w:ascii="Arial" w:cs="Arial" w:eastAsia="Arial" w:hAnsi="Arial"/>
          <w:color w:val="222222"/>
          <w:sz w:val="21"/>
          <w:szCs w:val="21"/>
        </w:rPr>
        <w:t xml:space="preserve">The Ext 2 on/off toggle changes almost nothing for Engineering, and the Physics on/off toggle changes a lot. If the UI does not make that felt, the product has failed.</w:t>
      </w:r>
    </w:p>
    <w:p>
      <w:pPr>
        <w:pStyle w:val="Heading1"/>
        <w:pageBreakBefore/>
        <w:pBdr>
          <w:bottom w:val="single" w:color="1B365D" w:sz="12" w:space="8"/>
        </w:pBdr>
        <w:spacing w:after="200" w:before="0"/>
      </w:pPr>
      <w:r>
        <w:rPr>
          <w:rFonts w:ascii="Arial" w:cs="Arial" w:eastAsia="Arial" w:hAnsi="Arial"/>
          <w:b/>
          <w:bCs/>
          <w:color w:val="1B365D"/>
          <w:sz w:val="32"/>
          <w:szCs w:val="32"/>
        </w:rPr>
        <w:t xml:space="preserve">16. Appendix</w:t>
      </w:r>
    </w:p>
    <w:p>
      <w:pPr>
        <w:pStyle w:val="Heading2"/>
        <w:spacing w:after="120" w:before="280"/>
      </w:pPr>
      <w:r>
        <w:rPr>
          <w:rFonts w:ascii="Arial" w:cs="Arial" w:eastAsia="Arial" w:hAnsi="Arial"/>
          <w:b/>
          <w:bCs/>
          <w:color w:val="0F6C6C"/>
          <w:sz w:val="26"/>
          <w:szCs w:val="26"/>
        </w:rPr>
        <w:t xml:space="preserve">Glossary for the product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Term</w:t>
            </w:r>
          </w:p>
        </w:tc>
        <w:tc>
          <w:tcPr>
            <w:tcW w:type="dxa" w:w="6426"/>
            <w:tcBorders>
              <w:top w:val="single" w:color="D0D5DD" w:sz="4"/>
              <w:left w:val="single" w:color="D0D5DD" w:sz="4"/>
              <w:bottom w:val="single" w:color="D0D5DD" w:sz="4"/>
              <w:right w:val="single" w:color="D0D5DD" w:sz="4"/>
            </w:tcBorders>
            <w:shd w:fill="1B365D" w:val="clear"/>
            <w:tcMar>
              <w:top w:type="dxa" w:w="60"/>
              <w:left w:type="dxa" w:w="80"/>
              <w:bottom w:type="dxa" w:w="60"/>
              <w:right w:type="dxa" w:w="80"/>
            </w:tcMar>
            <w:vAlign w:val="center"/>
          </w:tcPr>
          <w:p>
            <w:r>
              <w:rPr>
                <w:rFonts w:ascii="Arial" w:cs="Arial" w:eastAsia="Arial" w:hAnsi="Arial"/>
                <w:b/>
                <w:bCs/>
                <w:color w:val="FFFFFF"/>
                <w:sz w:val="17"/>
                <w:szCs w:val="17"/>
              </w:rPr>
              <w:t xml:space="preserve">Plain meaning</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Prerequisite</w:t>
            </w:r>
          </w:p>
        </w:tc>
        <w:tc>
          <w:tcPr>
            <w:tcW w:type="dxa" w:w="642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 subject you must have completed to be considered. Missing it means no offer, regardless of ATAR.</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Assumed knowledge</w:t>
            </w:r>
          </w:p>
        </w:tc>
        <w:tc>
          <w:tcPr>
            <w:tcW w:type="dxa" w:w="6426"/>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The university will teach as if you did this subject. You can still get in. First year may be harder. Bridging courses exist.</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Recommended studies</w:t>
            </w:r>
          </w:p>
        </w:tc>
        <w:tc>
          <w:tcPr>
            <w:tcW w:type="dxa" w:w="642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Helpful background. Not a gate.</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ATAR</w:t>
            </w:r>
          </w:p>
        </w:tc>
        <w:tc>
          <w:tcPr>
            <w:tcW w:type="dxa" w:w="6426"/>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 rank, not a mark. Used with other rules to make offers.</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Selection rank</w:t>
            </w:r>
          </w:p>
        </w:tc>
        <w:tc>
          <w:tcPr>
            <w:tcW w:type="dxa" w:w="642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ATAR plus any adjustment factors the university applies.</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Lowest selection rank (LSR)</w:t>
            </w:r>
          </w:p>
        </w:tc>
        <w:tc>
          <w:tcPr>
            <w:tcW w:type="dxa" w:w="6426"/>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The lowest rank that received an offer in a past round. It moves with demand and place numbers.</w:t>
            </w:r>
          </w:p>
        </w:tc>
      </w:tr>
      <w:tr>
        <w:tc>
          <w:tcPr>
            <w:tcW w:type="dxa" w:w="3212"/>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Combined / double degree</w:t>
            </w:r>
          </w:p>
        </w:tc>
        <w:tc>
          <w:tcPr>
            <w:tcW w:type="dxa" w:w="642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Two qualifications in one structured program, usually 5 years rather than 6–7.</w:t>
            </w:r>
          </w:p>
        </w:tc>
      </w:tr>
      <w:tr>
        <w:tc>
          <w:tcPr>
            <w:tcW w:type="dxa" w:w="3212"/>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Adjustment factors</w:t>
            </w:r>
          </w:p>
        </w:tc>
        <w:tc>
          <w:tcPr>
            <w:tcW w:type="dxa" w:w="6426"/>
            <w:tcBorders>
              <w:top w:val="single" w:color="D0D5DD" w:sz="4"/>
              <w:left w:val="single" w:color="D0D5DD" w:sz="4"/>
              <w:bottom w:val="single" w:color="D0D5DD" w:sz="4"/>
              <w:right w:val="single" w:color="D0D5DD" w:sz="4"/>
            </w:tcBorders>
            <w:shd w:fill="EEF3F7"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Extra points from schemes such as HSC Plus, subject extras, equity or location. Rules differ by university.</w:t>
            </w:r>
          </w:p>
        </w:tc>
      </w:tr>
    </w:tbl>
    <w:p>
      <w:pPr>
        <w:pStyle w:val="Heading2"/>
        <w:spacing w:after="120" w:before="280"/>
      </w:pPr>
      <w:r>
        <w:rPr>
          <w:rFonts w:ascii="Arial" w:cs="Arial" w:eastAsia="Arial" w:hAnsi="Arial"/>
          <w:b/>
          <w:bCs/>
          <w:color w:val="0F6C6C"/>
          <w:sz w:val="26"/>
          <w:szCs w:val="26"/>
        </w:rPr>
        <w:t xml:space="preserve">MVP university set and why</w:t>
      </w:r>
    </w:p>
    <w:p>
      <w:pPr>
        <w:pStyle w:val="ListParagraph"/>
        <w:numPr>
          <w:ilvl w:val="0"/>
          <w:numId w:val="2"/>
        </w:numPr>
        <w:spacing w:after="80" w:line="260"/>
      </w:pPr>
      <w:r>
        <w:rPr>
          <w:rFonts w:ascii="Arial" w:cs="Arial" w:eastAsia="Arial" w:hAnsi="Arial"/>
          <w:b/>
          <w:bCs/>
          <w:color w:val="222222"/>
          <w:sz w:val="21"/>
          <w:szCs w:val="21"/>
        </w:rPr>
        <w:t xml:space="preserve">UNSW: </w:t>
      </w:r>
      <w:r>
        <w:rPr>
          <w:rFonts w:ascii="Arial" w:cs="Arial" w:eastAsia="Arial" w:hAnsi="Arial"/>
          <w:color w:val="222222"/>
          <w:sz w:val="21"/>
          <w:szCs w:val="21"/>
        </w:rPr>
        <w:t xml:space="preserve">Largest published destination share for many Western Sydney selectives; strongest Engineering/CS brand.</w:t>
      </w:r>
    </w:p>
    <w:p>
      <w:pPr>
        <w:pStyle w:val="ListParagraph"/>
        <w:numPr>
          <w:ilvl w:val="0"/>
          <w:numId w:val="2"/>
        </w:numPr>
        <w:spacing w:after="80" w:line="260"/>
      </w:pPr>
      <w:r>
        <w:rPr>
          <w:rFonts w:ascii="Arial" w:cs="Arial" w:eastAsia="Arial" w:hAnsi="Arial"/>
          <w:b/>
          <w:bCs/>
          <w:color w:val="222222"/>
          <w:sz w:val="21"/>
          <w:szCs w:val="21"/>
        </w:rPr>
        <w:t xml:space="preserve">University of Sydney: </w:t>
      </w:r>
      <w:r>
        <w:rPr>
          <w:rFonts w:ascii="Arial" w:cs="Arial" w:eastAsia="Arial" w:hAnsi="Arial"/>
          <w:color w:val="222222"/>
          <w:sz w:val="21"/>
          <w:szCs w:val="21"/>
        </w:rPr>
        <w:t xml:space="preserve">Engineering, Advanced Computing, Commerce, Medicine pathways.</w:t>
      </w:r>
    </w:p>
    <w:p>
      <w:pPr>
        <w:pStyle w:val="ListParagraph"/>
        <w:numPr>
          <w:ilvl w:val="0"/>
          <w:numId w:val="2"/>
        </w:numPr>
        <w:spacing w:after="80" w:line="260"/>
      </w:pPr>
      <w:r>
        <w:rPr>
          <w:rFonts w:ascii="Arial" w:cs="Arial" w:eastAsia="Arial" w:hAnsi="Arial"/>
          <w:b/>
          <w:bCs/>
          <w:color w:val="222222"/>
          <w:sz w:val="21"/>
          <w:szCs w:val="21"/>
        </w:rPr>
        <w:t xml:space="preserve">UTS: </w:t>
      </w:r>
      <w:r>
        <w:rPr>
          <w:rFonts w:ascii="Arial" w:cs="Arial" w:eastAsia="Arial" w:hAnsi="Arial"/>
          <w:color w:val="222222"/>
          <w:sz w:val="21"/>
          <w:szCs w:val="21"/>
        </w:rPr>
        <w:t xml:space="preserve">Applied / industry option with a CBD campus and generally lower ranks than Go8 peers.</w:t>
      </w:r>
    </w:p>
    <w:p>
      <w:pPr>
        <w:pStyle w:val="ListParagraph"/>
        <w:numPr>
          <w:ilvl w:val="0"/>
          <w:numId w:val="2"/>
        </w:numPr>
        <w:spacing w:after="80" w:line="260"/>
      </w:pPr>
      <w:r>
        <w:rPr>
          <w:rFonts w:ascii="Arial" w:cs="Arial" w:eastAsia="Arial" w:hAnsi="Arial"/>
          <w:b/>
          <w:bCs/>
          <w:color w:val="222222"/>
          <w:sz w:val="21"/>
          <w:szCs w:val="21"/>
        </w:rPr>
        <w:t xml:space="preserve">Macquarie: </w:t>
      </w:r>
      <w:r>
        <w:rPr>
          <w:rFonts w:ascii="Arial" w:cs="Arial" w:eastAsia="Arial" w:hAnsi="Arial"/>
          <w:color w:val="222222"/>
          <w:sz w:val="21"/>
          <w:szCs w:val="21"/>
        </w:rPr>
        <w:t xml:space="preserve">Already a partner school for Girraween; actuarial and early-entry schemes matter.</w:t>
      </w:r>
    </w:p>
    <w:p>
      <w:pPr>
        <w:pStyle w:val="ListParagraph"/>
        <w:numPr>
          <w:ilvl w:val="0"/>
          <w:numId w:val="2"/>
        </w:numPr>
        <w:spacing w:after="80" w:line="260"/>
      </w:pPr>
      <w:r>
        <w:rPr>
          <w:rFonts w:ascii="Arial" w:cs="Arial" w:eastAsia="Arial" w:hAnsi="Arial"/>
          <w:b/>
          <w:bCs/>
          <w:color w:val="222222"/>
          <w:sz w:val="21"/>
          <w:szCs w:val="21"/>
        </w:rPr>
        <w:t xml:space="preserve">Western Sydney University: </w:t>
      </w:r>
      <w:r>
        <w:rPr>
          <w:rFonts w:ascii="Arial" w:cs="Arial" w:eastAsia="Arial" w:hAnsi="Arial"/>
          <w:color w:val="222222"/>
          <w:sz w:val="21"/>
          <w:szCs w:val="21"/>
        </w:rPr>
        <w:t xml:space="preserve">Local campus option and Academy U relationship.</w:t>
      </w:r>
    </w:p>
    <w:p>
      <w:pPr>
        <w:pStyle w:val="ListParagraph"/>
        <w:numPr>
          <w:ilvl w:val="0"/>
          <w:numId w:val="2"/>
        </w:numPr>
        <w:spacing w:after="80" w:line="260"/>
      </w:pPr>
      <w:r>
        <w:rPr>
          <w:rFonts w:ascii="Arial" w:cs="Arial" w:eastAsia="Arial" w:hAnsi="Arial"/>
          <w:b/>
          <w:bCs/>
          <w:color w:val="222222"/>
          <w:sz w:val="21"/>
          <w:szCs w:val="21"/>
        </w:rPr>
        <w:t xml:space="preserve">University of Wollongong: </w:t>
      </w:r>
      <w:r>
        <w:rPr>
          <w:rFonts w:ascii="Arial" w:cs="Arial" w:eastAsia="Arial" w:hAnsi="Arial"/>
          <w:color w:val="222222"/>
          <w:sz w:val="21"/>
          <w:szCs w:val="21"/>
        </w:rPr>
        <w:t xml:space="preserve">Strong engineering alternative without forcing a city campus.</w:t>
      </w:r>
    </w:p>
    <w:p>
      <w:pPr>
        <w:pStyle w:val="Heading2"/>
        <w:spacing w:after="120" w:before="280"/>
      </w:pPr>
      <w:r>
        <w:rPr>
          <w:rFonts w:ascii="Arial" w:cs="Arial" w:eastAsia="Arial" w:hAnsi="Arial"/>
          <w:b/>
          <w:bCs/>
          <w:color w:val="0F6C6C"/>
          <w:sz w:val="26"/>
          <w:szCs w:val="26"/>
        </w:rPr>
        <w:t xml:space="preserve">Suggested first 12 course families to encode</w:t>
      </w:r>
    </w:p>
    <w:p>
      <w:pPr>
        <w:pStyle w:val="ListParagraph"/>
        <w:numPr>
          <w:ilvl w:val="0"/>
          <w:numId w:val="2"/>
        </w:numPr>
        <w:spacing w:after="80" w:line="260"/>
      </w:pPr>
      <w:r>
        <w:rPr>
          <w:rFonts w:ascii="Arial" w:cs="Arial" w:eastAsia="Arial" w:hAnsi="Arial"/>
          <w:color w:val="222222"/>
          <w:sz w:val="21"/>
          <w:szCs w:val="21"/>
        </w:rPr>
        <w:t xml:space="preserve">Engineering (Honours) — civil, electrical, mechanical, mechatronic, software, biomedical.</w:t>
      </w:r>
    </w:p>
    <w:p>
      <w:pPr>
        <w:pStyle w:val="ListParagraph"/>
        <w:numPr>
          <w:ilvl w:val="0"/>
          <w:numId w:val="2"/>
        </w:numPr>
        <w:spacing w:after="80" w:line="260"/>
      </w:pPr>
      <w:r>
        <w:rPr>
          <w:rFonts w:ascii="Arial" w:cs="Arial" w:eastAsia="Arial" w:hAnsi="Arial"/>
          <w:color w:val="222222"/>
          <w:sz w:val="21"/>
          <w:szCs w:val="21"/>
        </w:rPr>
        <w:t xml:space="preserve">Engineering combined with Commerce, Computer Science, Science.</w:t>
      </w:r>
    </w:p>
    <w:p>
      <w:pPr>
        <w:pStyle w:val="ListParagraph"/>
        <w:numPr>
          <w:ilvl w:val="0"/>
          <w:numId w:val="2"/>
        </w:numPr>
        <w:spacing w:after="80" w:line="260"/>
      </w:pPr>
      <w:r>
        <w:rPr>
          <w:rFonts w:ascii="Arial" w:cs="Arial" w:eastAsia="Arial" w:hAnsi="Arial"/>
          <w:color w:val="222222"/>
          <w:sz w:val="21"/>
          <w:szCs w:val="21"/>
        </w:rPr>
        <w:t xml:space="preserve">Computer Science / Advanced Computing and their Commerce or Science doubles.</w:t>
      </w:r>
    </w:p>
    <w:p>
      <w:pPr>
        <w:pStyle w:val="ListParagraph"/>
        <w:numPr>
          <w:ilvl w:val="0"/>
          <w:numId w:val="2"/>
        </w:numPr>
        <w:spacing w:after="80" w:line="260"/>
      </w:pPr>
      <w:r>
        <w:rPr>
          <w:rFonts w:ascii="Arial" w:cs="Arial" w:eastAsia="Arial" w:hAnsi="Arial"/>
          <w:color w:val="222222"/>
          <w:sz w:val="21"/>
          <w:szCs w:val="21"/>
        </w:rPr>
        <w:t xml:space="preserve">Commerce, Economics, Actuarial Studies.</w:t>
      </w:r>
    </w:p>
    <w:p>
      <w:pPr>
        <w:pStyle w:val="ListParagraph"/>
        <w:numPr>
          <w:ilvl w:val="0"/>
          <w:numId w:val="2"/>
        </w:numPr>
        <w:spacing w:after="80" w:line="260"/>
      </w:pPr>
      <w:r>
        <w:rPr>
          <w:rFonts w:ascii="Arial" w:cs="Arial" w:eastAsia="Arial" w:hAnsi="Arial"/>
          <w:color w:val="222222"/>
          <w:sz w:val="21"/>
          <w:szCs w:val="21"/>
        </w:rPr>
        <w:t xml:space="preserve">Science and Advanced Science.</w:t>
      </w:r>
    </w:p>
    <w:p>
      <w:pPr>
        <w:pStyle w:val="ListParagraph"/>
        <w:numPr>
          <w:ilvl w:val="0"/>
          <w:numId w:val="2"/>
        </w:numPr>
        <w:spacing w:after="80" w:line="260"/>
      </w:pPr>
      <w:r>
        <w:rPr>
          <w:rFonts w:ascii="Arial" w:cs="Arial" w:eastAsia="Arial" w:hAnsi="Arial"/>
          <w:color w:val="222222"/>
          <w:sz w:val="21"/>
          <w:szCs w:val="21"/>
        </w:rPr>
        <w:t xml:space="preserve">Laws combined degrees.</w:t>
      </w:r>
    </w:p>
    <w:p>
      <w:pPr>
        <w:pStyle w:val="ListParagraph"/>
        <w:numPr>
          <w:ilvl w:val="0"/>
          <w:numId w:val="2"/>
        </w:numPr>
        <w:spacing w:after="80" w:line="260"/>
      </w:pPr>
      <w:r>
        <w:rPr>
          <w:rFonts w:ascii="Arial" w:cs="Arial" w:eastAsia="Arial" w:hAnsi="Arial"/>
          <w:color w:val="222222"/>
          <w:sz w:val="21"/>
          <w:szCs w:val="21"/>
        </w:rPr>
        <w:t xml:space="preserve">Medical Science and official MD pathway courses (flag UCAT).</w:t>
      </w:r>
    </w:p>
    <w:p>
      <w:pPr>
        <w:pStyle w:val="ListParagraph"/>
        <w:numPr>
          <w:ilvl w:val="0"/>
          <w:numId w:val="2"/>
        </w:numPr>
        <w:spacing w:after="80" w:line="260"/>
      </w:pPr>
      <w:r>
        <w:rPr>
          <w:rFonts w:ascii="Arial" w:cs="Arial" w:eastAsia="Arial" w:hAnsi="Arial"/>
          <w:color w:val="222222"/>
          <w:sz w:val="21"/>
          <w:szCs w:val="21"/>
        </w:rPr>
        <w:t xml:space="preserve">Pharmacy, Physiotherapy, Nursing as the health comparison set.</w:t>
      </w:r>
    </w:p>
    <w:p>
      <w:pPr>
        <w:pStyle w:val="Heading2"/>
        <w:spacing w:after="120" w:before="280"/>
      </w:pPr>
      <w:r>
        <w:rPr>
          <w:rFonts w:ascii="Arial" w:cs="Arial" w:eastAsia="Arial" w:hAnsi="Arial"/>
          <w:b/>
          <w:bCs/>
          <w:color w:val="0F6C6C"/>
          <w:sz w:val="26"/>
          <w:szCs w:val="26"/>
        </w:rPr>
        <w:t xml:space="preserve">Open questions for the founder</w:t>
      </w:r>
    </w:p>
    <w:p>
      <w:pPr>
        <w:pStyle w:val="ListParagraph"/>
        <w:numPr>
          <w:ilvl w:val="0"/>
          <w:numId w:val="2"/>
        </w:numPr>
        <w:spacing w:after="80" w:line="260"/>
      </w:pPr>
      <w:r>
        <w:rPr>
          <w:rFonts w:ascii="Arial" w:cs="Arial" w:eastAsia="Arial" w:hAnsi="Arial"/>
          <w:color w:val="222222"/>
          <w:sz w:val="21"/>
          <w:szCs w:val="21"/>
        </w:rPr>
        <w:t xml:space="preserve">Will you keep this personal (one family’s tool that happens to be public) or seek school licences in year one?</w:t>
      </w:r>
    </w:p>
    <w:p>
      <w:pPr>
        <w:pStyle w:val="ListParagraph"/>
        <w:numPr>
          <w:ilvl w:val="0"/>
          <w:numId w:val="2"/>
        </w:numPr>
        <w:spacing w:after="80" w:line="260"/>
      </w:pPr>
      <w:r>
        <w:rPr>
          <w:rFonts w:ascii="Arial" w:cs="Arial" w:eastAsia="Arial" w:hAnsi="Arial"/>
          <w:color w:val="222222"/>
          <w:sz w:val="21"/>
          <w:szCs w:val="21"/>
        </w:rPr>
        <w:t xml:space="preserve">Who does the twice-yearly data refresh — you, a paid researcher, or a careers adviser partner?</w:t>
      </w:r>
    </w:p>
    <w:p>
      <w:pPr>
        <w:pStyle w:val="ListParagraph"/>
        <w:numPr>
          <w:ilvl w:val="0"/>
          <w:numId w:val="2"/>
        </w:numPr>
        <w:spacing w:after="80" w:line="260"/>
      </w:pPr>
      <w:r>
        <w:rPr>
          <w:rFonts w:ascii="Arial" w:cs="Arial" w:eastAsia="Arial" w:hAnsi="Arial"/>
          <w:color w:val="222222"/>
          <w:sz w:val="21"/>
          <w:szCs w:val="21"/>
        </w:rPr>
        <w:t xml:space="preserve">Is the brand tied to CuriousBit / AICademy or kept institutionally neutral so schools will share it? Neutral is easier for advisers.</w:t>
      </w:r>
    </w:p>
    <w:p>
      <w:pPr>
        <w:spacing w:after="160" w:before="80" w:line="276"/>
      </w:pPr>
      <w:r>
        <w:rPr>
          <w:rFonts w:ascii="Arial" w:cs="Arial" w:eastAsia="Arial" w:hAnsi="Arial"/>
          <w:color w:val="222222"/>
          <w:sz w:val="22"/>
          <w:szCs w:val="22"/>
        </w:rPr>
        <w:t xml:space="preserve">Until those are answered, build the planner as a clean standalone NSW public utility. Branding can wait. The Physics-off demo cannot.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570"/>
        <w:sz w:val="16"/>
        <w:szCs w:val="16"/>
      </w:rPr>
      <w:t xml:space="preserve">Confidential working draft   </w:t>
    </w:r>
    <w:r>
      <w:rPr>
        <w:rFonts w:ascii="Arial" w:cs="Arial" w:eastAsia="Arial" w:hAnsi="Arial"/>
        <w:color w:val="5B6570"/>
        <w:sz w:val="16"/>
        <w:szCs w:val="16"/>
      </w:rPr>
      <w:t xml:space="preserve">Page </w:t>
    </w:r>
    <w:r>
      <w:rPr>
        <w:rFonts w:ascii="Arial" w:cs="Arial" w:eastAsia="Arial" w:hAnsi="Arial"/>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0"/>
        <w:sz w:val="16"/>
        <w:szCs w:val="16"/>
      </w:rPr>
      <w:t xml:space="preserve">PathwayPlan NSW  ·  Product specification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bullet"/>
      <w:lvlText w:val="•"/>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365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C6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2026-08-27T06:02:04.430Z</dcterms:created>
  <dcterms:modified xsi:type="dcterms:W3CDTF">2026-08-27T06:02:04.431Z</dcterms:modified>
</cp:coreProperties>
</file>

<file path=docProps/custom.xml><?xml version="1.0" encoding="utf-8"?>
<Properties xmlns="http://schemas.openxmlformats.org/officeDocument/2006/custom-properties" xmlns:vt="http://schemas.openxmlformats.org/officeDocument/2006/docPropsVTypes"/>
</file>