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Times New Roman" w:hAnsi="Times New Roman" w:eastAsia="Times New Roman"/>
          <w:b/>
          <w:color w:val="61666D"/>
          <w:sz w:val="24"/>
        </w:rPr>
        <w:t>FQ-SSIUU</w:t>
      </w:r>
    </w:p>
    <w:p>
      <w:pPr>
        <w:spacing w:after="160"/>
      </w:pPr>
      <w:r>
        <w:rPr>
          <w:rFonts w:ascii="Times New Roman" w:hAnsi="Times New Roman" w:eastAsia="Times New Roman"/>
          <w:b/>
          <w:color w:val="111111"/>
          <w:sz w:val="46"/>
        </w:rPr>
        <w:t>Research Control and Publication Guide</w:t>
      </w:r>
    </w:p>
    <w:p>
      <w:pPr>
        <w:spacing w:after="360"/>
      </w:pPr>
      <w:r>
        <w:rPr>
          <w:rFonts w:ascii="Times New Roman" w:hAnsi="Times New Roman" w:eastAsia="Times New Roman"/>
          <w:i/>
          <w:color w:val="30343B"/>
          <w:sz w:val="23"/>
        </w:rPr>
        <w:t>Companion to the Working Thesis Draft · Version 1.0 · 1 September 2026</w:t>
      </w:r>
    </w:p>
    <w:p>
      <w:pPr>
        <w:spacing w:before="120" w:after="160" w:line="276" w:lineRule="auto"/>
        <w:ind w:left="202" w:right="202"/>
        <w:jc w:val="left"/>
        <w:shd w:fill="EAF1F7"/>
        <w:pBdr>
          <w:top w:val="single" w:sz="6" w:space="4" w:color="C9CDD2"/>
          <w:left w:val="single" w:sz="6" w:space="4" w:color="C9CDD2"/>
          <w:bottom w:val="single" w:sz="6" w:space="4" w:color="C9CDD2"/>
          <w:right w:val="single" w:sz="6" w:space="4" w:color="C9CDD2"/>
        </w:pBdr>
      </w:pPr>
      <w:r>
        <w:rPr>
          <w:rFonts w:ascii="Times New Roman" w:hAnsi="Times New Roman" w:eastAsia="Times New Roman"/>
          <w:b/>
          <w:color w:val="111111"/>
          <w:sz w:val="22"/>
        </w:rPr>
        <w:t>Purpose</w:t>
      </w:r>
      <w:r>
        <w:rPr>
          <w:rFonts w:ascii="Times New Roman" w:hAnsi="Times New Roman" w:eastAsia="Times New Roman"/>
          <w:color w:val="111111"/>
          <w:sz w:val="21"/>
        </w:rPr>
        <w:br/>
        <w:t>This document records omissions, corrections, execution gates, future instructions, and publication preparation. It is the control document for turning the current pilots into a defensible thesis and paper.</w:t>
      </w:r>
    </w:p>
    <w:p>
      <w:pPr>
        <w:pStyle w:val="Heading1"/>
        <w:keepNext/>
        <w:pageBreakBefore w:val="0"/>
      </w:pPr>
      <w:r>
        <w:rPr>
          <w:rFonts w:ascii="Times New Roman" w:hAnsi="Times New Roman" w:eastAsia="Times New Roman"/>
          <w:b/>
          <w:color w:val="111111"/>
          <w:sz w:val="32"/>
        </w:rPr>
        <w:t>1. What the thesis draft deliberately does not claim</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2300"/>
        <w:gridCol w:w="6500"/>
      </w:tblGrid>
      <w:tr>
        <w:trPr>
          <w:cantSplit/>
          <w:tblHeader w:val="true"/>
        </w:trPr>
        <w:tc>
          <w:tcPr>
            <w:tcW w:type="dxa" w:w="23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Not claimed</w:t>
            </w:r>
          </w:p>
        </w:tc>
        <w:tc>
          <w:tcPr>
            <w:tcW w:type="dxa" w:w="65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Reason</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Final hypothesis results</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The corrected C2/C4/C5/C6 multi-seed experiment has not been run. Pilots are not substituted for it.</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Validated full FQ-SSIUU</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No completed pilot combines operative attribution regularisation with deployment-matched fake quantisation.</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QRA demonstrated by P1</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P1 shows precision sensitivity. The 0.214906 number is unsigned relative FQ change, not published Q-INT4 and not directional recovery.</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Faithful SSIUU implementation</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Current code uses a detached LayerIG surrogate, whereas the paper uses parameter×gradient and previous-step regularisation.</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Faithful QUAIL baseline</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P4 omitted published loss terms, used a different target/margin, and failed forgetting and utility.</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NF4-equivalent QAT</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P3 fake-quantised adapter-output activations with dynamic uniform scaling, not merged effective weights with the NF4 codebook.</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MUSE-News validation</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It remains planned and must not appear as completed evidence.</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Formal or legal certificate</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The planned output is an empirical durability report over named transformations, not exact certified unlearning or proof of compliance.</w:t>
            </w:r>
          </w:p>
        </w:tc>
      </w:tr>
      <w:tr>
        <w:trPr>
          <w:cantSplit/>
        </w:trPr>
        <w:tc>
          <w:tcPr>
            <w:tcW w:type="dxa" w:w="23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Generality beyond the scope</w:t>
            </w:r>
          </w:p>
        </w:tc>
        <w:tc>
          <w:tcPr>
            <w:tcW w:type="dxa" w:w="65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A 1B model and TOFU forget05 do not justify claims about all LLMs, all data, or all quantisers.</w:t>
            </w:r>
          </w:p>
        </w:tc>
      </w:tr>
    </w:tbl>
    <w:p>
      <w:pPr>
        <w:pStyle w:val="Heading1"/>
        <w:keepNext/>
        <w:pageBreakBefore w:val="0"/>
      </w:pPr>
      <w:r>
        <w:rPr>
          <w:rFonts w:ascii="Times New Roman" w:hAnsi="Times New Roman" w:eastAsia="Times New Roman"/>
          <w:b/>
          <w:color w:val="111111"/>
          <w:sz w:val="32"/>
        </w:rPr>
        <w:t>2. Corrections that must remain in the permanent research record</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800"/>
        <w:gridCol w:w="1800"/>
        <w:gridCol w:w="6200"/>
      </w:tblGrid>
      <w:tr>
        <w:trPr>
          <w:cantSplit/>
          <w:tblHeader w:val="true"/>
        </w:trPr>
        <w:tc>
          <w:tcPr>
            <w:tcW w:type="dxa" w:w="8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ID</w:t>
            </w:r>
          </w:p>
        </w:tc>
        <w:tc>
          <w:tcPr>
            <w:tcW w:type="dxa" w:w="18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Topic</w:t>
            </w:r>
          </w:p>
        </w:tc>
        <w:tc>
          <w:tcPr>
            <w:tcW w:type="dxa" w:w="62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Permanent correction</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CR-01</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Q-INT4 naming</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Withdraw internal label for 0.214906; retain as S₄(FQ), an unsigned precision-sensitivity statistic.</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CR-02</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FQ direction</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TOFU Forget Quality is a KS p-value; higher is better/closer to the retain-only oracle. P4 ≈0.0001 is failure, not extreme forgetting.</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CR-03</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Layer count</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Llama-3.2-1B has 16 transformer layers; layer 14 is near-final.</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CR-04</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SSIUU fidelity</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Separate the published parameter×gradient method from the project’s LayerIG surrogate; detached loss is non-operative.</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CR-05</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Quantiser semantics</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Adapter-output fake quantisation is not equivalent to merged-weight NF4 deployment.</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CR-06</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QUAIL fidelity</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P4 is an incomplete QUAIL-like surrogate and cannot be used to judge the published method.</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CR-07</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NPO mathematics</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At equal probabilities the loss is (2/β)log2; it tends to 0 as forget probability decreases and is not globally upper-bounded.</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CR-08</w:t>
            </w:r>
          </w:p>
        </w:tc>
        <w:tc>
          <w:tcPr>
            <w:tcW w:type="dxa" w:w="1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Certificate wording</w:t>
            </w:r>
          </w:p>
        </w:tc>
        <w:tc>
          <w:tcPr>
            <w:tcW w:type="dxa" w:w="6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Use empirical durability report/certificate only with an explicit finite test scope.</w:t>
            </w:r>
          </w:p>
        </w:tc>
      </w:tr>
    </w:tbl>
    <w:p>
      <w:pPr>
        <w:spacing w:before="120" w:after="160" w:line="276" w:lineRule="auto"/>
        <w:ind w:left="202" w:right="202"/>
        <w:jc w:val="left"/>
        <w:shd w:fill="FFF5D9"/>
        <w:pBdr>
          <w:top w:val="single" w:sz="6" w:space="4" w:color="C9CDD2"/>
          <w:left w:val="single" w:sz="6" w:space="4" w:color="C9CDD2"/>
          <w:bottom w:val="single" w:sz="6" w:space="4" w:color="C9CDD2"/>
          <w:right w:val="single" w:sz="6" w:space="4" w:color="C9CDD2"/>
        </w:pBdr>
      </w:pPr>
      <w:r>
        <w:rPr>
          <w:rFonts w:ascii="Times New Roman" w:hAnsi="Times New Roman" w:eastAsia="Times New Roman"/>
          <w:b/>
          <w:color w:val="111111"/>
          <w:sz w:val="22"/>
        </w:rPr>
        <w:t>Rule for corrections</w:t>
      </w:r>
      <w:r>
        <w:rPr>
          <w:rFonts w:ascii="Times New Roman" w:hAnsi="Times New Roman" w:eastAsia="Times New Roman"/>
          <w:color w:val="111111"/>
          <w:sz w:val="21"/>
        </w:rPr>
        <w:br/>
        <w:t>Do not delete or silently overwrite an incorrect result. Mark it superseded, retain the raw record, state why it changed, and link the replacement run or definition.</w:t>
      </w:r>
    </w:p>
    <w:p>
      <w:pPr>
        <w:pStyle w:val="Heading1"/>
        <w:keepNext/>
        <w:pageBreakBefore w:val="0"/>
      </w:pPr>
      <w:r>
        <w:rPr>
          <w:rFonts w:ascii="Times New Roman" w:hAnsi="Times New Roman" w:eastAsia="Times New Roman"/>
          <w:b/>
          <w:color w:val="111111"/>
          <w:sz w:val="32"/>
        </w:rPr>
        <w:t>3. Work required before any main experiment</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800"/>
        <w:gridCol w:w="2650"/>
        <w:gridCol w:w="5350"/>
      </w:tblGrid>
      <w:tr>
        <w:trPr>
          <w:cantSplit/>
          <w:tblHeader w:val="true"/>
        </w:trPr>
        <w:tc>
          <w:tcPr>
            <w:tcW w:type="dxa" w:w="8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Priority</w:t>
            </w:r>
          </w:p>
        </w:tc>
        <w:tc>
          <w:tcPr>
            <w:tcW w:type="dxa" w:w="26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Task</w:t>
            </w:r>
          </w:p>
        </w:tc>
        <w:tc>
          <w:tcPr>
            <w:tcW w:type="dxa" w:w="53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Acceptance condition</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P0</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Choose and implement the attribution path</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Either faithfully reproduce Ssiuu or freeze the name ‘SSIUU-inspired IG surrogate’. Prove non-zero gradient connectivity.</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P0</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Move fake quantisation to the claimed deployment state</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Implement effective-weight/merge-matched fake quantisation; identify NF4 versus uniform INT4 explicitly.</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P0</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Freeze metrics and directions</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Add regression fixtures for FQ, MU components, Sₚ, directional recovery, and any exact published Q-INTk metric.</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P0</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Resolve C7/C8</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Implement a faithful direct baseline or remove it from confirmatory claims. Never retain a paper’s name on a materially different objective.</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P1</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Lock the environment</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Replace placeholder lockfile; pin CUDA, PyTorch, Transformers, PEFT, bitsandbytes, Captum, datasets, model, and evaluator revisions.</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P1</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Repair artefact pipeline</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Fix certificate schema/precision keys; remove formal-guarantee wording; implement missing UDT path or mark unavailable.</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P1</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Create end-to-end tests</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One fixture must exercise train → save → merge → FP16/INT8/4-bit evaluate → manifest.</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P2</w:t>
            </w:r>
          </w:p>
        </w:tc>
        <w:tc>
          <w:tcPr>
            <w:tcW w:type="dxa" w:w="2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Clean documentation</w:t>
            </w:r>
          </w:p>
        </w:tc>
        <w:tc>
          <w:tcPr>
            <w:tcW w:type="dxa" w:w="53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Correct NPO docstring, layer language, CLI claims, filenames, and stale pilot interpretations.</w:t>
            </w:r>
          </w:p>
        </w:tc>
      </w:tr>
    </w:tbl>
    <w:p>
      <w:pPr>
        <w:pStyle w:val="Heading1"/>
        <w:keepNext/>
        <w:pageBreakBefore w:val="0"/>
      </w:pPr>
      <w:r>
        <w:rPr>
          <w:rFonts w:ascii="Times New Roman" w:hAnsi="Times New Roman" w:eastAsia="Times New Roman"/>
          <w:b/>
          <w:color w:val="111111"/>
          <w:sz w:val="32"/>
        </w:rPr>
        <w:t>4. Recommended execution sequence</w:t>
      </w:r>
    </w:p>
    <w:p>
      <w:pPr>
        <w:pStyle w:val="ListNumber"/>
        <w:spacing w:after="80" w:line="276" w:lineRule="auto"/>
      </w:pPr>
      <w:r>
        <w:rPr>
          <w:rFonts w:ascii="Times New Roman" w:hAnsi="Times New Roman" w:eastAsia="Times New Roman"/>
          <w:color w:val="111111"/>
          <w:sz w:val="22"/>
        </w:rPr>
        <w:t>Create a tagged pre-main audit snapshot containing the current dev SHA, all pilot files, raw JSON, and this correction register.</w:t>
      </w:r>
    </w:p>
    <w:p>
      <w:pPr>
        <w:pStyle w:val="ListNumber"/>
        <w:spacing w:after="80" w:line="276" w:lineRule="auto"/>
      </w:pPr>
      <w:r>
        <w:rPr>
          <w:rFonts w:ascii="Times New Roman" w:hAnsi="Times New Roman" w:eastAsia="Times New Roman"/>
          <w:color w:val="111111"/>
          <w:sz w:val="22"/>
        </w:rPr>
        <w:t>Implement the P0 corrections on a dedicated branch and add unit/regression tests before training.</w:t>
      </w:r>
    </w:p>
    <w:p>
      <w:pPr>
        <w:pStyle w:val="ListNumber"/>
        <w:spacing w:after="80" w:line="276" w:lineRule="auto"/>
      </w:pPr>
      <w:r>
        <w:rPr>
          <w:rFonts w:ascii="Times New Roman" w:hAnsi="Times New Roman" w:eastAsia="Times New Roman"/>
          <w:color w:val="111111"/>
          <w:sz w:val="22"/>
        </w:rPr>
        <w:t>Run a one-batch gradient audit: log gradient norms from LNPO, Lretain, and Lattr separately and together.</w:t>
      </w:r>
    </w:p>
    <w:p>
      <w:pPr>
        <w:pStyle w:val="ListNumber"/>
        <w:spacing w:after="80" w:line="276" w:lineRule="auto"/>
      </w:pPr>
      <w:r>
        <w:rPr>
          <w:rFonts w:ascii="Times New Roman" w:hAnsi="Times New Roman" w:eastAsia="Times New Roman"/>
          <w:color w:val="111111"/>
          <w:sz w:val="22"/>
        </w:rPr>
        <w:t>Run a quantiser equivalence audit: compare simulator output with the intended deployment conversion on sampled effective weights and logits.</w:t>
      </w:r>
    </w:p>
    <w:p>
      <w:pPr>
        <w:pStyle w:val="ListNumber"/>
        <w:spacing w:after="80" w:line="276" w:lineRule="auto"/>
      </w:pPr>
      <w:r>
        <w:rPr>
          <w:rFonts w:ascii="Times New Roman" w:hAnsi="Times New Roman" w:eastAsia="Times New Roman"/>
          <w:color w:val="111111"/>
          <w:sz w:val="22"/>
        </w:rPr>
        <w:t>Freeze model/data revisions, conditions, seeds, evaluation examples, utility floor, exclusion rules, and statistical analysis.</w:t>
      </w:r>
    </w:p>
    <w:p>
      <w:pPr>
        <w:pStyle w:val="ListNumber"/>
        <w:spacing w:after="80" w:line="276" w:lineRule="auto"/>
      </w:pPr>
      <w:r>
        <w:rPr>
          <w:rFonts w:ascii="Times New Roman" w:hAnsi="Times New Roman" w:eastAsia="Times New Roman"/>
          <w:color w:val="111111"/>
          <w:sz w:val="22"/>
        </w:rPr>
        <w:t>Execute one end-to-end dry run and inspect every generated answer, metric direction, manifest entry, merge log, and precision state.</w:t>
      </w:r>
    </w:p>
    <w:p>
      <w:pPr>
        <w:pStyle w:val="ListNumber"/>
        <w:spacing w:after="80" w:line="276" w:lineRule="auto"/>
      </w:pPr>
      <w:r>
        <w:rPr>
          <w:rFonts w:ascii="Times New Roman" w:hAnsi="Times New Roman" w:eastAsia="Times New Roman"/>
          <w:color w:val="111111"/>
          <w:sz w:val="22"/>
        </w:rPr>
        <w:t>Run C2/C4/C5/C6 for all seeds without test-driven retuning. Run C7 and C8 only if method-faithfulness checks pass.</w:t>
      </w:r>
    </w:p>
    <w:p>
      <w:pPr>
        <w:pStyle w:val="ListNumber"/>
        <w:spacing w:after="80" w:line="276" w:lineRule="auto"/>
      </w:pPr>
      <w:r>
        <w:rPr>
          <w:rFonts w:ascii="Times New Roman" w:hAnsi="Times New Roman" w:eastAsia="Times New Roman"/>
          <w:color w:val="111111"/>
          <w:sz w:val="22"/>
        </w:rPr>
        <w:t>Generate results tables directly from immutable per-example files. Never manually retype final numbers into the thesis.</w:t>
      </w:r>
    </w:p>
    <w:p>
      <w:pPr>
        <w:pStyle w:val="ListNumber"/>
        <w:spacing w:after="80" w:line="276" w:lineRule="auto"/>
      </w:pPr>
      <w:r>
        <w:rPr>
          <w:rFonts w:ascii="Times New Roman" w:hAnsi="Times New Roman" w:eastAsia="Times New Roman"/>
          <w:color w:val="111111"/>
          <w:sz w:val="22"/>
        </w:rPr>
        <w:t>Perform the mismatch-quantiser and relearning audits; execute MUSE-News only after the primary results are complete and frozen.</w:t>
      </w:r>
    </w:p>
    <w:p>
      <w:pPr>
        <w:pStyle w:val="ListNumber"/>
        <w:spacing w:after="80" w:line="276" w:lineRule="auto"/>
      </w:pPr>
      <w:r>
        <w:rPr>
          <w:rFonts w:ascii="Times New Roman" w:hAnsi="Times New Roman" w:eastAsia="Times New Roman"/>
          <w:color w:val="111111"/>
          <w:sz w:val="22"/>
        </w:rPr>
        <w:t>Write Chapters 4–5 from the verified results ledger; update the abstract, limitations, conclusion, and thesis status label last.</w:t>
      </w:r>
    </w:p>
    <w:p>
      <w:pPr>
        <w:pStyle w:val="Heading1"/>
        <w:keepNext/>
        <w:pageBreakBefore w:val="0"/>
      </w:pPr>
      <w:r>
        <w:rPr>
          <w:rFonts w:ascii="Times New Roman" w:hAnsi="Times New Roman" w:eastAsia="Times New Roman"/>
          <w:b/>
          <w:color w:val="111111"/>
          <w:sz w:val="32"/>
        </w:rPr>
        <w:t>5. Documentation protocol from this point forward</w:t>
      </w:r>
    </w:p>
    <w:p>
      <w:pPr>
        <w:pStyle w:val="Heading2"/>
        <w:keepNext/>
        <w:pageBreakBefore w:val="0"/>
      </w:pPr>
      <w:r>
        <w:rPr>
          <w:rFonts w:ascii="Times New Roman" w:hAnsi="Times New Roman" w:eastAsia="Times New Roman"/>
          <w:b/>
          <w:color w:val="111111"/>
          <w:sz w:val="27"/>
        </w:rPr>
        <w:t>5.1 Immutable run record</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1550"/>
        <w:gridCol w:w="7250"/>
      </w:tblGrid>
      <w:tr>
        <w:trPr>
          <w:cantSplit/>
          <w:tblHeader w:val="true"/>
        </w:trPr>
        <w:tc>
          <w:tcPr>
            <w:tcW w:type="dxa" w:w="15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Block</w:t>
            </w:r>
          </w:p>
        </w:tc>
        <w:tc>
          <w:tcPr>
            <w:tcW w:type="dxa" w:w="72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7"/>
              </w:rPr>
              <w:t>Mandatory fields</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Identity</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run_id, parent_run_id, condition_id, pilot/main status, operator, UTC timestamps</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Code</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repository, branch, commit SHA, dirty diff/patch, command, entry point</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Environment</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OS/container, GPU, driver, CUDA, Python, package lock hash</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Data</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dataset name/revision/licence, split hash, example counts, preprocessing hash</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Model</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model/tokenizer revision, base checksum, LoRA config, trainable parameter count</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Training</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seed, optimiser, schedule, β, λ terms, steps, accumulation, sequence length, stopping rule</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Attribution</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method/fidelity status, layer, target scalar, masks, baseline, steps, aggregation, gradient norm</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Quantisation</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location, codebook, bits, group size, scale, clipping, calibration, merge order, mismatch path</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Evaluation</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evaluator SHA, metric definitions/directions, per-example output, aggregate output</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Resources</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peak VRAM, wall time, device utilisation, checkpoint size</w:t>
            </w:r>
          </w:p>
        </w:tc>
      </w:tr>
      <w:tr>
        <w:trPr>
          <w:cantSplit/>
        </w:trPr>
        <w:tc>
          <w:tcPr>
            <w:tcW w:type="dxa" w:w="15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Outcome</w:t>
            </w:r>
          </w:p>
        </w:tc>
        <w:tc>
          <w:tcPr>
            <w:tcW w:type="dxa" w:w="72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7"/>
              </w:rPr>
              <w:t>status, pass/fail gates, anomalies, exclusions, linked replacement run</w:t>
            </w:r>
          </w:p>
        </w:tc>
      </w:tr>
    </w:tbl>
    <w:p>
      <w:pPr>
        <w:pStyle w:val="Heading2"/>
        <w:keepNext/>
        <w:pageBreakBefore w:val="0"/>
      </w:pPr>
      <w:r>
        <w:rPr>
          <w:rFonts w:ascii="Times New Roman" w:hAnsi="Times New Roman" w:eastAsia="Times New Roman"/>
          <w:b/>
          <w:color w:val="111111"/>
          <w:sz w:val="27"/>
        </w:rPr>
        <w:t>5.2 Results ledger</w:t>
      </w:r>
    </w:p>
    <w:p>
      <w:pPr>
        <w:keepLines w:val="0"/>
        <w:spacing w:before="0" w:after="120" w:line="288" w:lineRule="auto"/>
        <w:jc w:val="both"/>
      </w:pPr>
      <w:r>
        <w:rPr>
          <w:rFonts w:ascii="Times New Roman" w:hAnsi="Times New Roman" w:eastAsia="Times New Roman"/>
          <w:i w:val="0"/>
          <w:color w:val="111111"/>
          <w:sz w:val="22"/>
        </w:rPr>
        <w:t>Maintain one machine-readable ledger in CSV or JSONL. Each row should identify condition, seed, model state, precision, metric name, value, direction, source file, evaluator SHA, and verification status. Add `supersedes` and `reason` fields for corrected results. Generate thesis tables and plots from this ledger so that prose cannot drift away from data.</w:t>
      </w:r>
    </w:p>
    <w:p>
      <w:pPr>
        <w:pStyle w:val="Heading2"/>
        <w:keepNext/>
        <w:pageBreakBefore w:val="0"/>
      </w:pPr>
      <w:r>
        <w:rPr>
          <w:rFonts w:ascii="Times New Roman" w:hAnsi="Times New Roman" w:eastAsia="Times New Roman"/>
          <w:b/>
          <w:color w:val="111111"/>
          <w:sz w:val="27"/>
        </w:rPr>
        <w:t>5.3 Decision and deviation log</w:t>
      </w:r>
    </w:p>
    <w:p>
      <w:pPr>
        <w:keepLines w:val="0"/>
        <w:spacing w:before="0" w:after="120" w:line="288" w:lineRule="auto"/>
        <w:jc w:val="both"/>
      </w:pPr>
      <w:r>
        <w:rPr>
          <w:rFonts w:ascii="Times New Roman" w:hAnsi="Times New Roman" w:eastAsia="Times New Roman"/>
          <w:i w:val="0"/>
          <w:color w:val="111111"/>
          <w:sz w:val="22"/>
        </w:rPr>
        <w:t>Every methodological change after the freeze must record date, proposer, reason, affected runs, whether the change was made before seeing final outcomes, and the rerun decision. Examples include changing the utility floor, dropping a seed, altering a quantiser, changing the attribution target, or switching C7. This log is one of the strongest defences against accidental cherry-picking.</w:t>
      </w:r>
    </w:p>
    <w:p>
      <w:pPr>
        <w:pStyle w:val="Heading1"/>
        <w:keepNext/>
        <w:pageBreakBefore w:val="0"/>
      </w:pPr>
      <w:r>
        <w:rPr>
          <w:rFonts w:ascii="Times New Roman" w:hAnsi="Times New Roman" w:eastAsia="Times New Roman"/>
          <w:b/>
          <w:color w:val="111111"/>
          <w:sz w:val="32"/>
        </w:rPr>
        <w:t>6. How to write the eventual research paper</w:t>
      </w:r>
    </w:p>
    <w:p>
      <w:pPr>
        <w:keepLines w:val="0"/>
        <w:spacing w:before="0" w:after="120" w:line="288" w:lineRule="auto"/>
        <w:jc w:val="both"/>
      </w:pPr>
      <w:r>
        <w:rPr>
          <w:rFonts w:ascii="Times New Roman" w:hAnsi="Times New Roman" w:eastAsia="Times New Roman"/>
          <w:i w:val="0"/>
          <w:color w:val="111111"/>
          <w:sz w:val="22"/>
        </w:rPr>
        <w:t>The thesis and the paper are related but not identical. The thesis justifies the whole programme and preserves implementation history. A conference or workshop paper should be a compact empirical argument with one central claim, one primary table, clear ablations, and a reproducible artefact. Use the common IMRaD logic: introduction, related work, method, experiments/results, discussion/limitations, conclusion, references, and appendix. Do not copy the thesis chapter-by-chapter into a paper.</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1650"/>
        <w:gridCol w:w="7150"/>
      </w:tblGrid>
      <w:tr>
        <w:trPr>
          <w:cantSplit/>
          <w:tblHeader w:val="true"/>
        </w:trPr>
        <w:tc>
          <w:tcPr>
            <w:tcW w:type="dxa" w:w="16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Section</w:t>
            </w:r>
          </w:p>
        </w:tc>
        <w:tc>
          <w:tcPr>
            <w:tcW w:type="dxa" w:w="71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Required content</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Title/abstract</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State model, benchmark, attack, method, and measured outcome; no untested promise.</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Introduction</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Problem, concrete QRA risk, exact gap, contributions, and result summary.</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Related work</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QRA evidence/countermeasures, NPO, Ssiuu/relearning, QAT/LoRA, evaluation.</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Method</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Model states, faithful equations, quantiser location, ablations, compute envelope.</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Experiments</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Datasets, baselines, seeds, metrics/directions, hardware, utility floor, statistics.</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Results</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All seeds; main Pareto table; precision/relearning plots; failure and sensitivity analyses.</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Discussion</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Mechanism-supported interpretation, null/negative cases, scope and validity threats.</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Reproducibility</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Code/data/model availability, licences, manifest, compute, configuration hashes.</w:t>
            </w:r>
          </w:p>
        </w:tc>
      </w:tr>
      <w:tr>
        <w:trPr>
          <w:cantSplit/>
        </w:trPr>
        <w:tc>
          <w:tcPr>
            <w:tcW w:type="dxa" w:w="16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Ethics/limitations</w:t>
            </w:r>
          </w:p>
        </w:tc>
        <w:tc>
          <w:tcPr>
            <w:tcW w:type="dxa" w:w="71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No legal guarantee, synthetic-data limitations, dual-use and release controls.</w:t>
            </w:r>
          </w:p>
        </w:tc>
      </w:tr>
    </w:tbl>
    <w:p>
      <w:pPr>
        <w:pStyle w:val="Heading1"/>
        <w:keepNext/>
        <w:pageBreakBefore w:val="0"/>
      </w:pPr>
      <w:r>
        <w:rPr>
          <w:rFonts w:ascii="Times New Roman" w:hAnsi="Times New Roman" w:eastAsia="Times New Roman"/>
          <w:b/>
          <w:color w:val="111111"/>
          <w:sz w:val="32"/>
        </w:rPr>
        <w:t>7. arXiv preparation</w:t>
      </w:r>
    </w:p>
    <w:p>
      <w:pPr>
        <w:keepLines w:val="0"/>
        <w:spacing w:before="0" w:after="120" w:line="288" w:lineRule="auto"/>
        <w:jc w:val="both"/>
      </w:pPr>
      <w:r>
        <w:rPr>
          <w:rFonts w:ascii="Times New Roman" w:hAnsi="Times New Roman" w:eastAsia="Times New Roman"/>
          <w:i w:val="0"/>
          <w:color w:val="111111"/>
          <w:sz w:val="22"/>
        </w:rPr>
        <w:t>arXiv is a public preprint repository, not peer review. Upload only after both authors and the supervisor approve the exact public version, authorship order, licences, acknowledgements, repository state, and release timing. Check the target venue’s dual-submission and anonymity policy before making a preprint public.</w:t>
      </w:r>
    </w:p>
    <w:p>
      <w:pPr>
        <w:pStyle w:val="ListBullet"/>
        <w:spacing w:after="80" w:line="276" w:lineRule="auto"/>
      </w:pPr>
      <w:r>
        <w:rPr>
          <w:rFonts w:ascii="Times New Roman" w:hAnsi="Times New Roman" w:eastAsia="Times New Roman"/>
          <w:color w:val="111111"/>
          <w:sz w:val="22"/>
        </w:rPr>
        <w:t>Create or verify arXiv accounts and institutional email addresses early; obtain category endorsement if the account requires it.</w:t>
      </w:r>
    </w:p>
    <w:p>
      <w:pPr>
        <w:pStyle w:val="ListBullet"/>
        <w:spacing w:after="80" w:line="276" w:lineRule="auto"/>
      </w:pPr>
      <w:r>
        <w:rPr>
          <w:rFonts w:ascii="Times New Roman" w:hAnsi="Times New Roman" w:eastAsia="Times New Roman"/>
          <w:color w:val="111111"/>
          <w:sz w:val="22"/>
        </w:rPr>
        <w:t>Select the most appropriate primary category, likely cs.LG or cs.AI, only after reviewing current category guidance; add a cross-list only when substantively justified.</w:t>
      </w:r>
    </w:p>
    <w:p>
      <w:pPr>
        <w:pStyle w:val="ListBullet"/>
        <w:spacing w:after="80" w:line="276" w:lineRule="auto"/>
      </w:pPr>
      <w:r>
        <w:rPr>
          <w:rFonts w:ascii="Times New Roman" w:hAnsi="Times New Roman" w:eastAsia="Times New Roman"/>
          <w:color w:val="111111"/>
          <w:sz w:val="22"/>
        </w:rPr>
        <w:t>Prepare a self-contained LaTeX source package with all figures, bibliography files, style files permitted by arXiv, and no absolute paths or private artefacts.</w:t>
      </w:r>
    </w:p>
    <w:p>
      <w:pPr>
        <w:pStyle w:val="ListBullet"/>
        <w:spacing w:after="80" w:line="276" w:lineRule="auto"/>
      </w:pPr>
      <w:r>
        <w:rPr>
          <w:rFonts w:ascii="Times New Roman" w:hAnsi="Times New Roman" w:eastAsia="Times New Roman"/>
          <w:color w:val="111111"/>
          <w:sz w:val="22"/>
        </w:rPr>
        <w:t>Compile from a clean directory. Inspect fonts, equations, links, references, accessibility, figure readability, and PDF metadata.</w:t>
      </w:r>
    </w:p>
    <w:p>
      <w:pPr>
        <w:pStyle w:val="ListBullet"/>
        <w:spacing w:after="80" w:line="276" w:lineRule="auto"/>
      </w:pPr>
      <w:r>
        <w:rPr>
          <w:rFonts w:ascii="Times New Roman" w:hAnsi="Times New Roman" w:eastAsia="Times New Roman"/>
          <w:color w:val="111111"/>
          <w:sz w:val="22"/>
        </w:rPr>
        <w:t>Remove secrets, private Drive links, tokens, usernames that should not be public, embedded checkpoint paths, and restricted dataset content.</w:t>
      </w:r>
    </w:p>
    <w:p>
      <w:pPr>
        <w:pStyle w:val="ListBullet"/>
        <w:spacing w:after="80" w:line="276" w:lineRule="auto"/>
      </w:pPr>
      <w:r>
        <w:rPr>
          <w:rFonts w:ascii="Times New Roman" w:hAnsi="Times New Roman" w:eastAsia="Times New Roman"/>
          <w:color w:val="111111"/>
          <w:sz w:val="22"/>
        </w:rPr>
        <w:t>Choose the submission licence with all authors and the supervisor. A permissive code licence does not automatically license the paper, model, or data.</w:t>
      </w:r>
    </w:p>
    <w:p>
      <w:pPr>
        <w:pStyle w:val="ListBullet"/>
        <w:spacing w:after="80" w:line="276" w:lineRule="auto"/>
      </w:pPr>
      <w:r>
        <w:rPr>
          <w:rFonts w:ascii="Times New Roman" w:hAnsi="Times New Roman" w:eastAsia="Times New Roman"/>
          <w:color w:val="111111"/>
          <w:sz w:val="22"/>
        </w:rPr>
        <w:t>Write comments that state page count, code URL, and publication status accurately. Never label a submission accepted until it is officially accepted.</w:t>
      </w:r>
    </w:p>
    <w:p>
      <w:pPr>
        <w:pStyle w:val="ListBullet"/>
        <w:spacing w:after="80" w:line="276" w:lineRule="auto"/>
      </w:pPr>
      <w:r>
        <w:rPr>
          <w:rFonts w:ascii="Times New Roman" w:hAnsi="Times New Roman" w:eastAsia="Times New Roman"/>
          <w:color w:val="111111"/>
          <w:sz w:val="22"/>
        </w:rPr>
        <w:t>After announcement, preserve the submitted source, arXiv identifier, version date, and change log. Upload revisions when scientific content changes materially.</w:t>
      </w:r>
    </w:p>
    <w:p>
      <w:pPr>
        <w:spacing w:after="80"/>
      </w:pPr>
      <w:r>
        <w:rPr>
          <w:rFonts w:ascii="Times New Roman" w:hAnsi="Times New Roman" w:eastAsia="Times New Roman"/>
          <w:b/>
          <w:color w:val="111111"/>
          <w:sz w:val="21"/>
        </w:rPr>
        <w:t xml:space="preserve">Official arXiv submission overview: </w:t>
      </w:r>
      <w:hyperlink r:id="rId9">
        <w:r>
          <w:rPr>
            <w:rFonts w:ascii="Times New Roman" w:hAnsi="Times New Roman"/>
            <w:color w:val="1F5A94"/>
            <w:u w:val="single"/>
            <w:sz w:val="21"/>
            <w:szCs w:val="21"/>
          </w:rPr>
          <w:t>https://info.arxiv.org/help/submit/index.html</w:t>
        </w:r>
      </w:hyperlink>
    </w:p>
    <w:p>
      <w:pPr>
        <w:spacing w:after="80"/>
      </w:pPr>
      <w:r>
        <w:rPr>
          <w:rFonts w:ascii="Times New Roman" w:hAnsi="Times New Roman" w:eastAsia="Times New Roman"/>
          <w:b/>
          <w:color w:val="111111"/>
          <w:sz w:val="21"/>
        </w:rPr>
        <w:t xml:space="preserve">Official format requirements: </w:t>
      </w:r>
      <w:hyperlink r:id="rId10">
        <w:r>
          <w:rPr>
            <w:rFonts w:ascii="Times New Roman" w:hAnsi="Times New Roman"/>
            <w:color w:val="1F5A94"/>
            <w:u w:val="single"/>
            <w:sz w:val="21"/>
            <w:szCs w:val="21"/>
          </w:rPr>
          <w:t>https://info.arxiv.org/help/policies/format_requirements.html</w:t>
        </w:r>
      </w:hyperlink>
    </w:p>
    <w:p>
      <w:pPr>
        <w:spacing w:after="80"/>
      </w:pPr>
      <w:r>
        <w:rPr>
          <w:rFonts w:ascii="Times New Roman" w:hAnsi="Times New Roman" w:eastAsia="Times New Roman"/>
          <w:b/>
          <w:color w:val="111111"/>
          <w:sz w:val="21"/>
        </w:rPr>
        <w:t xml:space="preserve">Official TeX submission guidance: </w:t>
      </w:r>
      <w:hyperlink r:id="rId11">
        <w:r>
          <w:rPr>
            <w:rFonts w:ascii="Times New Roman" w:hAnsi="Times New Roman"/>
            <w:color w:val="1F5A94"/>
            <w:u w:val="single"/>
            <w:sz w:val="21"/>
            <w:szCs w:val="21"/>
          </w:rPr>
          <w:t>https://info.arxiv.org/help/submit_tex.html</w:t>
        </w:r>
      </w:hyperlink>
    </w:p>
    <w:p>
      <w:pPr>
        <w:spacing w:after="80"/>
      </w:pPr>
      <w:r>
        <w:rPr>
          <w:rFonts w:ascii="Times New Roman" w:hAnsi="Times New Roman" w:eastAsia="Times New Roman"/>
          <w:b/>
          <w:color w:val="111111"/>
          <w:sz w:val="21"/>
        </w:rPr>
        <w:t xml:space="preserve">Official endorsement guidance: </w:t>
      </w:r>
      <w:hyperlink r:id="rId12">
        <w:r>
          <w:rPr>
            <w:rFonts w:ascii="Times New Roman" w:hAnsi="Times New Roman"/>
            <w:color w:val="1F5A94"/>
            <w:u w:val="single"/>
            <w:sz w:val="21"/>
            <w:szCs w:val="21"/>
          </w:rPr>
          <w:t>https://info.arxiv.org/help/endorsement.html</w:t>
        </w:r>
      </w:hyperlink>
    </w:p>
    <w:p>
      <w:pPr>
        <w:spacing w:after="80"/>
      </w:pPr>
      <w:r>
        <w:rPr>
          <w:rFonts w:ascii="Times New Roman" w:hAnsi="Times New Roman" w:eastAsia="Times New Roman"/>
          <w:b/>
          <w:color w:val="111111"/>
          <w:sz w:val="21"/>
        </w:rPr>
        <w:t xml:space="preserve">Official content-type policy: </w:t>
      </w:r>
      <w:hyperlink r:id="rId13">
        <w:r>
          <w:rPr>
            <w:rFonts w:ascii="Times New Roman" w:hAnsi="Times New Roman"/>
            <w:color w:val="1F5A94"/>
            <w:u w:val="single"/>
            <w:sz w:val="21"/>
            <w:szCs w:val="21"/>
          </w:rPr>
          <w:t>https://info.arxiv.org/help/policies/content-types.html</w:t>
        </w:r>
      </w:hyperlink>
    </w:p>
    <w:p>
      <w:pPr>
        <w:pStyle w:val="Heading1"/>
        <w:keepNext/>
        <w:pageBreakBefore w:val="0"/>
      </w:pPr>
      <w:r>
        <w:rPr>
          <w:rFonts w:ascii="Times New Roman" w:hAnsi="Times New Roman" w:eastAsia="Times New Roman"/>
          <w:b/>
          <w:color w:val="111111"/>
          <w:sz w:val="32"/>
        </w:rPr>
        <w:t>8. Venue and release strategy</w:t>
      </w:r>
    </w:p>
    <w:p>
      <w:pPr>
        <w:keepLines w:val="0"/>
        <w:spacing w:before="0" w:after="120" w:line="288" w:lineRule="auto"/>
        <w:jc w:val="both"/>
      </w:pPr>
      <w:r>
        <w:rPr>
          <w:rFonts w:ascii="Times New Roman" w:hAnsi="Times New Roman" w:eastAsia="Times New Roman"/>
          <w:i w:val="0"/>
          <w:color w:val="111111"/>
          <w:sz w:val="22"/>
        </w:rPr>
        <w:t>Do not select a venue only by prestige. Match the final evidence. A machine-learning or NLP workshop is suitable for a carefully scoped resource-bounded study or strong negative result; a main conference requires broader baselines, stronger statistical evidence, and a clearer methodological advance. An IEEE venue may suit the reliability/security framing if the threat model and experimental controls are strong. Current deadlines and policies change, so verify them on the official venue site at the time of submission.</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3000"/>
        <w:gridCol w:w="5800"/>
      </w:tblGrid>
      <w:tr>
        <w:trPr>
          <w:cantSplit/>
          <w:tblHeader w:val="true"/>
        </w:trPr>
        <w:tc>
          <w:tcPr>
            <w:tcW w:type="dxa" w:w="30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Final evidence pattern</w:t>
            </w:r>
          </w:p>
        </w:tc>
        <w:tc>
          <w:tcPr>
            <w:tcW w:type="dxa" w:w="58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Defensible paper position</w:t>
            </w:r>
          </w:p>
        </w:tc>
      </w:tr>
      <w:tr>
        <w:trPr>
          <w:cantSplit/>
        </w:trPr>
        <w:tc>
          <w:tcPr>
            <w:tcW w:type="dxa" w:w="3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Strong positive interaction</w:t>
            </w:r>
          </w:p>
        </w:tc>
        <w:tc>
          <w:tcPr>
            <w:tcW w:type="dxa" w:w="5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Method/empirical track at an ML or NLP venue; lead with ablation-supported complementarity and deployment audit.</w:t>
            </w:r>
          </w:p>
        </w:tc>
      </w:tr>
      <w:tr>
        <w:trPr>
          <w:cantSplit/>
        </w:trPr>
        <w:tc>
          <w:tcPr>
            <w:tcW w:type="dxa" w:w="3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FQ helps; attribution is neutral</w:t>
            </w:r>
          </w:p>
        </w:tc>
        <w:tc>
          <w:tcPr>
            <w:tcW w:type="dxa" w:w="5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Quantisation-robust unlearning paper; report attribution null honestly and simplify the claimed contribution.</w:t>
            </w:r>
          </w:p>
        </w:tc>
      </w:tr>
      <w:tr>
        <w:trPr>
          <w:cantSplit/>
        </w:trPr>
        <w:tc>
          <w:tcPr>
            <w:tcW w:type="dxa" w:w="3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Attribution helps relearning; not QRA</w:t>
            </w:r>
          </w:p>
        </w:tc>
        <w:tc>
          <w:tcPr>
            <w:tcW w:type="dxa" w:w="5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Robust-unlearning/relearning study; separate faithfulness from quantisation permanence.</w:t>
            </w:r>
          </w:p>
        </w:tc>
      </w:tr>
      <w:tr>
        <w:trPr>
          <w:cantSplit/>
        </w:trPr>
        <w:tc>
          <w:tcPr>
            <w:tcW w:type="dxa" w:w="3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No component improves the Pareto frontier</w:t>
            </w:r>
          </w:p>
        </w:tc>
        <w:tc>
          <w:tcPr>
            <w:tcW w:type="dxa" w:w="5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Negative-results/reliability workshop; lead with failed assumptions, corrected metrics, and reproducible diagnostic protocol.</w:t>
            </w:r>
          </w:p>
        </w:tc>
      </w:tr>
      <w:tr>
        <w:trPr>
          <w:cantSplit/>
        </w:trPr>
        <w:tc>
          <w:tcPr>
            <w:tcW w:type="dxa" w:w="3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Method remains implementation-limited</w:t>
            </w:r>
          </w:p>
        </w:tc>
        <w:tc>
          <w:tcPr>
            <w:tcW w:type="dxa" w:w="5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Do not publish outcome claims; release a technical report only after method fidelity and evaluator tests are complete.</w:t>
            </w:r>
          </w:p>
        </w:tc>
      </w:tr>
    </w:tbl>
    <w:p>
      <w:pPr>
        <w:spacing w:after="80"/>
      </w:pPr>
      <w:r>
        <w:rPr>
          <w:rFonts w:ascii="Times New Roman" w:hAnsi="Times New Roman" w:eastAsia="Times New Roman"/>
          <w:b/>
          <w:color w:val="111111"/>
          <w:sz w:val="21"/>
        </w:rPr>
        <w:t xml:space="preserve">NeurIPS paper checklist: </w:t>
      </w:r>
      <w:hyperlink r:id="rId14">
        <w:r>
          <w:rPr>
            <w:rFonts w:ascii="Times New Roman" w:hAnsi="Times New Roman"/>
            <w:color w:val="1F5A94"/>
            <w:u w:val="single"/>
            <w:sz w:val="21"/>
            <w:szCs w:val="21"/>
          </w:rPr>
          <w:t>https://neurips.cc/public/guides/PaperChecklist</w:t>
        </w:r>
      </w:hyperlink>
    </w:p>
    <w:p>
      <w:pPr>
        <w:spacing w:after="80"/>
      </w:pPr>
      <w:r>
        <w:rPr>
          <w:rFonts w:ascii="Times New Roman" w:hAnsi="Times New Roman" w:eastAsia="Times New Roman"/>
          <w:b/>
          <w:color w:val="111111"/>
          <w:sz w:val="21"/>
        </w:rPr>
        <w:t xml:space="preserve">IEEE paper structure guidance: </w:t>
      </w:r>
      <w:hyperlink r:id="rId15">
        <w:r>
          <w:rPr>
            <w:rFonts w:ascii="Times New Roman" w:hAnsi="Times New Roman"/>
            <w:color w:val="1F5A94"/>
            <w:u w:val="single"/>
            <w:sz w:val="21"/>
            <w:szCs w:val="21"/>
          </w:rPr>
          <w:t>https://conferences.ieeeauthorcenter.ieee.org/write-your-paper/structure-your-paper/</w:t>
        </w:r>
      </w:hyperlink>
    </w:p>
    <w:p>
      <w:pPr>
        <w:pStyle w:val="Heading1"/>
        <w:keepNext/>
        <w:pageBreakBefore w:val="0"/>
      </w:pPr>
      <w:r>
        <w:rPr>
          <w:rFonts w:ascii="Times New Roman" w:hAnsi="Times New Roman" w:eastAsia="Times New Roman"/>
          <w:b/>
          <w:color w:val="111111"/>
          <w:sz w:val="32"/>
        </w:rPr>
        <w:t>9. Public artefact readiness checklist</w:t>
      </w:r>
    </w:p>
    <w:p>
      <w:pPr>
        <w:pStyle w:val="ListBullet"/>
        <w:spacing w:after="80" w:line="276" w:lineRule="auto"/>
      </w:pPr>
      <w:r>
        <w:rPr>
          <w:rFonts w:ascii="Times New Roman" w:hAnsi="Times New Roman" w:eastAsia="Times New Roman"/>
          <w:color w:val="111111"/>
          <w:sz w:val="22"/>
        </w:rPr>
        <w:t>Repository default branch contains a reproducible README, exact environment lock, licence, citation file, and security/contact policy.</w:t>
      </w:r>
    </w:p>
    <w:p>
      <w:pPr>
        <w:pStyle w:val="ListBullet"/>
        <w:spacing w:after="80" w:line="276" w:lineRule="auto"/>
      </w:pPr>
      <w:r>
        <w:rPr>
          <w:rFonts w:ascii="Times New Roman" w:hAnsi="Times New Roman" w:eastAsia="Times New Roman"/>
          <w:color w:val="111111"/>
          <w:sz w:val="22"/>
        </w:rPr>
        <w:t>One documented command reproduces preprocessing; one smoke command validates the evaluator; one manifest maps paper tables to result files.</w:t>
      </w:r>
    </w:p>
    <w:p>
      <w:pPr>
        <w:pStyle w:val="ListBullet"/>
        <w:spacing w:after="80" w:line="276" w:lineRule="auto"/>
      </w:pPr>
      <w:r>
        <w:rPr>
          <w:rFonts w:ascii="Times New Roman" w:hAnsi="Times New Roman" w:eastAsia="Times New Roman"/>
          <w:color w:val="111111"/>
          <w:sz w:val="22"/>
        </w:rPr>
        <w:t>Configs for every reported condition and seed are included. Large checkpoints are hosted under compatible licences with checksums, or the release limitation is stated.</w:t>
      </w:r>
    </w:p>
    <w:p>
      <w:pPr>
        <w:pStyle w:val="ListBullet"/>
        <w:spacing w:after="80" w:line="276" w:lineRule="auto"/>
      </w:pPr>
      <w:r>
        <w:rPr>
          <w:rFonts w:ascii="Times New Roman" w:hAnsi="Times New Roman" w:eastAsia="Times New Roman"/>
          <w:color w:val="111111"/>
          <w:sz w:val="22"/>
        </w:rPr>
        <w:t>No tests are silently skipped in the release path. Expected skips are named and do not cover claimed functionality.</w:t>
      </w:r>
    </w:p>
    <w:p>
      <w:pPr>
        <w:pStyle w:val="ListBullet"/>
        <w:spacing w:after="80" w:line="276" w:lineRule="auto"/>
      </w:pPr>
      <w:r>
        <w:rPr>
          <w:rFonts w:ascii="Times New Roman" w:hAnsi="Times New Roman" w:eastAsia="Times New Roman"/>
          <w:color w:val="111111"/>
          <w:sz w:val="22"/>
        </w:rPr>
        <w:t>Random seeds, deterministic settings and known nondeterminism are documented; hardware and compute cost are reported.</w:t>
      </w:r>
    </w:p>
    <w:p>
      <w:pPr>
        <w:pStyle w:val="ListBullet"/>
        <w:spacing w:after="80" w:line="276" w:lineRule="auto"/>
      </w:pPr>
      <w:r>
        <w:rPr>
          <w:rFonts w:ascii="Times New Roman" w:hAnsi="Times New Roman" w:eastAsia="Times New Roman"/>
          <w:color w:val="111111"/>
          <w:sz w:val="22"/>
        </w:rPr>
        <w:t>Model cards/results cards state intended use, limitations, failure cases, dataset licences, quantiser scope, and that empirical durability is not legal proof.</w:t>
      </w:r>
    </w:p>
    <w:p>
      <w:pPr>
        <w:pStyle w:val="ListBullet"/>
        <w:spacing w:after="80" w:line="276" w:lineRule="auto"/>
      </w:pPr>
      <w:r>
        <w:rPr>
          <w:rFonts w:ascii="Times New Roman" w:hAnsi="Times New Roman" w:eastAsia="Times New Roman"/>
          <w:color w:val="111111"/>
          <w:sz w:val="22"/>
        </w:rPr>
        <w:t>All plots and tables are regenerated from the results ledger in a clean environment and checked against raw per-example files.</w:t>
      </w:r>
    </w:p>
    <w:p>
      <w:pPr>
        <w:pStyle w:val="ListBullet"/>
        <w:spacing w:after="80" w:line="276" w:lineRule="auto"/>
      </w:pPr>
      <w:r>
        <w:rPr>
          <w:rFonts w:ascii="Times New Roman" w:hAnsi="Times New Roman" w:eastAsia="Times New Roman"/>
          <w:color w:val="111111"/>
          <w:sz w:val="22"/>
        </w:rPr>
        <w:t>The public release is approved by both authors and the supervisor; no private Drive file or credential appears in git history or packaged source.</w:t>
      </w:r>
    </w:p>
    <w:p>
      <w:pPr>
        <w:pStyle w:val="Heading1"/>
        <w:keepNext/>
        <w:pageBreakBefore w:val="0"/>
      </w:pPr>
      <w:r>
        <w:rPr>
          <w:rFonts w:ascii="Times New Roman" w:hAnsi="Times New Roman" w:eastAsia="Times New Roman"/>
          <w:b/>
          <w:color w:val="111111"/>
          <w:sz w:val="32"/>
        </w:rPr>
        <w:t>10. Decisions still requiring confirmation</w:t>
      </w:r>
    </w:p>
    <w:p>
      <w:pPr>
        <w:keepLines w:val="0"/>
        <w:spacing w:before="0" w:after="120" w:line="288" w:lineRule="auto"/>
        <w:jc w:val="both"/>
      </w:pPr>
      <w:r>
        <w:rPr>
          <w:rFonts w:ascii="Times New Roman" w:hAnsi="Times New Roman" w:eastAsia="Times New Roman"/>
          <w:i w:val="0"/>
          <w:color w:val="111111"/>
          <w:sz w:val="22"/>
        </w:rPr>
        <w:t>These questions were not necessary to draft Chapters 1–3, so the thesis uses explicit conditional language. Resolve them before freezing the main experiment or public manuscript:</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800"/>
        <w:gridCol w:w="8000"/>
      </w:tblGrid>
      <w:tr>
        <w:trPr>
          <w:cantSplit/>
          <w:tblHeader w:val="true"/>
        </w:trPr>
        <w:tc>
          <w:tcPr>
            <w:tcW w:type="dxa" w:w="8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ID</w:t>
            </w:r>
          </w:p>
        </w:tc>
        <w:tc>
          <w:tcPr>
            <w:tcW w:type="dxa" w:w="80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Decision</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D1</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Will the final attribution component reproduce published Ssiuu, or remain an explicitly new LayerIG surrogate?</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D2</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What exact deployment quantiser, codebook, group size, scale policy, and adapter-merge order define the primary 4-bit claim?</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D3</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Which direct baseline is mandatory for C7, and can it be reproduced faithfully within the hardware budget?</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D4</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Will C8 be reimplemented as faithful QUAIL or removed from the confirmatory design?</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D5</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What retained-utility floor and failure rule will be frozen before final outcomes are inspected?</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D6</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Is MUSE-News required for the degree submission or only a publication extension?</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D7</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What author order, contribution statement, code/model release scope, and paper licence do both authors and the supervisor approve?</w:t>
            </w:r>
          </w:p>
        </w:tc>
      </w:tr>
      <w:tr>
        <w:trPr>
          <w:cantSplit/>
        </w:trPr>
        <w:tc>
          <w:tcPr>
            <w:tcW w:type="dxa" w:w="8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D8</w:t>
            </w:r>
          </w:p>
        </w:tc>
        <w:tc>
          <w:tcPr>
            <w:tcW w:type="dxa" w:w="80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Which venue family is the target after results: workshop, conference main track, journal, or technical report first?</w:t>
            </w:r>
          </w:p>
        </w:tc>
      </w:tr>
    </w:tbl>
    <w:p>
      <w:pPr>
        <w:pStyle w:val="Heading1"/>
        <w:keepNext/>
        <w:pageBreakBefore w:val="0"/>
      </w:pPr>
      <w:r>
        <w:rPr>
          <w:rFonts w:ascii="Times New Roman" w:hAnsi="Times New Roman" w:eastAsia="Times New Roman"/>
          <w:b/>
          <w:color w:val="111111"/>
          <w:sz w:val="32"/>
        </w:rPr>
        <w:t>11. Immediate next deliverables</w:t>
      </w:r>
    </w:p>
    <w:tbl>
      <w:tblPr>
        <w:tblW w:type="dxa" w:w="8800"/>
        <w:jc w:val="left"/>
        <w:tblLayout w:type="fixed"/>
        <w:tblLook w:firstColumn="1" w:firstRow="1" w:lastColumn="0" w:lastRow="0" w:noHBand="0" w:noVBand="1" w:val="04A0"/>
        <w:tblBorders>
          <w:top w:val="single" w:sz="4" w:space="0" w:color="C9CDD2"/>
          <w:left w:val="single" w:sz="4" w:space="0" w:color="C9CDD2"/>
          <w:bottom w:val="single" w:sz="4" w:space="0" w:color="C9CDD2"/>
          <w:right w:val="single" w:sz="4" w:space="0" w:color="C9CDD2"/>
          <w:insideH w:val="single" w:sz="4" w:space="0" w:color="C9CDD2"/>
          <w:insideV w:val="single" w:sz="4" w:space="0" w:color="C9CDD2"/>
        </w:tblBorders>
      </w:tblPr>
      <w:tblGrid>
        <w:gridCol w:w="750"/>
        <w:gridCol w:w="2200"/>
        <w:gridCol w:w="5850"/>
      </w:tblGrid>
      <w:tr>
        <w:trPr>
          <w:cantSplit/>
          <w:tblHeader w:val="true"/>
        </w:trPr>
        <w:tc>
          <w:tcPr>
            <w:tcW w:type="dxa" w:w="7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Order</w:t>
            </w:r>
          </w:p>
        </w:tc>
        <w:tc>
          <w:tcPr>
            <w:tcW w:type="dxa" w:w="220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Deliverable</w:t>
            </w:r>
          </w:p>
        </w:tc>
        <w:tc>
          <w:tcPr>
            <w:tcW w:type="dxa" w:w="5850"/>
            <w:vAlign w:val="top"/>
            <w:tcMar>
              <w:top w:w="70" w:type="dxa"/>
              <w:start w:w="100" w:type="dxa"/>
              <w:bottom w:w="70" w:type="dxa"/>
              <w:end w:w="100" w:type="dxa"/>
            </w:tcMar>
            <w:shd w:fill="F3F4F6"/>
          </w:tcPr>
          <w:p>
            <w:pPr>
              <w:pStyle w:val="TableText"/>
              <w:spacing w:after="40" w:line="240" w:lineRule="auto"/>
              <w:jc w:val="left"/>
            </w:pPr>
            <w:r>
              <w:rPr>
                <w:rFonts w:ascii="Times New Roman" w:hAnsi="Times New Roman" w:eastAsia="Times New Roman"/>
                <w:b/>
                <w:color w:val="111111"/>
                <w:sz w:val="18"/>
              </w:rPr>
              <w:t>Definition of done</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1</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Correction PR</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P0 fixes, tests, updated documentation, exact environment lock.</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2</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Pre-registration sheet</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Frozen conditions, seeds, metrics, directions, utility floor, exclusion rules, analysis plan.</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3</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One-run evidence bundle</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End-to-end dry run with manifest and inspected generations.</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4</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Main-results ledger</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All conditions/seeds/precisions with immutable per-example sources.</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5</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Thesis v1.0</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Update Chapters 3–5, abstract, references, appendices, limitations, and status.</w:t>
            </w:r>
          </w:p>
        </w:tc>
      </w:tr>
      <w:tr>
        <w:trPr>
          <w:cantSplit/>
        </w:trPr>
        <w:tc>
          <w:tcPr>
            <w:tcW w:type="dxa" w:w="7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6</w:t>
            </w:r>
          </w:p>
        </w:tc>
        <w:tc>
          <w:tcPr>
            <w:tcW w:type="dxa" w:w="220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Paper package</w:t>
            </w:r>
          </w:p>
        </w:tc>
        <w:tc>
          <w:tcPr>
            <w:tcW w:type="dxa" w:w="5850"/>
            <w:vAlign w:val="top"/>
            <w:tcMar>
              <w:top w:w="70" w:type="dxa"/>
              <w:start w:w="100" w:type="dxa"/>
              <w:bottom w:w="70" w:type="dxa"/>
              <w:end w:w="100" w:type="dxa"/>
            </w:tcMar>
          </w:tcPr>
          <w:p>
            <w:pPr>
              <w:pStyle w:val="TableText"/>
              <w:spacing w:after="40" w:line="240" w:lineRule="auto"/>
              <w:jc w:val="left"/>
            </w:pPr>
            <w:r>
              <w:rPr>
                <w:rFonts w:ascii="Times New Roman" w:hAnsi="Times New Roman" w:eastAsia="Times New Roman"/>
                <w:b w:val="0"/>
                <w:color w:val="111111"/>
                <w:sz w:val="18"/>
              </w:rPr>
              <w:t>LaTeX manuscript, figures, checklist, artefact manifest, author/supervisor approvals.</w:t>
            </w:r>
          </w:p>
        </w:tc>
      </w:tr>
    </w:tbl>
    <w:p>
      <w:pPr>
        <w:spacing w:before="120" w:after="160" w:line="276" w:lineRule="auto"/>
        <w:ind w:left="202" w:right="202"/>
        <w:jc w:val="left"/>
        <w:shd w:fill="EAF1F7"/>
        <w:pBdr>
          <w:top w:val="single" w:sz="6" w:space="4" w:color="C9CDD2"/>
          <w:left w:val="single" w:sz="6" w:space="4" w:color="C9CDD2"/>
          <w:bottom w:val="single" w:sz="6" w:space="4" w:color="C9CDD2"/>
          <w:right w:val="single" w:sz="6" w:space="4" w:color="C9CDD2"/>
        </w:pBdr>
      </w:pPr>
      <w:r>
        <w:rPr>
          <w:rFonts w:ascii="Times New Roman" w:hAnsi="Times New Roman" w:eastAsia="Times New Roman"/>
          <w:b/>
          <w:color w:val="111111"/>
          <w:sz w:val="22"/>
        </w:rPr>
        <w:t>Final control principle</w:t>
      </w:r>
      <w:r>
        <w:rPr>
          <w:rFonts w:ascii="Times New Roman" w:hAnsi="Times New Roman" w:eastAsia="Times New Roman"/>
          <w:color w:val="111111"/>
          <w:sz w:val="21"/>
        </w:rPr>
        <w:br/>
        <w:t>A method name is not evidence that the intended computation occurred. Every claim should resolve to an equation, an implementation test, an immutable run, a raw output, and a correctly defined metric.</w:t>
      </w:r>
    </w:p>
    <w:sectPr w:rsidR="00FC693F" w:rsidRPr="0006063C" w:rsidSect="00034616">
      <w:headerReference w:type="default" r:id="rId16"/>
      <w:footerReference w:type="default" r:id="rId17"/>
      <w:pgSz w:w="12240" w:h="15840"/>
      <w:pgMar w:top="1224" w:right="1296" w:bottom="1224" w:left="1296"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61666D"/>
        <w:sz w:val="17"/>
      </w:rPr>
      <w:t xml:space="preserve">Page </w:t>
    </w:r>
    <w:r>
      <w:rPr>
        <w:rFonts w:ascii="Times New Roman" w:hAnsi="Times New Roman" w:eastAsia="Times New Roman"/>
        <w:color w:val="61666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61666D"/>
        <w:sz w:val="17"/>
      </w:rPr>
      <w:t>FQ-SSIUU  |  Research Control and Publication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Times New Roman" w:hAnsi="Times New Roman"/>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Times New Roman" w:hAnsi="Times New Roman"/>
      <w:b/>
      <w:bCs/>
      <w:color w:val="111111"/>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40" w:line="240" w:lineRule="auto"/>
      <w:jc w:val="left"/>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fo.arxiv.org/help/submit/index.html" TargetMode="External"/><Relationship Id="rId10" Type="http://schemas.openxmlformats.org/officeDocument/2006/relationships/hyperlink" Target="https://info.arxiv.org/help/policies/format_requirements.html" TargetMode="External"/><Relationship Id="rId11" Type="http://schemas.openxmlformats.org/officeDocument/2006/relationships/hyperlink" Target="https://info.arxiv.org/help/submit_tex.html" TargetMode="External"/><Relationship Id="rId12" Type="http://schemas.openxmlformats.org/officeDocument/2006/relationships/hyperlink" Target="https://info.arxiv.org/help/endorsement.html" TargetMode="External"/><Relationship Id="rId13" Type="http://schemas.openxmlformats.org/officeDocument/2006/relationships/hyperlink" Target="https://info.arxiv.org/help/policies/content-types.html" TargetMode="External"/><Relationship Id="rId14" Type="http://schemas.openxmlformats.org/officeDocument/2006/relationships/hyperlink" Target="https://neurips.cc/public/guides/PaperChecklist" TargetMode="External"/><Relationship Id="rId15" Type="http://schemas.openxmlformats.org/officeDocument/2006/relationships/hyperlink" Target="https://conferences.ieeeauthorcenter.ieee.org/write-your-paper/structure-your-paper/" TargetMode="Externa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FQ-SSIUU Research Control and Publication Guide</dc:title>
  <dc:subject>Omissions, corrections, execution gates, documentation, and publication preparation</dc:subject>
  <dc:creator>Prepared for Muhammad Arslan and Rohan Ahmed</dc:creator>
  <cp:keywords>research audit, reproducibility, arXiv, machine unlearning, publication</cp:keywords>
  <dc:description>generated by python-docx</dc:description>
  <cp:lastModifiedBy/>
  <cp:revision>1</cp:revision>
  <dcterms:created xsi:type="dcterms:W3CDTF">2013-12-23T23:15:00Z</dcterms:created>
  <dcterms:modified xsi:type="dcterms:W3CDTF">2013-12-23T23:15:00Z</dcterms:modified>
  <cp:category/>
</cp:coreProperties>
</file>