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920" w:after="440"/>
        <w:jc w:val="center"/>
        <w:rPr/>
      </w:pPr>
      <w:r>
        <w:rPr>
          <w:rFonts w:eastAsia="Times New Roman"/>
          <w:b/>
          <w:color w:val="111111"/>
          <w:sz w:val="46"/>
        </w:rPr>
        <w:t>FQ-SSIUU</w:t>
      </w:r>
    </w:p>
    <w:p>
      <w:pPr>
        <w:pStyle w:val="Normal"/>
        <w:spacing w:before="0" w:after="560"/>
        <w:jc w:val="center"/>
        <w:rPr/>
      </w:pPr>
      <w:r>
        <w:rPr>
          <w:rFonts w:eastAsia="Times New Roman"/>
          <w:b/>
          <w:color w:val="111111"/>
          <w:sz w:val="36"/>
        </w:rPr>
        <w:t>Verifiable Machine Unlearning Against Quantisation Recovery Attacks in Large Language Models</w:t>
      </w:r>
    </w:p>
    <w:p>
      <w:pPr>
        <w:pStyle w:val="Normal"/>
        <w:spacing w:before="0" w:after="720"/>
        <w:jc w:val="center"/>
        <w:rPr/>
      </w:pPr>
      <w:r>
        <w:rPr>
          <w:rFonts w:eastAsia="Times New Roman"/>
          <w:i/>
          <w:color w:val="30343B"/>
          <w:sz w:val="28"/>
        </w:rPr>
        <w:t>Working Thesis Draft — Chapters 1–3</w:t>
      </w:r>
    </w:p>
    <w:tbl>
      <w:tblPr>
        <w:tblW w:w="8800" w:type="dxa"/>
        <w:jc w:val="start"/>
        <w:tblInd w:w="95" w:type="dxa"/>
        <w:tblLayout w:type="fixed"/>
        <w:tblCellMar>
          <w:top w:w="70" w:type="dxa"/>
          <w:start w:w="100" w:type="dxa"/>
          <w:bottom w:w="70" w:type="dxa"/>
          <w:end w:w="100" w:type="dxa"/>
        </w:tblCellMar>
        <w:tblLook w:noHBand="0" w:noVBand="1" w:firstColumn="1" w:lastRow="0" w:lastColumn="0" w:firstRow="1" w:val="04a0"/>
      </w:tblPr>
      <w:tblGrid>
        <w:gridCol w:w="1899"/>
        <w:gridCol w:w="6901"/>
      </w:tblGrid>
      <w:tr>
        <w:trPr>
          <w:cantSplit/>
        </w:trPr>
        <w:tc>
          <w:tcPr>
            <w:tcW w:w="1899" w:type="dxa"/>
            <w:tcBorders>
              <w:top w:val="single" w:sz="4" w:space="0" w:color="C9CDD2"/>
              <w:start w:val="single" w:sz="4" w:space="0" w:color="C9CDD2"/>
              <w:bottom w:val="single" w:sz="4" w:space="0" w:color="C9CDD2"/>
              <w:end w:val="single" w:sz="4" w:space="0" w:color="C9CDD2"/>
            </w:tcBorders>
            <w:shd w:fill="F3F4F6" w:val="clear"/>
          </w:tcPr>
          <w:p>
            <w:pPr>
              <w:pStyle w:val="TableText"/>
              <w:spacing w:lineRule="auto" w:line="240" w:before="0" w:after="40"/>
              <w:jc w:val="start"/>
              <w:rPr/>
            </w:pPr>
            <w:r>
              <w:rPr>
                <w:rFonts w:eastAsia="Times New Roman"/>
                <w:b/>
                <w:color w:val="111111"/>
                <w:sz w:val="21"/>
              </w:rPr>
              <w:t>Authors</w:t>
            </w:r>
          </w:p>
        </w:tc>
        <w:tc>
          <w:tcPr>
            <w:tcW w:w="690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21"/>
              </w:rPr>
              <w:t>Muhammad Arslan — 23BSAI020</w:t>
              <w:br/>
              <w:t>Rohan Ahmed — 23BSAI008</w:t>
            </w:r>
          </w:p>
        </w:tc>
      </w:tr>
      <w:tr>
        <w:trPr>
          <w:cantSplit/>
        </w:trPr>
        <w:tc>
          <w:tcPr>
            <w:tcW w:w="1899" w:type="dxa"/>
            <w:tcBorders>
              <w:top w:val="single" w:sz="4" w:space="0" w:color="C9CDD2"/>
              <w:start w:val="single" w:sz="4" w:space="0" w:color="C9CDD2"/>
              <w:bottom w:val="single" w:sz="4" w:space="0" w:color="C9CDD2"/>
              <w:end w:val="single" w:sz="4" w:space="0" w:color="C9CDD2"/>
            </w:tcBorders>
            <w:shd w:fill="F3F4F6" w:val="clear"/>
          </w:tcPr>
          <w:p>
            <w:pPr>
              <w:pStyle w:val="TableText"/>
              <w:spacing w:lineRule="auto" w:line="240" w:before="0" w:after="40"/>
              <w:jc w:val="start"/>
              <w:rPr/>
            </w:pPr>
            <w:r>
              <w:rPr>
                <w:rFonts w:eastAsia="Times New Roman"/>
                <w:b/>
                <w:color w:val="111111"/>
                <w:sz w:val="21"/>
              </w:rPr>
              <w:t>Supervisor</w:t>
            </w:r>
          </w:p>
        </w:tc>
        <w:tc>
          <w:tcPr>
            <w:tcW w:w="690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21"/>
              </w:rPr>
              <w:t>Dr. Sania Bhatti</w:t>
            </w:r>
          </w:p>
        </w:tc>
      </w:tr>
      <w:tr>
        <w:trPr>
          <w:cantSplit/>
        </w:trPr>
        <w:tc>
          <w:tcPr>
            <w:tcW w:w="1899" w:type="dxa"/>
            <w:tcBorders>
              <w:top w:val="single" w:sz="4" w:space="0" w:color="C9CDD2"/>
              <w:start w:val="single" w:sz="4" w:space="0" w:color="C9CDD2"/>
              <w:bottom w:val="single" w:sz="4" w:space="0" w:color="C9CDD2"/>
              <w:end w:val="single" w:sz="4" w:space="0" w:color="C9CDD2"/>
            </w:tcBorders>
            <w:shd w:fill="F3F4F6" w:val="clear"/>
          </w:tcPr>
          <w:p>
            <w:pPr>
              <w:pStyle w:val="TableText"/>
              <w:spacing w:lineRule="auto" w:line="240" w:before="0" w:after="40"/>
              <w:jc w:val="start"/>
              <w:rPr/>
            </w:pPr>
            <w:r>
              <w:rPr>
                <w:rFonts w:eastAsia="Times New Roman"/>
                <w:b/>
                <w:color w:val="111111"/>
                <w:sz w:val="21"/>
              </w:rPr>
              <w:t>Programme</w:t>
            </w:r>
          </w:p>
        </w:tc>
        <w:tc>
          <w:tcPr>
            <w:tcW w:w="690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21"/>
              </w:rPr>
              <w:t>BS Artificial Intelligence</w:t>
            </w:r>
          </w:p>
        </w:tc>
      </w:tr>
      <w:tr>
        <w:trPr>
          <w:cantSplit/>
        </w:trPr>
        <w:tc>
          <w:tcPr>
            <w:tcW w:w="1899" w:type="dxa"/>
            <w:tcBorders>
              <w:top w:val="single" w:sz="4" w:space="0" w:color="C9CDD2"/>
              <w:start w:val="single" w:sz="4" w:space="0" w:color="C9CDD2"/>
              <w:bottom w:val="single" w:sz="4" w:space="0" w:color="C9CDD2"/>
              <w:end w:val="single" w:sz="4" w:space="0" w:color="C9CDD2"/>
            </w:tcBorders>
            <w:shd w:fill="F3F4F6" w:val="clear"/>
          </w:tcPr>
          <w:p>
            <w:pPr>
              <w:pStyle w:val="TableText"/>
              <w:spacing w:lineRule="auto" w:line="240" w:before="0" w:after="40"/>
              <w:jc w:val="start"/>
              <w:rPr/>
            </w:pPr>
            <w:r>
              <w:rPr>
                <w:rFonts w:eastAsia="Times New Roman"/>
                <w:b/>
                <w:color w:val="111111"/>
                <w:sz w:val="21"/>
              </w:rPr>
              <w:t>Institution</w:t>
            </w:r>
          </w:p>
        </w:tc>
        <w:tc>
          <w:tcPr>
            <w:tcW w:w="690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21"/>
              </w:rPr>
              <w:t>Mehran University of Engineering and Technology (MUET)</w:t>
            </w:r>
          </w:p>
        </w:tc>
      </w:tr>
      <w:tr>
        <w:trPr>
          <w:cantSplit/>
        </w:trPr>
        <w:tc>
          <w:tcPr>
            <w:tcW w:w="1899" w:type="dxa"/>
            <w:tcBorders>
              <w:top w:val="single" w:sz="4" w:space="0" w:color="C9CDD2"/>
              <w:start w:val="single" w:sz="4" w:space="0" w:color="C9CDD2"/>
              <w:bottom w:val="single" w:sz="4" w:space="0" w:color="C9CDD2"/>
              <w:end w:val="single" w:sz="4" w:space="0" w:color="C9CDD2"/>
            </w:tcBorders>
            <w:shd w:fill="F3F4F6" w:val="clear"/>
          </w:tcPr>
          <w:p>
            <w:pPr>
              <w:pStyle w:val="TableText"/>
              <w:spacing w:lineRule="auto" w:line="240" w:before="0" w:after="40"/>
              <w:jc w:val="start"/>
              <w:rPr/>
            </w:pPr>
            <w:r>
              <w:rPr>
                <w:rFonts w:eastAsia="Times New Roman"/>
                <w:b/>
                <w:color w:val="111111"/>
                <w:sz w:val="21"/>
              </w:rPr>
              <w:t>Academic year</w:t>
            </w:r>
          </w:p>
        </w:tc>
        <w:tc>
          <w:tcPr>
            <w:tcW w:w="690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21"/>
              </w:rPr>
              <w:t>2026–27</w:t>
            </w:r>
          </w:p>
        </w:tc>
      </w:tr>
      <w:tr>
        <w:trPr>
          <w:cantSplit/>
        </w:trPr>
        <w:tc>
          <w:tcPr>
            <w:tcW w:w="1899" w:type="dxa"/>
            <w:tcBorders>
              <w:top w:val="single" w:sz="4" w:space="0" w:color="C9CDD2"/>
              <w:start w:val="single" w:sz="4" w:space="0" w:color="C9CDD2"/>
              <w:bottom w:val="single" w:sz="4" w:space="0" w:color="C9CDD2"/>
              <w:end w:val="single" w:sz="4" w:space="0" w:color="C9CDD2"/>
            </w:tcBorders>
            <w:shd w:fill="F3F4F6" w:val="clear"/>
          </w:tcPr>
          <w:p>
            <w:pPr>
              <w:pStyle w:val="TableText"/>
              <w:spacing w:lineRule="auto" w:line="240" w:before="0" w:after="40"/>
              <w:jc w:val="start"/>
              <w:rPr/>
            </w:pPr>
            <w:r>
              <w:rPr>
                <w:rFonts w:eastAsia="Times New Roman"/>
                <w:b/>
                <w:color w:val="111111"/>
                <w:sz w:val="21"/>
              </w:rPr>
              <w:t>Document status</w:t>
            </w:r>
          </w:p>
        </w:tc>
        <w:tc>
          <w:tcPr>
            <w:tcW w:w="690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21"/>
              </w:rPr>
              <w:t>Version 0.9 · evidence cutoff 1 September 2026 · main experiment pending</w:t>
            </w:r>
          </w:p>
        </w:tc>
      </w:tr>
    </w:tbl>
    <w:p>
      <w:pPr>
        <w:pStyle w:val="Normal"/>
        <w:spacing w:before="60" w:after="100"/>
        <w:rPr/>
      </w:pPr>
      <w:r>
        <w:rPr>
          <w:rFonts w:eastAsia="Times New Roman"/>
          <w:i/>
          <w:color w:val="61666D"/>
          <w:sz w:val="17"/>
        </w:rPr>
        <w:t>This draft separates verified pilot observations from pending hypothesis tests. It must be updated after the corrected main experiments and supervisor review.</w:t>
      </w:r>
    </w:p>
    <w:p>
      <w:pPr>
        <w:pStyle w:val="Normal"/>
        <w:rPr/>
      </w:pPr>
      <w:r>
        <w:rPr/>
      </w:r>
      <w:r>
        <w:br w:type="page"/>
      </w:r>
    </w:p>
    <w:p>
      <w:pPr>
        <w:pStyle w:val="Heading1"/>
        <w:keepNext w:val="true"/>
        <w:spacing w:before="0" w:after="160"/>
        <w:rPr/>
      </w:pPr>
      <w:r>
        <w:rPr>
          <w:rFonts w:eastAsia="Times New Roman" w:ascii="Times New Roman" w:hAnsi="Times New Roman"/>
          <w:b/>
          <w:color w:val="111111"/>
          <w:sz w:val="32"/>
        </w:rPr>
        <w:t>Abstract (provisional)</w:t>
      </w:r>
    </w:p>
    <w:p>
      <w:pPr>
        <w:pStyle w:val="Normal"/>
        <w:keepLines w:val="false"/>
        <w:spacing w:lineRule="auto" w:line="360" w:before="0" w:after="120"/>
        <w:jc w:val="both"/>
        <w:rPr/>
      </w:pPr>
      <w:r>
        <w:rPr>
          <w:rFonts w:eastAsia="Times New Roman"/>
          <w:i w:val="false"/>
          <w:color w:val="111111"/>
          <w:sz w:val="24"/>
        </w:rPr>
        <w:t>Machine unlearning aims to remove the influence of designated data from a trained model without complete retraining. Recent work shows that an apparently successful large-language-model unlearning intervention may be partially reversed by ordinary low-bit quantisation, creating a quanti</w:t>
      </w:r>
      <w:r>
        <w:rPr>
          <w:rFonts w:eastAsia="Times New Roman"/>
          <w:i w:val="false"/>
          <w:color w:val="111111"/>
          <w:sz w:val="24"/>
        </w:rPr>
        <w:t>s</w:t>
      </w:r>
      <w:r>
        <w:rPr>
          <w:rFonts w:eastAsia="Times New Roman"/>
          <w:i w:val="false"/>
          <w:color w:val="111111"/>
          <w:sz w:val="24"/>
        </w:rPr>
        <w:t xml:space="preserve">ation recovery attack (QRA). This thesis investigates FQ-SSIUU, a resource-bounded integration of Negative Preference Optimisation (NPO), an attribution regulariser inspired by </w:t>
      </w:r>
      <w:r>
        <w:rPr>
          <w:rFonts w:eastAsia="Times New Roman"/>
          <w:i w:val="false"/>
          <w:color w:val="111111"/>
          <w:sz w:val="24"/>
        </w:rPr>
        <w:t>SSIUU</w:t>
      </w:r>
      <w:r>
        <w:rPr>
          <w:rFonts w:eastAsia="Times New Roman"/>
          <w:i w:val="false"/>
          <w:color w:val="111111"/>
          <w:sz w:val="24"/>
        </w:rPr>
        <w:t>, and fake-quantisation-aware optimisation for Llama-3.2-1B-Instruct. TOFU forget05 is the primary benchmark; MUSE-News is a planned secondary validation. The design evaluates forgetting, retained utility, privacy, generated behavior, and deployment durability across full precision, INT8, and 4-bit states. Four pilot studies established that the base NPO run, three-precision evaluation, offline Layer Integrated Gradients, and a reduced fake-quantisation training loop are computationally feasible below 16 GB. The pilots do not validate the full method: the present attribution loss is detached from the training graph, the fake quantiser acts on adapter outputs rather than the deployed effective weights, and an attempted QUAIL-like pilot was an incomplete surrogate that failed both forgetting and utility. Accordingly, this document reports a validated experimental programme and its implementation corrections, not final hypothesis results. The intended contribution is a reproducible ablation study of whether attribution faithfulness and quantisation-aware permanence are complementary under realistic student compute constraints.</w:t>
      </w:r>
    </w:p>
    <w:p>
      <w:pPr>
        <w:pStyle w:val="Normal"/>
        <w:pBdr>
          <w:top w:val="single" w:sz="6" w:space="4" w:color="C9CDD2"/>
          <w:left w:val="single" w:sz="6" w:space="4" w:color="C9CDD2"/>
          <w:bottom w:val="single" w:sz="6" w:space="4" w:color="C9CDD2"/>
          <w:right w:val="single" w:sz="6" w:space="4" w:color="C9CDD2"/>
        </w:pBdr>
        <w:shd w:fill="FFF5D9" w:val="clear"/>
        <w:spacing w:lineRule="auto" w:line="276" w:before="120" w:after="160"/>
        <w:ind w:start="202" w:end="202"/>
        <w:jc w:val="start"/>
        <w:rPr/>
      </w:pPr>
      <w:r>
        <w:rPr>
          <w:rFonts w:eastAsia="Times New Roman"/>
          <w:b/>
          <w:color w:val="111111"/>
          <w:sz w:val="24"/>
        </w:rPr>
        <w:t>Status of the abstract</w:t>
      </w:r>
      <w:r>
        <w:rPr>
          <w:rFonts w:eastAsia="Times New Roman"/>
          <w:color w:val="111111"/>
          <w:sz w:val="22"/>
        </w:rPr>
        <w:br/>
        <w:t>The methods and pilot statements are evidence-backed. No final-effect claim, significance result, or durability claim is made. Replace this abstract after the full multi-seed experiment.</w:t>
      </w:r>
      <w:r>
        <w:br w:type="page"/>
      </w:r>
    </w:p>
    <w:p>
      <w:pPr>
        <w:pStyle w:val="Heading1"/>
        <w:keepNext w:val="true"/>
        <w:rPr/>
      </w:pPr>
      <w:r>
        <w:rPr>
          <w:rFonts w:eastAsia="Times New Roman" w:ascii="Times New Roman" w:hAnsi="Times New Roman"/>
          <w:b/>
          <w:color w:val="111111"/>
          <w:sz w:val="32"/>
        </w:rPr>
        <w:t>Table of contents</w:t>
      </w:r>
    </w:p>
    <w:p>
      <w:pPr>
        <w:pStyle w:val="Normal"/>
        <w:tabs>
          <w:tab w:val="clear" w:pos="720"/>
          <w:tab w:val="right" w:pos="8352" w:leader="dot"/>
        </w:tabs>
        <w:spacing w:lineRule="auto" w:line="240" w:before="0" w:after="0"/>
        <w:ind w:start="0" w:end="72"/>
        <w:jc w:val="start"/>
        <w:rPr/>
      </w:pPr>
      <w:r>
        <w:rPr>
          <w:rFonts w:eastAsia="Times New Roman"/>
          <w:b/>
          <w:sz w:val="17"/>
        </w:rPr>
        <w:t>Abstract (provisional)</w:t>
        <w:tab/>
        <w:t>2</w:t>
      </w:r>
    </w:p>
    <w:p>
      <w:pPr>
        <w:pStyle w:val="Normal"/>
        <w:tabs>
          <w:tab w:val="clear" w:pos="720"/>
          <w:tab w:val="right" w:pos="8352" w:leader="dot"/>
        </w:tabs>
        <w:spacing w:lineRule="auto" w:line="240" w:before="0" w:after="0"/>
        <w:ind w:start="0" w:end="72"/>
        <w:jc w:val="start"/>
        <w:rPr/>
      </w:pPr>
      <w:r>
        <w:rPr>
          <w:rFonts w:eastAsia="Times New Roman"/>
          <w:b/>
          <w:sz w:val="17"/>
        </w:rPr>
        <w:t>Abbreviations</w:t>
        <w:tab/>
        <w:t>4</w:t>
      </w:r>
    </w:p>
    <w:p>
      <w:pPr>
        <w:pStyle w:val="Normal"/>
        <w:tabs>
          <w:tab w:val="clear" w:pos="720"/>
          <w:tab w:val="right" w:pos="8352" w:leader="dot"/>
        </w:tabs>
        <w:spacing w:lineRule="auto" w:line="240" w:before="0" w:after="0"/>
        <w:ind w:start="0" w:end="72"/>
        <w:jc w:val="start"/>
        <w:rPr/>
      </w:pPr>
      <w:r>
        <w:rPr>
          <w:rFonts w:eastAsia="Times New Roman"/>
          <w:b/>
          <w:sz w:val="17"/>
        </w:rPr>
        <w:t>CHAPTER 1 — INTRODUCTION</w:t>
        <w:tab/>
        <w:t>5</w:t>
      </w:r>
    </w:p>
    <w:p>
      <w:pPr>
        <w:pStyle w:val="Normal"/>
        <w:tabs>
          <w:tab w:val="clear" w:pos="720"/>
          <w:tab w:val="right" w:pos="8035" w:leader="dot"/>
        </w:tabs>
        <w:spacing w:lineRule="auto" w:line="240" w:before="0" w:after="0"/>
        <w:ind w:start="317" w:end="72"/>
        <w:jc w:val="start"/>
        <w:rPr/>
      </w:pPr>
      <w:r>
        <w:rPr>
          <w:rFonts w:eastAsia="Times New Roman"/>
          <w:b w:val="false"/>
          <w:sz w:val="17"/>
        </w:rPr>
        <w:t>1.1 Background</w:t>
        <w:tab/>
        <w:t>5</w:t>
      </w:r>
    </w:p>
    <w:p>
      <w:pPr>
        <w:pStyle w:val="Normal"/>
        <w:tabs>
          <w:tab w:val="clear" w:pos="720"/>
          <w:tab w:val="right" w:pos="8035" w:leader="dot"/>
        </w:tabs>
        <w:spacing w:lineRule="auto" w:line="240" w:before="0" w:after="0"/>
        <w:ind w:start="317" w:end="72"/>
        <w:jc w:val="start"/>
        <w:rPr/>
      </w:pPr>
      <w:r>
        <w:rPr>
          <w:rFonts w:eastAsia="Times New Roman"/>
          <w:b w:val="false"/>
          <w:sz w:val="17"/>
        </w:rPr>
        <w:t>1.2 Problem statement</w:t>
        <w:tab/>
        <w:t>6</w:t>
      </w:r>
    </w:p>
    <w:p>
      <w:pPr>
        <w:pStyle w:val="Normal"/>
        <w:tabs>
          <w:tab w:val="clear" w:pos="720"/>
          <w:tab w:val="right" w:pos="8035" w:leader="dot"/>
        </w:tabs>
        <w:spacing w:lineRule="auto" w:line="240" w:before="0" w:after="0"/>
        <w:ind w:start="317" w:end="72"/>
        <w:jc w:val="start"/>
        <w:rPr/>
      </w:pPr>
      <w:r>
        <w:rPr>
          <w:rFonts w:eastAsia="Times New Roman"/>
          <w:b w:val="false"/>
          <w:sz w:val="17"/>
        </w:rPr>
        <w:t>1.3 Motivation and significance</w:t>
        <w:tab/>
        <w:t>6</w:t>
      </w:r>
    </w:p>
    <w:p>
      <w:pPr>
        <w:pStyle w:val="Normal"/>
        <w:tabs>
          <w:tab w:val="clear" w:pos="720"/>
          <w:tab w:val="right" w:pos="8035" w:leader="dot"/>
        </w:tabs>
        <w:spacing w:lineRule="auto" w:line="240" w:before="0" w:after="0"/>
        <w:ind w:start="317" w:end="72"/>
        <w:jc w:val="start"/>
        <w:rPr/>
      </w:pPr>
      <w:r>
        <w:rPr>
          <w:rFonts w:eastAsia="Times New Roman"/>
          <w:b w:val="false"/>
          <w:sz w:val="17"/>
        </w:rPr>
        <w:t>1.4 Aim</w:t>
        <w:tab/>
        <w:t>7</w:t>
      </w:r>
    </w:p>
    <w:p>
      <w:pPr>
        <w:pStyle w:val="Normal"/>
        <w:tabs>
          <w:tab w:val="clear" w:pos="720"/>
          <w:tab w:val="right" w:pos="8035" w:leader="dot"/>
        </w:tabs>
        <w:spacing w:lineRule="auto" w:line="240" w:before="0" w:after="0"/>
        <w:ind w:start="317" w:end="72"/>
        <w:jc w:val="start"/>
        <w:rPr/>
      </w:pPr>
      <w:r>
        <w:rPr>
          <w:rFonts w:eastAsia="Times New Roman"/>
          <w:b w:val="false"/>
          <w:sz w:val="17"/>
        </w:rPr>
        <w:t>1.5 Objectives</w:t>
        <w:tab/>
        <w:t>7</w:t>
      </w:r>
    </w:p>
    <w:p>
      <w:pPr>
        <w:pStyle w:val="Normal"/>
        <w:tabs>
          <w:tab w:val="clear" w:pos="720"/>
          <w:tab w:val="right" w:pos="8035" w:leader="dot"/>
        </w:tabs>
        <w:spacing w:lineRule="auto" w:line="240" w:before="0" w:after="0"/>
        <w:ind w:start="317" w:end="72"/>
        <w:jc w:val="start"/>
        <w:rPr/>
      </w:pPr>
      <w:r>
        <w:rPr>
          <w:rFonts w:eastAsia="Times New Roman"/>
          <w:b w:val="false"/>
          <w:sz w:val="17"/>
        </w:rPr>
        <w:t>1.6 Research questions</w:t>
        <w:tab/>
        <w:t>7</w:t>
      </w:r>
    </w:p>
    <w:p>
      <w:pPr>
        <w:pStyle w:val="Normal"/>
        <w:tabs>
          <w:tab w:val="clear" w:pos="720"/>
          <w:tab w:val="right" w:pos="8035" w:leader="dot"/>
        </w:tabs>
        <w:spacing w:lineRule="auto" w:line="240" w:before="0" w:after="0"/>
        <w:ind w:start="317" w:end="72"/>
        <w:jc w:val="start"/>
        <w:rPr/>
      </w:pPr>
      <w:r>
        <w:rPr>
          <w:rFonts w:eastAsia="Times New Roman"/>
          <w:b w:val="false"/>
          <w:sz w:val="17"/>
        </w:rPr>
        <w:t>1.7 Hypotheses and decision logic</w:t>
        <w:tab/>
        <w:t>8</w:t>
      </w:r>
    </w:p>
    <w:p>
      <w:pPr>
        <w:pStyle w:val="Normal"/>
        <w:tabs>
          <w:tab w:val="clear" w:pos="720"/>
          <w:tab w:val="right" w:pos="8035" w:leader="dot"/>
        </w:tabs>
        <w:spacing w:lineRule="auto" w:line="240" w:before="0" w:after="0"/>
        <w:ind w:start="317" w:end="72"/>
        <w:jc w:val="start"/>
        <w:rPr/>
      </w:pPr>
      <w:r>
        <w:rPr>
          <w:rFonts w:eastAsia="Times New Roman"/>
          <w:b w:val="false"/>
          <w:sz w:val="17"/>
        </w:rPr>
        <w:t>1.8 Proposed contributions</w:t>
        <w:tab/>
        <w:t>8</w:t>
      </w:r>
    </w:p>
    <w:p>
      <w:pPr>
        <w:pStyle w:val="Normal"/>
        <w:tabs>
          <w:tab w:val="clear" w:pos="720"/>
          <w:tab w:val="right" w:pos="8035" w:leader="dot"/>
        </w:tabs>
        <w:spacing w:lineRule="auto" w:line="240" w:before="0" w:after="0"/>
        <w:ind w:start="317" w:end="72"/>
        <w:jc w:val="start"/>
        <w:rPr/>
      </w:pPr>
      <w:r>
        <w:rPr>
          <w:rFonts w:eastAsia="Times New Roman"/>
          <w:b w:val="false"/>
          <w:sz w:val="17"/>
        </w:rPr>
        <w:t>1.9 Scope and delimitations</w:t>
        <w:tab/>
        <w:t>9</w:t>
      </w:r>
    </w:p>
    <w:p>
      <w:pPr>
        <w:pStyle w:val="Normal"/>
        <w:tabs>
          <w:tab w:val="clear" w:pos="720"/>
          <w:tab w:val="right" w:pos="8035" w:leader="dot"/>
        </w:tabs>
        <w:spacing w:lineRule="auto" w:line="240" w:before="0" w:after="0"/>
        <w:ind w:start="317" w:end="72"/>
        <w:jc w:val="start"/>
        <w:rPr/>
      </w:pPr>
      <w:r>
        <w:rPr>
          <w:rFonts w:eastAsia="Times New Roman"/>
          <w:b w:val="false"/>
          <w:sz w:val="17"/>
        </w:rPr>
        <w:t>1.10 Research status at this draft</w:t>
        <w:tab/>
        <w:t>9</w:t>
      </w:r>
    </w:p>
    <w:p>
      <w:pPr>
        <w:pStyle w:val="Normal"/>
        <w:tabs>
          <w:tab w:val="clear" w:pos="720"/>
          <w:tab w:val="right" w:pos="8035" w:leader="dot"/>
        </w:tabs>
        <w:spacing w:lineRule="auto" w:line="240" w:before="0" w:after="0"/>
        <w:ind w:start="317" w:end="72"/>
        <w:jc w:val="start"/>
        <w:rPr/>
      </w:pPr>
      <w:r>
        <w:rPr>
          <w:rFonts w:eastAsia="Times New Roman"/>
          <w:b w:val="false"/>
          <w:sz w:val="17"/>
        </w:rPr>
        <w:t>1.11 Thesis organisation</w:t>
        <w:tab/>
        <w:t>10</w:t>
      </w:r>
    </w:p>
    <w:p>
      <w:pPr>
        <w:pStyle w:val="Normal"/>
        <w:tabs>
          <w:tab w:val="clear" w:pos="720"/>
          <w:tab w:val="right" w:pos="8352" w:leader="dot"/>
        </w:tabs>
        <w:spacing w:lineRule="auto" w:line="240" w:before="0" w:after="0"/>
        <w:ind w:start="0" w:end="72"/>
        <w:jc w:val="start"/>
        <w:rPr/>
      </w:pPr>
      <w:r>
        <w:rPr>
          <w:rFonts w:eastAsia="Times New Roman"/>
          <w:b/>
          <w:sz w:val="17"/>
        </w:rPr>
        <w:t>CHAPTER 2 — LITERATURE REVIEW</w:t>
        <w:tab/>
        <w:t>11</w:t>
      </w:r>
    </w:p>
    <w:p>
      <w:pPr>
        <w:pStyle w:val="Normal"/>
        <w:tabs>
          <w:tab w:val="clear" w:pos="720"/>
          <w:tab w:val="right" w:pos="8035" w:leader="dot"/>
        </w:tabs>
        <w:spacing w:lineRule="auto" w:line="240" w:before="0" w:after="0"/>
        <w:ind w:start="317" w:end="72"/>
        <w:jc w:val="start"/>
        <w:rPr/>
      </w:pPr>
      <w:r>
        <w:rPr>
          <w:rFonts w:eastAsia="Times New Roman"/>
          <w:b w:val="false"/>
          <w:sz w:val="17"/>
        </w:rPr>
        <w:t>2.1 Chapter overview and project anchor</w:t>
        <w:tab/>
        <w:t>14</w:t>
      </w:r>
    </w:p>
    <w:p>
      <w:pPr>
        <w:pStyle w:val="Normal"/>
        <w:tabs>
          <w:tab w:val="clear" w:pos="720"/>
          <w:tab w:val="right" w:pos="8035" w:leader="dot"/>
        </w:tabs>
        <w:spacing w:lineRule="auto" w:line="240" w:before="0" w:after="0"/>
        <w:ind w:start="317" w:end="72"/>
        <w:jc w:val="start"/>
        <w:rPr/>
      </w:pPr>
      <w:r>
        <w:rPr>
          <w:rFonts w:eastAsia="Times New Roman"/>
          <w:b w:val="false"/>
          <w:sz w:val="17"/>
        </w:rPr>
        <w:t>2.2 Review design</w:t>
        <w:tab/>
        <w:t>14</w:t>
      </w:r>
    </w:p>
    <w:p>
      <w:pPr>
        <w:pStyle w:val="Normal"/>
        <w:tabs>
          <w:tab w:val="clear" w:pos="720"/>
          <w:tab w:val="right" w:pos="8035" w:leader="dot"/>
        </w:tabs>
        <w:spacing w:lineRule="auto" w:line="240" w:before="0" w:after="0"/>
        <w:ind w:start="317" w:end="72"/>
        <w:jc w:val="start"/>
        <w:rPr/>
      </w:pPr>
      <w:r>
        <w:rPr>
          <w:rFonts w:eastAsia="Times New Roman"/>
          <w:b w:val="false"/>
          <w:sz w:val="17"/>
        </w:rPr>
        <w:t>2.3 Conceptual foundations</w:t>
        <w:tab/>
        <w:t>17</w:t>
      </w:r>
    </w:p>
    <w:p>
      <w:pPr>
        <w:pStyle w:val="Normal"/>
        <w:tabs>
          <w:tab w:val="clear" w:pos="720"/>
          <w:tab w:val="right" w:pos="8035" w:leader="dot"/>
        </w:tabs>
        <w:spacing w:lineRule="auto" w:line="240" w:before="0" w:after="0"/>
        <w:ind w:start="317" w:end="72"/>
        <w:jc w:val="start"/>
        <w:rPr/>
      </w:pPr>
      <w:r>
        <w:rPr>
          <w:rFonts w:eastAsia="Times New Roman"/>
          <w:b w:val="false"/>
          <w:sz w:val="17"/>
        </w:rPr>
        <w:t>2.4 Benchmarks and evaluation foundations</w:t>
        <w:tab/>
        <w:t>18</w:t>
      </w:r>
    </w:p>
    <w:p>
      <w:pPr>
        <w:pStyle w:val="Normal"/>
        <w:tabs>
          <w:tab w:val="clear" w:pos="720"/>
          <w:tab w:val="right" w:pos="8035" w:leader="dot"/>
        </w:tabs>
        <w:spacing w:lineRule="auto" w:line="240" w:before="0" w:after="0"/>
        <w:ind w:start="317" w:end="72"/>
        <w:jc w:val="start"/>
        <w:rPr/>
      </w:pPr>
      <w:r>
        <w:rPr>
          <w:rFonts w:eastAsia="Times New Roman"/>
          <w:b w:val="false"/>
          <w:sz w:val="17"/>
        </w:rPr>
        <w:t>2.5 Base unlearning objective: NPO</w:t>
        <w:tab/>
        <w:t>19</w:t>
      </w:r>
    </w:p>
    <w:p>
      <w:pPr>
        <w:pStyle w:val="Normal"/>
        <w:tabs>
          <w:tab w:val="clear" w:pos="720"/>
          <w:tab w:val="right" w:pos="8035" w:leader="dot"/>
        </w:tabs>
        <w:spacing w:lineRule="auto" w:line="240" w:before="0" w:after="0"/>
        <w:ind w:start="317" w:end="72"/>
        <w:jc w:val="start"/>
        <w:rPr/>
      </w:pPr>
      <w:r>
        <w:rPr>
          <w:rFonts w:eastAsia="Times New Roman"/>
          <w:b w:val="false"/>
          <w:sz w:val="17"/>
        </w:rPr>
        <w:t>2.6 Direct evidence for quantisation recovery</w:t>
        <w:tab/>
        <w:t>20</w:t>
      </w:r>
    </w:p>
    <w:p>
      <w:pPr>
        <w:pStyle w:val="Normal"/>
        <w:tabs>
          <w:tab w:val="clear" w:pos="720"/>
          <w:tab w:val="right" w:pos="8035" w:leader="dot"/>
        </w:tabs>
        <w:spacing w:lineRule="auto" w:line="240" w:before="0" w:after="0"/>
        <w:ind w:start="317" w:end="72"/>
        <w:jc w:val="start"/>
        <w:rPr/>
      </w:pPr>
      <w:r>
        <w:rPr>
          <w:rFonts w:eastAsia="Times New Roman"/>
          <w:b w:val="false"/>
          <w:sz w:val="17"/>
        </w:rPr>
        <w:t>2.7 Attribution-guided and mechanistic unlearning</w:t>
        <w:tab/>
        <w:t>22</w:t>
      </w:r>
    </w:p>
    <w:p>
      <w:pPr>
        <w:pStyle w:val="Normal"/>
        <w:tabs>
          <w:tab w:val="clear" w:pos="720"/>
          <w:tab w:val="right" w:pos="8035" w:leader="dot"/>
        </w:tabs>
        <w:spacing w:lineRule="auto" w:line="240" w:before="0" w:after="0"/>
        <w:ind w:start="317" w:end="72"/>
        <w:jc w:val="start"/>
        <w:rPr/>
      </w:pPr>
      <w:r>
        <w:rPr>
          <w:rFonts w:eastAsia="Times New Roman"/>
          <w:b w:val="false"/>
          <w:sz w:val="17"/>
        </w:rPr>
        <w:t>2.8 Quantisation-aware training and resource-efficient adaptation</w:t>
        <w:tab/>
        <w:t>23</w:t>
      </w:r>
    </w:p>
    <w:p>
      <w:pPr>
        <w:pStyle w:val="Normal"/>
        <w:tabs>
          <w:tab w:val="clear" w:pos="720"/>
          <w:tab w:val="right" w:pos="8035" w:leader="dot"/>
        </w:tabs>
        <w:spacing w:lineRule="auto" w:line="240" w:before="0" w:after="0"/>
        <w:ind w:start="317" w:end="72"/>
        <w:jc w:val="start"/>
        <w:rPr/>
      </w:pPr>
      <w:r>
        <w:rPr>
          <w:rFonts w:eastAsia="Times New Roman"/>
          <w:b w:val="false"/>
          <w:sz w:val="17"/>
        </w:rPr>
        <w:t>2.9 Cross-study synthesis</w:t>
        <w:tab/>
        <w:t>25</w:t>
      </w:r>
    </w:p>
    <w:p>
      <w:pPr>
        <w:pStyle w:val="Normal"/>
        <w:tabs>
          <w:tab w:val="clear" w:pos="720"/>
          <w:tab w:val="right" w:pos="8035" w:leader="dot"/>
        </w:tabs>
        <w:spacing w:lineRule="auto" w:line="240" w:before="0" w:after="0"/>
        <w:ind w:start="317" w:end="72"/>
        <w:jc w:val="start"/>
        <w:rPr/>
      </w:pPr>
      <w:r>
        <w:rPr>
          <w:rFonts w:eastAsia="Times New Roman"/>
          <w:b w:val="false"/>
          <w:sz w:val="17"/>
        </w:rPr>
        <w:t>2.10 Pakistan and regional evidence</w:t>
        <w:tab/>
        <w:t>26</w:t>
      </w:r>
    </w:p>
    <w:p>
      <w:pPr>
        <w:pStyle w:val="Normal"/>
        <w:tabs>
          <w:tab w:val="clear" w:pos="720"/>
          <w:tab w:val="right" w:pos="8035" w:leader="dot"/>
        </w:tabs>
        <w:spacing w:lineRule="auto" w:line="240" w:before="0" w:after="0"/>
        <w:ind w:start="317" w:end="72"/>
        <w:jc w:val="start"/>
        <w:rPr/>
      </w:pPr>
      <w:r>
        <w:rPr>
          <w:rFonts w:eastAsia="Times New Roman"/>
          <w:b w:val="false"/>
          <w:sz w:val="17"/>
        </w:rPr>
        <w:t>2.11 Research gap and defensible positioning</w:t>
        <w:tab/>
        <w:t>27</w:t>
      </w:r>
    </w:p>
    <w:p>
      <w:pPr>
        <w:pStyle w:val="Normal"/>
        <w:tabs>
          <w:tab w:val="clear" w:pos="720"/>
          <w:tab w:val="right" w:pos="8035" w:leader="dot"/>
        </w:tabs>
        <w:spacing w:lineRule="auto" w:line="240" w:before="0" w:after="0"/>
        <w:ind w:start="317" w:end="72"/>
        <w:jc w:val="start"/>
        <w:rPr/>
      </w:pPr>
      <w:r>
        <w:rPr>
          <w:rFonts w:eastAsia="Times New Roman"/>
          <w:b w:val="false"/>
          <w:sz w:val="17"/>
        </w:rPr>
        <w:t>2.12 Literature-derived requirements for Chapter 3</w:t>
        <w:tab/>
        <w:t>28</w:t>
      </w:r>
    </w:p>
    <w:p>
      <w:pPr>
        <w:pStyle w:val="Normal"/>
        <w:tabs>
          <w:tab w:val="clear" w:pos="720"/>
          <w:tab w:val="right" w:pos="8035" w:leader="dot"/>
        </w:tabs>
        <w:spacing w:lineRule="auto" w:line="240" w:before="0" w:after="0"/>
        <w:ind w:start="317" w:end="72"/>
        <w:jc w:val="start"/>
        <w:rPr/>
      </w:pPr>
      <w:r>
        <w:rPr>
          <w:rFonts w:eastAsia="Times New Roman"/>
          <w:b w:val="false"/>
          <w:sz w:val="17"/>
        </w:rPr>
        <w:t>2.13 Proposed research questions and hypotheses</w:t>
        <w:tab/>
        <w:t>29</w:t>
      </w:r>
    </w:p>
    <w:p>
      <w:pPr>
        <w:pStyle w:val="Normal"/>
        <w:tabs>
          <w:tab w:val="clear" w:pos="720"/>
          <w:tab w:val="right" w:pos="8035" w:leader="dot"/>
        </w:tabs>
        <w:spacing w:lineRule="auto" w:line="240" w:before="0" w:after="0"/>
        <w:ind w:start="317" w:end="72"/>
        <w:jc w:val="start"/>
        <w:rPr/>
      </w:pPr>
      <w:r>
        <w:rPr>
          <w:rFonts w:eastAsia="Times New Roman"/>
          <w:b w:val="false"/>
          <w:sz w:val="17"/>
        </w:rPr>
        <w:t>2.14 Chapter summary</w:t>
        <w:tab/>
        <w:t>29</w:t>
      </w:r>
    </w:p>
    <w:p>
      <w:pPr>
        <w:pStyle w:val="Normal"/>
        <w:tabs>
          <w:tab w:val="clear" w:pos="720"/>
          <w:tab w:val="right" w:pos="8352" w:leader="dot"/>
        </w:tabs>
        <w:spacing w:lineRule="auto" w:line="240" w:before="0" w:after="0"/>
        <w:ind w:start="0" w:end="72"/>
        <w:jc w:val="start"/>
        <w:rPr/>
      </w:pPr>
      <w:r>
        <w:rPr>
          <w:rFonts w:eastAsia="Times New Roman"/>
          <w:b/>
          <w:sz w:val="17"/>
        </w:rPr>
        <w:t>CHAPTER 3 — RESEARCH METHODOLOGY</w:t>
        <w:tab/>
        <w:t>31</w:t>
      </w:r>
    </w:p>
    <w:p>
      <w:pPr>
        <w:pStyle w:val="Normal"/>
        <w:tabs>
          <w:tab w:val="clear" w:pos="720"/>
          <w:tab w:val="right" w:pos="8035" w:leader="dot"/>
        </w:tabs>
        <w:spacing w:lineRule="auto" w:line="240" w:before="0" w:after="0"/>
        <w:ind w:start="317" w:end="72"/>
        <w:jc w:val="start"/>
        <w:rPr/>
      </w:pPr>
      <w:r>
        <w:rPr>
          <w:rFonts w:eastAsia="Times New Roman"/>
          <w:b w:val="false"/>
          <w:sz w:val="17"/>
        </w:rPr>
        <w:t>3.1 Chapter purpose and research design</w:t>
        <w:tab/>
        <w:t>31</w:t>
      </w:r>
    </w:p>
    <w:p>
      <w:pPr>
        <w:pStyle w:val="Normal"/>
        <w:tabs>
          <w:tab w:val="clear" w:pos="720"/>
          <w:tab w:val="right" w:pos="8035" w:leader="dot"/>
        </w:tabs>
        <w:spacing w:lineRule="auto" w:line="240" w:before="0" w:after="0"/>
        <w:ind w:start="317" w:end="72"/>
        <w:jc w:val="start"/>
        <w:rPr/>
      </w:pPr>
      <w:r>
        <w:rPr>
          <w:rFonts w:eastAsia="Times New Roman"/>
          <w:b w:val="false"/>
          <w:sz w:val="17"/>
        </w:rPr>
        <w:t>3.2 Threat model and operational definitions</w:t>
        <w:tab/>
        <w:t>31</w:t>
      </w:r>
    </w:p>
    <w:p>
      <w:pPr>
        <w:pStyle w:val="Normal"/>
        <w:tabs>
          <w:tab w:val="clear" w:pos="720"/>
          <w:tab w:val="right" w:pos="8035" w:leader="dot"/>
        </w:tabs>
        <w:spacing w:lineRule="auto" w:line="240" w:before="0" w:after="0"/>
        <w:ind w:start="317" w:end="72"/>
        <w:jc w:val="start"/>
        <w:rPr/>
      </w:pPr>
      <w:r>
        <w:rPr>
          <w:rFonts w:eastAsia="Times New Roman"/>
          <w:b w:val="false"/>
          <w:sz w:val="17"/>
        </w:rPr>
        <w:t>3.3 Experimental platform, model, and data</w:t>
        <w:tab/>
        <w:t>32</w:t>
      </w:r>
    </w:p>
    <w:p>
      <w:pPr>
        <w:pStyle w:val="Normal"/>
        <w:tabs>
          <w:tab w:val="clear" w:pos="720"/>
          <w:tab w:val="right" w:pos="8035" w:leader="dot"/>
        </w:tabs>
        <w:spacing w:lineRule="auto" w:line="240" w:before="0" w:after="0"/>
        <w:ind w:start="317" w:end="72"/>
        <w:jc w:val="start"/>
        <w:rPr/>
      </w:pPr>
      <w:r>
        <w:rPr>
          <w:rFonts w:eastAsia="Times New Roman"/>
          <w:b w:val="false"/>
          <w:sz w:val="17"/>
        </w:rPr>
        <w:t>3.4 Proposed method</w:t>
        <w:tab/>
        <w:t>33</w:t>
      </w:r>
    </w:p>
    <w:p>
      <w:pPr>
        <w:pStyle w:val="Normal"/>
        <w:tabs>
          <w:tab w:val="clear" w:pos="720"/>
          <w:tab w:val="right" w:pos="8035" w:leader="dot"/>
        </w:tabs>
        <w:spacing w:lineRule="auto" w:line="240" w:before="0" w:after="0"/>
        <w:ind w:start="317" w:end="72"/>
        <w:jc w:val="start"/>
        <w:rPr/>
      </w:pPr>
      <w:r>
        <w:rPr>
          <w:rFonts w:eastAsia="Times New Roman"/>
          <w:b w:val="false"/>
          <w:sz w:val="17"/>
        </w:rPr>
        <w:t>3.5 Experimental conditions and controls</w:t>
        <w:tab/>
        <w:t>35</w:t>
      </w:r>
    </w:p>
    <w:p>
      <w:pPr>
        <w:pStyle w:val="Normal"/>
        <w:tabs>
          <w:tab w:val="clear" w:pos="720"/>
          <w:tab w:val="right" w:pos="8035" w:leader="dot"/>
        </w:tabs>
        <w:spacing w:lineRule="auto" w:line="240" w:before="0" w:after="0"/>
        <w:ind w:start="317" w:end="72"/>
        <w:jc w:val="start"/>
        <w:rPr/>
      </w:pPr>
      <w:r>
        <w:rPr>
          <w:rFonts w:eastAsia="Times New Roman"/>
          <w:b w:val="false"/>
          <w:sz w:val="17"/>
        </w:rPr>
        <w:t>3.6 Evaluation framework</w:t>
        <w:tab/>
        <w:t>35</w:t>
      </w:r>
    </w:p>
    <w:p>
      <w:pPr>
        <w:pStyle w:val="Normal"/>
        <w:tabs>
          <w:tab w:val="clear" w:pos="720"/>
          <w:tab w:val="right" w:pos="8035" w:leader="dot"/>
        </w:tabs>
        <w:spacing w:lineRule="auto" w:line="240" w:before="0" w:after="0"/>
        <w:ind w:start="317" w:end="72"/>
        <w:jc w:val="start"/>
        <w:rPr/>
      </w:pPr>
      <w:r>
        <w:rPr>
          <w:rFonts w:eastAsia="Times New Roman"/>
          <w:b w:val="false"/>
          <w:sz w:val="17"/>
        </w:rPr>
        <w:t>3.7 Statistical analysis plan</w:t>
        <w:tab/>
        <w:t>37</w:t>
      </w:r>
    </w:p>
    <w:p>
      <w:pPr>
        <w:pStyle w:val="Normal"/>
        <w:tabs>
          <w:tab w:val="clear" w:pos="720"/>
          <w:tab w:val="right" w:pos="8035" w:leader="dot"/>
        </w:tabs>
        <w:spacing w:lineRule="auto" w:line="240" w:before="0" w:after="0"/>
        <w:ind w:start="317" w:end="72"/>
        <w:jc w:val="start"/>
        <w:rPr/>
      </w:pPr>
      <w:r>
        <w:rPr>
          <w:rFonts w:eastAsia="Times New Roman"/>
          <w:b w:val="false"/>
          <w:sz w:val="17"/>
        </w:rPr>
        <w:t>3.8 Completed pilot programme</w:t>
        <w:tab/>
        <w:t>37</w:t>
      </w:r>
    </w:p>
    <w:p>
      <w:pPr>
        <w:pStyle w:val="Normal"/>
        <w:tabs>
          <w:tab w:val="clear" w:pos="720"/>
          <w:tab w:val="right" w:pos="8035" w:leader="dot"/>
        </w:tabs>
        <w:spacing w:lineRule="auto" w:line="240" w:before="0" w:after="0"/>
        <w:ind w:start="317" w:end="72"/>
        <w:jc w:val="start"/>
        <w:rPr/>
      </w:pPr>
      <w:r>
        <w:rPr>
          <w:rFonts w:eastAsia="Times New Roman"/>
          <w:b w:val="false"/>
          <w:sz w:val="17"/>
        </w:rPr>
        <w:t>3.9 Implementation audit and required corrections</w:t>
        <w:tab/>
        <w:t>39</w:t>
      </w:r>
    </w:p>
    <w:p>
      <w:pPr>
        <w:pStyle w:val="Normal"/>
        <w:tabs>
          <w:tab w:val="clear" w:pos="720"/>
          <w:tab w:val="right" w:pos="8035" w:leader="dot"/>
        </w:tabs>
        <w:spacing w:lineRule="auto" w:line="240" w:before="0" w:after="0"/>
        <w:ind w:start="317" w:end="72"/>
        <w:jc w:val="start"/>
        <w:rPr/>
      </w:pPr>
      <w:r>
        <w:rPr>
          <w:rFonts w:eastAsia="Times New Roman"/>
          <w:b w:val="false"/>
          <w:sz w:val="17"/>
        </w:rPr>
        <w:t>3.10 Correctness gates before the main experiment</w:t>
        <w:tab/>
        <w:t>40</w:t>
      </w:r>
    </w:p>
    <w:p>
      <w:pPr>
        <w:pStyle w:val="Normal"/>
        <w:tabs>
          <w:tab w:val="clear" w:pos="720"/>
          <w:tab w:val="right" w:pos="8035" w:leader="dot"/>
        </w:tabs>
        <w:spacing w:lineRule="auto" w:line="240" w:before="0" w:after="0"/>
        <w:ind w:start="317" w:end="72"/>
        <w:jc w:val="start"/>
        <w:rPr/>
      </w:pPr>
      <w:r>
        <w:rPr>
          <w:rFonts w:eastAsia="Times New Roman"/>
          <w:b w:val="false"/>
          <w:sz w:val="17"/>
        </w:rPr>
        <w:t>3.11 Reproducibility and data provenance</w:t>
        <w:tab/>
        <w:t>40</w:t>
      </w:r>
    </w:p>
    <w:p>
      <w:pPr>
        <w:pStyle w:val="Normal"/>
        <w:tabs>
          <w:tab w:val="clear" w:pos="720"/>
          <w:tab w:val="right" w:pos="8035" w:leader="dot"/>
        </w:tabs>
        <w:spacing w:lineRule="auto" w:line="240" w:before="0" w:after="0"/>
        <w:ind w:start="317" w:end="72"/>
        <w:jc w:val="start"/>
        <w:rPr/>
      </w:pPr>
      <w:r>
        <w:rPr>
          <w:rFonts w:eastAsia="Times New Roman"/>
          <w:b w:val="false"/>
          <w:sz w:val="17"/>
        </w:rPr>
        <w:t>3.12 Ethical, legal, and responsible-reporting considerations</w:t>
        <w:tab/>
        <w:t>41</w:t>
      </w:r>
    </w:p>
    <w:p>
      <w:pPr>
        <w:pStyle w:val="Normal"/>
        <w:tabs>
          <w:tab w:val="clear" w:pos="720"/>
          <w:tab w:val="right" w:pos="8035" w:leader="dot"/>
        </w:tabs>
        <w:spacing w:lineRule="auto" w:line="240" w:before="0" w:after="0"/>
        <w:ind w:start="317" w:end="72"/>
        <w:jc w:val="start"/>
        <w:rPr/>
      </w:pPr>
      <w:r>
        <w:rPr>
          <w:rFonts w:eastAsia="Times New Roman"/>
          <w:b w:val="false"/>
          <w:sz w:val="17"/>
        </w:rPr>
        <w:t>3.13 Threats to validity</w:t>
        <w:tab/>
        <w:t>41</w:t>
      </w:r>
    </w:p>
    <w:p>
      <w:pPr>
        <w:pStyle w:val="Normal"/>
        <w:tabs>
          <w:tab w:val="clear" w:pos="720"/>
          <w:tab w:val="right" w:pos="8035" w:leader="dot"/>
        </w:tabs>
        <w:spacing w:lineRule="auto" w:line="240" w:before="0" w:after="0"/>
        <w:ind w:start="317" w:end="72"/>
        <w:jc w:val="start"/>
        <w:rPr/>
      </w:pPr>
      <w:r>
        <w:rPr>
          <w:rFonts w:eastAsia="Times New Roman"/>
          <w:b w:val="false"/>
          <w:sz w:val="17"/>
        </w:rPr>
        <w:t>3.14 Chapter summary</w:t>
        <w:tab/>
        <w:t>42</w:t>
      </w:r>
    </w:p>
    <w:p>
      <w:pPr>
        <w:pStyle w:val="Normal"/>
        <w:tabs>
          <w:tab w:val="clear" w:pos="720"/>
          <w:tab w:val="right" w:pos="8352" w:leader="dot"/>
        </w:tabs>
        <w:spacing w:lineRule="auto" w:line="240" w:before="0" w:after="0"/>
        <w:ind w:start="0" w:end="72"/>
        <w:jc w:val="start"/>
        <w:rPr/>
      </w:pPr>
      <w:r>
        <w:rPr>
          <w:rFonts w:eastAsia="Times New Roman"/>
          <w:b/>
          <w:sz w:val="17"/>
        </w:rPr>
        <w:t>References</w:t>
        <w:tab/>
        <w:t>43</w:t>
      </w:r>
    </w:p>
    <w:p>
      <w:pPr>
        <w:pStyle w:val="Normal"/>
        <w:tabs>
          <w:tab w:val="clear" w:pos="720"/>
          <w:tab w:val="right" w:pos="8352" w:leader="dot"/>
        </w:tabs>
        <w:spacing w:lineRule="auto" w:line="240" w:before="0" w:after="0"/>
        <w:ind w:start="0" w:end="72"/>
        <w:jc w:val="start"/>
        <w:rPr/>
      </w:pPr>
      <w:r>
        <w:rPr>
          <w:rFonts w:eastAsia="Times New Roman"/>
          <w:b/>
          <w:sz w:val="17"/>
        </w:rPr>
        <w:t>Appendix A — Evidence interpretation rules</w:t>
        <w:tab/>
        <w:t>44</w:t>
      </w:r>
      <w:r>
        <w:br w:type="page"/>
      </w:r>
    </w:p>
    <w:p>
      <w:pPr>
        <w:pStyle w:val="Heading1"/>
        <w:keepNext w:val="true"/>
        <w:rPr/>
      </w:pPr>
      <w:r>
        <w:rPr>
          <w:rFonts w:eastAsia="Times New Roman" w:ascii="Times New Roman" w:hAnsi="Times New Roman"/>
          <w:b/>
          <w:color w:val="111111"/>
          <w:sz w:val="32"/>
        </w:rPr>
        <w:t>Abbreviations</w:t>
      </w:r>
    </w:p>
    <w:tbl>
      <w:tblPr>
        <w:tblW w:w="8600" w:type="dxa"/>
        <w:jc w:val="start"/>
        <w:tblInd w:w="95" w:type="dxa"/>
        <w:tblLayout w:type="fixed"/>
        <w:tblCellMar>
          <w:top w:w="70" w:type="dxa"/>
          <w:start w:w="100" w:type="dxa"/>
          <w:bottom w:w="70" w:type="dxa"/>
          <w:end w:w="100" w:type="dxa"/>
        </w:tblCellMar>
        <w:tblLook w:noHBand="0" w:noVBand="1" w:firstColumn="1" w:lastRow="0" w:lastColumn="0" w:firstRow="1" w:val="04a0"/>
      </w:tblPr>
      <w:tblGrid>
        <w:gridCol w:w="1700"/>
        <w:gridCol w:w="6900"/>
      </w:tblGrid>
      <w:tr>
        <w:trPr>
          <w:tblHeader w:val="true"/>
          <w:cantSplit/>
        </w:trPr>
        <w:tc>
          <w:tcPr>
            <w:tcW w:w="1700" w:type="dxa"/>
            <w:tcBorders>
              <w:top w:val="single" w:sz="4" w:space="0" w:color="C9CDD2"/>
              <w:start w:val="single" w:sz="4" w:space="0" w:color="C9CDD2"/>
              <w:bottom w:val="single" w:sz="4" w:space="0" w:color="C9CDD2"/>
              <w:end w:val="single" w:sz="4" w:space="0" w:color="C9CDD2"/>
            </w:tcBorders>
            <w:shd w:fill="F3F4F6" w:val="clear"/>
          </w:tcPr>
          <w:p>
            <w:pPr>
              <w:pStyle w:val="TableText"/>
              <w:spacing w:lineRule="auto" w:line="240" w:before="0" w:after="40"/>
              <w:jc w:val="start"/>
              <w:rPr/>
            </w:pPr>
            <w:r>
              <w:rPr>
                <w:rFonts w:eastAsia="Times New Roman"/>
                <w:b/>
                <w:color w:val="111111"/>
                <w:sz w:val="19"/>
              </w:rPr>
              <w:t>Term</w:t>
            </w:r>
          </w:p>
        </w:tc>
        <w:tc>
          <w:tcPr>
            <w:tcW w:w="6900" w:type="dxa"/>
            <w:tcBorders>
              <w:top w:val="single" w:sz="4" w:space="0" w:color="C9CDD2"/>
              <w:start w:val="single" w:sz="4" w:space="0" w:color="C9CDD2"/>
              <w:bottom w:val="single" w:sz="4" w:space="0" w:color="C9CDD2"/>
              <w:end w:val="single" w:sz="4" w:space="0" w:color="C9CDD2"/>
            </w:tcBorders>
            <w:shd w:fill="F3F4F6" w:val="clear"/>
          </w:tcPr>
          <w:p>
            <w:pPr>
              <w:pStyle w:val="TableText"/>
              <w:spacing w:lineRule="auto" w:line="240" w:before="0" w:after="40"/>
              <w:jc w:val="start"/>
              <w:rPr/>
            </w:pPr>
            <w:r>
              <w:rPr>
                <w:rFonts w:eastAsia="Times New Roman"/>
                <w:b/>
                <w:color w:val="111111"/>
                <w:sz w:val="19"/>
              </w:rPr>
              <w:t>Meaning</w:t>
            </w:r>
          </w:p>
        </w:tc>
      </w:tr>
      <w:tr>
        <w:trPr>
          <w:cantSplit/>
        </w:trPr>
        <w:tc>
          <w:tcPr>
            <w:tcW w:w="17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9"/>
              </w:rPr>
              <w:t>BF16 / FP16</w:t>
            </w:r>
          </w:p>
        </w:tc>
        <w:tc>
          <w:tcPr>
            <w:tcW w:w="69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9"/>
              </w:rPr>
              <w:t>bfloat16 / IEEE half-precision floating point</w:t>
            </w:r>
          </w:p>
        </w:tc>
      </w:tr>
      <w:tr>
        <w:trPr>
          <w:cantSplit/>
        </w:trPr>
        <w:tc>
          <w:tcPr>
            <w:tcW w:w="17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9"/>
              </w:rPr>
              <w:t>FQ</w:t>
            </w:r>
          </w:p>
        </w:tc>
        <w:tc>
          <w:tcPr>
            <w:tcW w:w="69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9"/>
              </w:rPr>
              <w:t>TOFU Forget Quality; a Kolmogorov–Smirnov p-value in the project evaluator</w:t>
            </w:r>
          </w:p>
        </w:tc>
      </w:tr>
      <w:tr>
        <w:trPr>
          <w:cantSplit/>
        </w:trPr>
        <w:tc>
          <w:tcPr>
            <w:tcW w:w="17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9"/>
              </w:rPr>
              <w:t>FQ-QAT</w:t>
            </w:r>
          </w:p>
        </w:tc>
        <w:tc>
          <w:tcPr>
            <w:tcW w:w="69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9"/>
              </w:rPr>
              <w:t>fake-quantisation-aware training used in the proposed method</w:t>
            </w:r>
          </w:p>
        </w:tc>
      </w:tr>
      <w:tr>
        <w:trPr>
          <w:cantSplit/>
        </w:trPr>
        <w:tc>
          <w:tcPr>
            <w:tcW w:w="17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9"/>
              </w:rPr>
              <w:t>IG / LIG</w:t>
            </w:r>
          </w:p>
        </w:tc>
        <w:tc>
          <w:tcPr>
            <w:tcW w:w="69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9"/>
              </w:rPr>
              <w:t>Integrated Gradients / Layer Integrated Gradients</w:t>
            </w:r>
          </w:p>
        </w:tc>
      </w:tr>
      <w:tr>
        <w:trPr>
          <w:cantSplit/>
        </w:trPr>
        <w:tc>
          <w:tcPr>
            <w:tcW w:w="17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9"/>
              </w:rPr>
              <w:t>LLM</w:t>
            </w:r>
          </w:p>
        </w:tc>
        <w:tc>
          <w:tcPr>
            <w:tcW w:w="69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9"/>
              </w:rPr>
              <w:t>large language model</w:t>
            </w:r>
          </w:p>
        </w:tc>
      </w:tr>
      <w:tr>
        <w:trPr>
          <w:cantSplit/>
        </w:trPr>
        <w:tc>
          <w:tcPr>
            <w:tcW w:w="17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9"/>
              </w:rPr>
              <w:t>LoRA</w:t>
            </w:r>
          </w:p>
        </w:tc>
        <w:tc>
          <w:tcPr>
            <w:tcW w:w="69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9"/>
              </w:rPr>
              <w:t>low-rank adaptation</w:t>
            </w:r>
          </w:p>
        </w:tc>
      </w:tr>
      <w:tr>
        <w:trPr>
          <w:cantSplit/>
        </w:trPr>
        <w:tc>
          <w:tcPr>
            <w:tcW w:w="17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9"/>
              </w:rPr>
              <w:t>MIA</w:t>
            </w:r>
          </w:p>
        </w:tc>
        <w:tc>
          <w:tcPr>
            <w:tcW w:w="69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9"/>
              </w:rPr>
              <w:t>membership-inference attack</w:t>
            </w:r>
          </w:p>
        </w:tc>
      </w:tr>
      <w:tr>
        <w:trPr>
          <w:cantSplit/>
        </w:trPr>
        <w:tc>
          <w:tcPr>
            <w:tcW w:w="17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9"/>
              </w:rPr>
              <w:t>MU</w:t>
            </w:r>
          </w:p>
        </w:tc>
        <w:tc>
          <w:tcPr>
            <w:tcW w:w="69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9"/>
              </w:rPr>
              <w:t>model utility aggregate</w:t>
            </w:r>
          </w:p>
        </w:tc>
      </w:tr>
      <w:tr>
        <w:trPr>
          <w:cantSplit/>
        </w:trPr>
        <w:tc>
          <w:tcPr>
            <w:tcW w:w="17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9"/>
              </w:rPr>
              <w:t>NF4</w:t>
            </w:r>
          </w:p>
        </w:tc>
        <w:tc>
          <w:tcPr>
            <w:tcW w:w="69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9"/>
              </w:rPr>
              <w:t>NormalFloat 4-bit data type introduced with QLoRA</w:t>
            </w:r>
          </w:p>
        </w:tc>
      </w:tr>
      <w:tr>
        <w:trPr>
          <w:cantSplit/>
        </w:trPr>
        <w:tc>
          <w:tcPr>
            <w:tcW w:w="17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9"/>
              </w:rPr>
              <w:t>NPO</w:t>
            </w:r>
          </w:p>
        </w:tc>
        <w:tc>
          <w:tcPr>
            <w:tcW w:w="69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9"/>
              </w:rPr>
              <w:t>Negative Preference Optimisation</w:t>
            </w:r>
          </w:p>
        </w:tc>
      </w:tr>
      <w:tr>
        <w:trPr>
          <w:cantSplit/>
        </w:trPr>
        <w:tc>
          <w:tcPr>
            <w:tcW w:w="17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9"/>
              </w:rPr>
              <w:t>PTQ</w:t>
            </w:r>
          </w:p>
        </w:tc>
        <w:tc>
          <w:tcPr>
            <w:tcW w:w="69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9"/>
              </w:rPr>
              <w:t>post-training quantisation</w:t>
            </w:r>
          </w:p>
        </w:tc>
      </w:tr>
      <w:tr>
        <w:trPr>
          <w:cantSplit/>
        </w:trPr>
        <w:tc>
          <w:tcPr>
            <w:tcW w:w="17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9"/>
              </w:rPr>
              <w:t>QAT</w:t>
            </w:r>
          </w:p>
        </w:tc>
        <w:tc>
          <w:tcPr>
            <w:tcW w:w="69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9"/>
              </w:rPr>
              <w:t>quantisation-aware training</w:t>
            </w:r>
          </w:p>
        </w:tc>
      </w:tr>
      <w:tr>
        <w:trPr>
          <w:cantSplit/>
        </w:trPr>
        <w:tc>
          <w:tcPr>
            <w:tcW w:w="17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9"/>
              </w:rPr>
              <w:t>QRA</w:t>
            </w:r>
          </w:p>
        </w:tc>
        <w:tc>
          <w:tcPr>
            <w:tcW w:w="69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9"/>
              </w:rPr>
              <w:t>quantisation recovery attack</w:t>
            </w:r>
          </w:p>
        </w:tc>
      </w:tr>
      <w:tr>
        <w:trPr>
          <w:cantSplit/>
        </w:trPr>
        <w:tc>
          <w:tcPr>
            <w:tcW w:w="17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9"/>
              </w:rPr>
              <w:t>SSIUU / Ssiuu</w:t>
            </w:r>
          </w:p>
        </w:tc>
        <w:tc>
          <w:tcPr>
            <w:tcW w:w="69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9"/>
              </w:rPr>
              <w:t>Suppressing Spurious unlearning neurons for robust unlearning; project acronym follows the repository convention</w:t>
            </w:r>
          </w:p>
        </w:tc>
      </w:tr>
      <w:tr>
        <w:trPr>
          <w:cantSplit/>
        </w:trPr>
        <w:tc>
          <w:tcPr>
            <w:tcW w:w="17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9"/>
              </w:rPr>
              <w:t>STE</w:t>
            </w:r>
          </w:p>
        </w:tc>
        <w:tc>
          <w:tcPr>
            <w:tcW w:w="69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9"/>
              </w:rPr>
              <w:t>straight-through estimator</w:t>
            </w:r>
          </w:p>
        </w:tc>
      </w:tr>
      <w:tr>
        <w:trPr>
          <w:cantSplit/>
        </w:trPr>
        <w:tc>
          <w:tcPr>
            <w:tcW w:w="17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9"/>
              </w:rPr>
              <w:t>TOFU</w:t>
            </w:r>
          </w:p>
        </w:tc>
        <w:tc>
          <w:tcPr>
            <w:tcW w:w="69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9"/>
              </w:rPr>
              <w:t>Task of Fictitious Unlearning</w:t>
            </w:r>
          </w:p>
        </w:tc>
      </w:tr>
    </w:tbl>
    <w:p>
      <w:pPr>
        <w:pStyle w:val="Normal"/>
        <w:rPr/>
      </w:pPr>
      <w:r>
        <w:rPr/>
      </w:r>
      <w:r>
        <w:br w:type="page"/>
      </w:r>
    </w:p>
    <w:p>
      <w:pPr>
        <w:pStyle w:val="Heading1"/>
        <w:keepNext w:val="true"/>
        <w:spacing w:before="0" w:after="160"/>
        <w:rPr/>
      </w:pPr>
      <w:r>
        <w:rPr>
          <w:rFonts w:eastAsia="Times New Roman" w:ascii="Times New Roman" w:hAnsi="Times New Roman"/>
          <w:b/>
          <w:color w:val="111111"/>
          <w:sz w:val="32"/>
        </w:rPr>
        <w:t>CHAPTER 1 — INTRODUCTION</w:t>
      </w:r>
    </w:p>
    <w:p>
      <w:pPr>
        <w:pStyle w:val="Heading2"/>
        <w:keepNext w:val="true"/>
        <w:pageBreakBefore w:val="false"/>
        <w:rPr/>
      </w:pPr>
      <w:r>
        <w:rPr>
          <w:rFonts w:eastAsia="Times New Roman" w:ascii="Times New Roman" w:hAnsi="Times New Roman"/>
          <w:b/>
          <w:color w:val="111111"/>
          <w:sz w:val="27"/>
        </w:rPr>
        <w:t>1.1 Background</w:t>
      </w:r>
    </w:p>
    <w:p>
      <w:pPr>
        <w:pStyle w:val="Normal"/>
        <w:keepLines w:val="false"/>
        <w:spacing w:lineRule="auto" w:line="360" w:before="0" w:after="120"/>
        <w:jc w:val="both"/>
        <w:rPr/>
      </w:pPr>
      <w:r>
        <w:rPr>
          <w:rFonts w:eastAsia="Times New Roman"/>
          <w:i w:val="false"/>
          <w:color w:val="111111"/>
          <w:sz w:val="24"/>
        </w:rPr>
        <w:t>Large language models acquire their behaviour from very large corpora and later instruction tuning. This training paradigm creates practical benefits but also creates a deletion problem: a model may memorise personal data, copyrighted text, unsafe examples, or information that a data owner later asks to remove. Complete retraining without the designated records is the clean conceptual reference, yet it is usually economically and operationally infeasible for modern models. Machine unlearning therefore studies post-training interventions intended to make a trained model behave as though selected data had not contributed to it.</w:t>
      </w:r>
    </w:p>
    <w:p>
      <w:pPr>
        <w:pStyle w:val="Normal"/>
        <w:keepLines w:val="false"/>
        <w:spacing w:lineRule="auto" w:line="360" w:before="0" w:after="120"/>
        <w:jc w:val="both"/>
        <w:rPr/>
      </w:pPr>
      <w:r>
        <w:rPr>
          <w:rFonts w:eastAsia="Times New Roman"/>
          <w:i w:val="false"/>
          <w:color w:val="111111"/>
          <w:sz w:val="24"/>
        </w:rPr>
        <w:t>LLM unlearning is harder than suppressing one answer. A model can refuse a prompt, generate unrelated text, shift probability to a paraphrase, or route an internal representation away from the target while the underlying information remains recoverable. TOFU formalises a controlled evaluation with fictitious author facts and a retain-only oracle [10], while MUSE expands the evaluation to memorisation, privacy, utility, scalability, and sequential requests [11]. More recent work shows that reference-specific scores can hide distributional divergence [12] and that unlearning may squeeze probability from an exact answer toward semantically equivalent alternatives [13]. These results require a thesis to test behavioural, privacy, utility, and deployment evidence together.</w:t>
      </w:r>
    </w:p>
    <w:p>
      <w:pPr>
        <w:pStyle w:val="Normal"/>
        <w:keepLines w:val="false"/>
        <w:spacing w:lineRule="auto" w:line="360" w:before="0" w:after="120"/>
        <w:jc w:val="both"/>
        <w:rPr/>
      </w:pPr>
      <w:r>
        <w:rPr>
          <w:rFonts w:eastAsia="Times New Roman"/>
          <w:i w:val="false"/>
          <w:color w:val="111111"/>
          <w:sz w:val="24"/>
        </w:rPr>
        <w:t>A second difficulty arises after training. Zhang et al. show that normal low-bit quantisation can recover a large fraction of knowledge that appeared forgotten in full precision [1]. The broad explanation is that utility-preserving unlearning often produces small, distributed parameter changes. If those changes do not survive the quantiser's codebook boundaries, the deployed low-bit model can become functionally closer to the pre-unlearning model. Subsequent methods attack this failure through salient large updates, critical-layer selection, sharpness-aware fake quantisation, causal-circuit localisation, logit margins, or concentrated low-rank updates [2]–[6]. Quantisation must therefore be part of the threat model and evaluation protocol, not an afterthought.</w:t>
      </w:r>
    </w:p>
    <w:p>
      <w:pPr>
        <w:pStyle w:val="Heading2"/>
        <w:keepNext w:val="true"/>
        <w:pageBreakBefore w:val="false"/>
        <w:rPr/>
      </w:pPr>
      <w:r>
        <w:rPr>
          <w:rFonts w:eastAsia="Times New Roman" w:ascii="Times New Roman" w:hAnsi="Times New Roman"/>
          <w:b/>
          <w:color w:val="111111"/>
          <w:sz w:val="27"/>
        </w:rPr>
        <w:t>1.2 Problem statement</w:t>
      </w:r>
    </w:p>
    <w:p>
      <w:pPr>
        <w:pStyle w:val="Normal"/>
        <w:keepLines w:val="false"/>
        <w:spacing w:lineRule="auto" w:line="360" w:before="0" w:after="120"/>
        <w:jc w:val="both"/>
        <w:rPr/>
      </w:pPr>
      <w:r>
        <w:rPr>
          <w:rFonts w:eastAsia="Times New Roman"/>
          <w:i w:val="false"/>
          <w:color w:val="111111"/>
          <w:sz w:val="24"/>
        </w:rPr>
        <w:t>The practical problem addressed by this research is that an LLM may satisfy a full-precision unlearning metric yet regain target knowledge after INT8 or 4-bit deployment. Existing countermeasures are commonly evaluated on larger models and expensive hardware, and they address different failure surfaces. NPO improves optimisation stability [8]; Ssiuu targets shallow, relearnable suppression through parameter–gradient attribution [9]; QAT exposes optimisation to low-bit forward behaviour [14], [20]. It is not known whether a resource-bounded integration of these mechanisms can improve deployment durability without destroying retained utility.</w:t>
      </w:r>
    </w:p>
    <w:p>
      <w:pPr>
        <w:pStyle w:val="Normal"/>
        <w:keepLines w:val="false"/>
        <w:spacing w:lineRule="auto" w:line="360" w:before="0" w:after="120"/>
        <w:jc w:val="both"/>
        <w:rPr/>
      </w:pPr>
      <w:r>
        <w:rPr>
          <w:rFonts w:eastAsia="Times New Roman"/>
          <w:i w:val="false"/>
          <w:color w:val="111111"/>
          <w:sz w:val="24"/>
        </w:rPr>
        <w:t>The implementation problem is equally important. The training-time surrogate must correspond to the weights and quantiser actually deployed. An attribution penalty must remain connected to the computational graph if it is expected to alter learning. Evaluation metrics must preserve their published meaning and direction. Without these controls, an apparently successful run can be a measurement error, a non-operative regulariser, a mismatched quantiser, or general model collapse. This thesis consequently treats implementation fidelity and provenance as part of the research contribution.</w:t>
      </w:r>
    </w:p>
    <w:p>
      <w:pPr>
        <w:pStyle w:val="Normal"/>
        <w:pBdr>
          <w:top w:val="single" w:sz="6" w:space="4" w:color="C9CDD2"/>
          <w:left w:val="single" w:sz="6" w:space="4" w:color="C9CDD2"/>
          <w:bottom w:val="single" w:sz="6" w:space="4" w:color="C9CDD2"/>
          <w:right w:val="single" w:sz="6" w:space="4" w:color="C9CDD2"/>
        </w:pBdr>
        <w:shd w:fill="EAF1F7" w:val="clear"/>
        <w:spacing w:lineRule="auto" w:line="276" w:before="120" w:after="160"/>
        <w:ind w:start="202" w:end="202"/>
        <w:jc w:val="start"/>
        <w:rPr/>
      </w:pPr>
      <w:r>
        <w:rPr>
          <w:rFonts w:eastAsia="Times New Roman"/>
          <w:b/>
          <w:color w:val="111111"/>
          <w:sz w:val="24"/>
        </w:rPr>
        <w:t>Operational problem statement</w:t>
      </w:r>
      <w:r>
        <w:rPr>
          <w:rFonts w:eastAsia="Times New Roman"/>
          <w:color w:val="111111"/>
          <w:sz w:val="22"/>
        </w:rPr>
        <w:br/>
        <w:t>Can a sub-16-GB training pipeline make NPO-based unlearning of TOFU forget05 both faithful and resistant to recovery after deployment quantisation, while retaining acceptable model utility—and can that claim be verified with reproducible, correctly defined metrics?</w:t>
      </w:r>
    </w:p>
    <w:p>
      <w:pPr>
        <w:pStyle w:val="Heading2"/>
        <w:keepNext w:val="true"/>
        <w:pageBreakBefore w:val="false"/>
        <w:rPr/>
      </w:pPr>
      <w:r>
        <w:rPr>
          <w:rFonts w:eastAsia="Times New Roman" w:ascii="Times New Roman" w:hAnsi="Times New Roman"/>
          <w:b/>
          <w:color w:val="111111"/>
          <w:sz w:val="27"/>
        </w:rPr>
        <w:t>1.3 Motivation and significance</w:t>
      </w:r>
    </w:p>
    <w:p>
      <w:pPr>
        <w:pStyle w:val="Normal"/>
        <w:keepLines w:val="false"/>
        <w:spacing w:lineRule="auto" w:line="360" w:before="0" w:after="120"/>
        <w:jc w:val="both"/>
        <w:rPr/>
      </w:pPr>
      <w:r>
        <w:rPr>
          <w:rFonts w:eastAsia="Times New Roman"/>
          <w:i w:val="false"/>
          <w:color w:val="111111"/>
          <w:sz w:val="24"/>
        </w:rPr>
        <w:t>The study is motivated by the gap between laboratory evaluation and deployment. Four-bit formats are attractive because they reduce memory and inference cost, especially in resource-limited environments. If an ordinary deployment transformation reverses an unlearning intervention, then the deletion claim is operationally fragile. A robust protocol is therefore valuable even when the full method produces a null or negative result: it can identify which component fails, what durability means under a named quantiser, and which claims should not be made.</w:t>
      </w:r>
    </w:p>
    <w:p>
      <w:pPr>
        <w:pStyle w:val="Normal"/>
        <w:keepLines w:val="false"/>
        <w:spacing w:lineRule="auto" w:line="360" w:before="0" w:after="120"/>
        <w:jc w:val="both"/>
        <w:rPr/>
      </w:pPr>
      <w:r>
        <w:rPr>
          <w:rFonts w:eastAsia="Times New Roman"/>
          <w:i w:val="false"/>
          <w:color w:val="111111"/>
          <w:sz w:val="24"/>
        </w:rPr>
        <w:t>The project also has methodological significance for small laboratories and student researchers. Much of the newest QRA work uses 7B–8B models, A100-class hardware, or complex circuit analyses [3]–[6]. Demonstrating a carefully bounded experiment on a 1B instruction model can clarify whether the underlying effects are observable at smaller scale and whether lighter approximations remain scientifically meaningful. The intended value is not a universal deletion guarantee; it is a transparent, reproducible study that exposes trade-offs rather than concealing them behind a single score.</w:t>
      </w:r>
    </w:p>
    <w:p>
      <w:pPr>
        <w:pStyle w:val="Heading2"/>
        <w:keepNext w:val="true"/>
        <w:pageBreakBefore w:val="false"/>
        <w:rPr/>
      </w:pPr>
      <w:r>
        <w:rPr>
          <w:rFonts w:eastAsia="Times New Roman" w:ascii="Times New Roman" w:hAnsi="Times New Roman"/>
          <w:b/>
          <w:color w:val="111111"/>
          <w:sz w:val="27"/>
        </w:rPr>
        <w:t>1.4 Aim</w:t>
      </w:r>
    </w:p>
    <w:p>
      <w:pPr>
        <w:pStyle w:val="Normal"/>
        <w:keepLines w:val="false"/>
        <w:spacing w:lineRule="auto" w:line="360" w:before="0" w:after="120"/>
        <w:jc w:val="both"/>
        <w:rPr/>
      </w:pPr>
      <w:r>
        <w:rPr>
          <w:rFonts w:eastAsia="Times New Roman"/>
          <w:i w:val="false"/>
          <w:color w:val="111111"/>
          <w:sz w:val="24"/>
        </w:rPr>
        <w:t>To design and rigorously evaluate a resource-efficient machine-unlearning pipeline that combines NPO, an attribution-based faithfulness regulariser, and deployment-matched fake quantisation, and to determine whether the combination reduces quantisation-induced recovery on a 1B LLM without unacceptable retained-utility loss.</w:t>
      </w:r>
    </w:p>
    <w:p>
      <w:pPr>
        <w:pStyle w:val="Heading2"/>
        <w:keepNext w:val="true"/>
        <w:pageBreakBefore w:val="false"/>
        <w:rPr/>
      </w:pPr>
      <w:r>
        <w:rPr>
          <w:rFonts w:eastAsia="Times New Roman" w:ascii="Times New Roman" w:hAnsi="Times New Roman"/>
          <w:b/>
          <w:color w:val="111111"/>
          <w:sz w:val="27"/>
        </w:rPr>
        <w:t>1.5 Objectives</w:t>
      </w:r>
    </w:p>
    <w:p>
      <w:pPr>
        <w:pStyle w:val="ListNumber"/>
        <w:numPr>
          <w:ilvl w:val="0"/>
          <w:numId w:val="4"/>
        </w:numPr>
        <w:spacing w:lineRule="auto" w:line="312" w:before="0" w:after="80"/>
        <w:contextualSpacing/>
        <w:rPr/>
      </w:pPr>
      <w:r>
        <w:rPr>
          <w:rFonts w:eastAsia="Times New Roman"/>
          <w:color w:val="111111"/>
          <w:sz w:val="24"/>
        </w:rPr>
        <w:t>Establish a reproducible NPO baseline on Llama-3.2-1B-Instruct and TOFU forget05 under a less-than-16-GB VRAM constraint.</w:t>
      </w:r>
    </w:p>
    <w:p>
      <w:pPr>
        <w:pStyle w:val="ListNumber"/>
        <w:numPr>
          <w:ilvl w:val="0"/>
          <w:numId w:val="4"/>
        </w:numPr>
        <w:spacing w:lineRule="auto" w:line="312" w:before="0" w:after="80"/>
        <w:contextualSpacing/>
        <w:rPr/>
      </w:pPr>
      <w:r>
        <w:rPr>
          <w:rFonts w:eastAsia="Times New Roman"/>
          <w:color w:val="111111"/>
          <w:sz w:val="24"/>
        </w:rPr>
        <w:t>Define the QRA threat model using explicit original, unlearned, merged, and quantised model states.</w:t>
      </w:r>
    </w:p>
    <w:p>
      <w:pPr>
        <w:pStyle w:val="ListNumber"/>
        <w:numPr>
          <w:ilvl w:val="0"/>
          <w:numId w:val="4"/>
        </w:numPr>
        <w:spacing w:lineRule="auto" w:line="312" w:before="0" w:after="80"/>
        <w:contextualSpacing/>
        <w:rPr/>
      </w:pPr>
      <w:r>
        <w:rPr>
          <w:rFonts w:eastAsia="Times New Roman"/>
          <w:color w:val="111111"/>
          <w:sz w:val="24"/>
        </w:rPr>
        <w:t>Implement and verify a differentiable attribution regulariser that matches the intended Ssiuu-derived mechanism or is explicitly presented as a new IG-based surrogate.</w:t>
      </w:r>
    </w:p>
    <w:p>
      <w:pPr>
        <w:pStyle w:val="ListNumber"/>
        <w:numPr>
          <w:ilvl w:val="0"/>
          <w:numId w:val="4"/>
        </w:numPr>
        <w:spacing w:lineRule="auto" w:line="312" w:before="0" w:after="80"/>
        <w:contextualSpacing/>
        <w:rPr/>
      </w:pPr>
      <w:r>
        <w:rPr>
          <w:rFonts w:eastAsia="Times New Roman"/>
          <w:color w:val="111111"/>
          <w:sz w:val="24"/>
        </w:rPr>
        <w:t>Implement fake quantisation at the deployed effective-weight location and document codebook, scaling, grouping, clipping, STE, and adapter-merge order.</w:t>
      </w:r>
    </w:p>
    <w:p>
      <w:pPr>
        <w:pStyle w:val="ListNumber"/>
        <w:numPr>
          <w:ilvl w:val="0"/>
          <w:numId w:val="4"/>
        </w:numPr>
        <w:spacing w:lineRule="auto" w:line="312" w:before="0" w:after="80"/>
        <w:contextualSpacing/>
        <w:rPr/>
      </w:pPr>
      <w:r>
        <w:rPr>
          <w:rFonts w:eastAsia="Times New Roman"/>
          <w:color w:val="111111"/>
          <w:sz w:val="24"/>
        </w:rPr>
        <w:t>Compare NPO, NPO plus attribution, NPO plus fake quantisation, and the full method through controlled ablations and published direct baselines where feasible.</w:t>
      </w:r>
    </w:p>
    <w:p>
      <w:pPr>
        <w:pStyle w:val="ListNumber"/>
        <w:numPr>
          <w:ilvl w:val="0"/>
          <w:numId w:val="4"/>
        </w:numPr>
        <w:spacing w:lineRule="auto" w:line="312" w:before="0" w:after="80"/>
        <w:contextualSpacing/>
        <w:rPr/>
      </w:pPr>
      <w:r>
        <w:rPr>
          <w:rFonts w:eastAsia="Times New Roman"/>
          <w:color w:val="111111"/>
          <w:sz w:val="24"/>
        </w:rPr>
        <w:t>Evaluate forgetting, retained utility, privacy, output behaviour, and durability at full precision, INT8, and 4-bit precision over at least three fixed seeds.</w:t>
      </w:r>
    </w:p>
    <w:p>
      <w:pPr>
        <w:pStyle w:val="ListNumber"/>
        <w:numPr>
          <w:ilvl w:val="0"/>
          <w:numId w:val="4"/>
        </w:numPr>
        <w:spacing w:lineRule="auto" w:line="312" w:before="0" w:after="80"/>
        <w:contextualSpacing/>
        <w:rPr/>
      </w:pPr>
      <w:r>
        <w:rPr>
          <w:rFonts w:eastAsia="Times New Roman"/>
          <w:color w:val="111111"/>
          <w:sz w:val="24"/>
        </w:rPr>
        <w:t>Record complete configuration, environment, code revision, raw outputs, failure states, and deviations so that positive, null, and negative outcomes remain publishable evidence.</w:t>
      </w:r>
    </w:p>
    <w:p>
      <w:pPr>
        <w:pStyle w:val="Heading2"/>
        <w:keepNext w:val="true"/>
        <w:pageBreakBefore w:val="false"/>
        <w:rPr/>
      </w:pPr>
      <w:r>
        <w:rPr>
          <w:rFonts w:eastAsia="Times New Roman" w:ascii="Times New Roman" w:hAnsi="Times New Roman"/>
          <w:b/>
          <w:color w:val="111111"/>
          <w:sz w:val="27"/>
        </w:rPr>
        <w:t>1.6 Research questions</w:t>
      </w:r>
    </w:p>
    <w:tbl>
      <w:tblPr>
        <w:tblW w:w="8600" w:type="dxa"/>
        <w:jc w:val="start"/>
        <w:tblInd w:w="95" w:type="dxa"/>
        <w:tblLayout w:type="fixed"/>
        <w:tblCellMar>
          <w:top w:w="70" w:type="dxa"/>
          <w:start w:w="100" w:type="dxa"/>
          <w:bottom w:w="70" w:type="dxa"/>
          <w:end w:w="100" w:type="dxa"/>
        </w:tblCellMar>
        <w:tblLook w:noHBand="0" w:noVBand="1" w:firstColumn="1" w:lastRow="0" w:lastColumn="0" w:firstRow="1" w:val="04a0"/>
      </w:tblPr>
      <w:tblGrid>
        <w:gridCol w:w="849"/>
        <w:gridCol w:w="7751"/>
      </w:tblGrid>
      <w:tr>
        <w:trPr>
          <w:tblHeader w:val="true"/>
          <w:cantSplit/>
        </w:trPr>
        <w:tc>
          <w:tcPr>
            <w:tcW w:w="849" w:type="dxa"/>
            <w:tcBorders>
              <w:top w:val="single" w:sz="4" w:space="0" w:color="C9CDD2"/>
              <w:start w:val="single" w:sz="4" w:space="0" w:color="C9CDD2"/>
              <w:bottom w:val="single" w:sz="4" w:space="0" w:color="C9CDD2"/>
              <w:end w:val="single" w:sz="4" w:space="0" w:color="C9CDD2"/>
            </w:tcBorders>
            <w:shd w:fill="F3F4F6" w:val="clear"/>
          </w:tcPr>
          <w:p>
            <w:pPr>
              <w:pStyle w:val="TableText"/>
              <w:spacing w:lineRule="auto" w:line="240" w:before="0" w:after="40"/>
              <w:jc w:val="start"/>
              <w:rPr/>
            </w:pPr>
            <w:r>
              <w:rPr>
                <w:rFonts w:eastAsia="Times New Roman"/>
                <w:b/>
                <w:color w:val="111111"/>
                <w:sz w:val="19"/>
              </w:rPr>
              <w:t>ID</w:t>
            </w:r>
          </w:p>
        </w:tc>
        <w:tc>
          <w:tcPr>
            <w:tcW w:w="7751" w:type="dxa"/>
            <w:tcBorders>
              <w:top w:val="single" w:sz="4" w:space="0" w:color="C9CDD2"/>
              <w:start w:val="single" w:sz="4" w:space="0" w:color="C9CDD2"/>
              <w:bottom w:val="single" w:sz="4" w:space="0" w:color="C9CDD2"/>
              <w:end w:val="single" w:sz="4" w:space="0" w:color="C9CDD2"/>
            </w:tcBorders>
            <w:shd w:fill="F3F4F6" w:val="clear"/>
          </w:tcPr>
          <w:p>
            <w:pPr>
              <w:pStyle w:val="TableText"/>
              <w:spacing w:lineRule="auto" w:line="240" w:before="0" w:after="40"/>
              <w:jc w:val="start"/>
              <w:rPr/>
            </w:pPr>
            <w:r>
              <w:rPr>
                <w:rFonts w:eastAsia="Times New Roman"/>
                <w:b/>
                <w:color w:val="111111"/>
                <w:sz w:val="19"/>
              </w:rPr>
              <w:t>Research question</w:t>
            </w:r>
          </w:p>
        </w:tc>
      </w:tr>
      <w:tr>
        <w:trPr>
          <w:cantSplit/>
        </w:trPr>
        <w:tc>
          <w:tcPr>
            <w:tcW w:w="84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9"/>
              </w:rPr>
              <w:t>RQ1</w:t>
            </w:r>
          </w:p>
        </w:tc>
        <w:tc>
          <w:tcPr>
            <w:tcW w:w="775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9"/>
              </w:rPr>
              <w:t>To what extent does deployment quantisation recover TOFU forget05 knowledge after NPO on Llama-3.2-1B-Instruct?</w:t>
            </w:r>
          </w:p>
        </w:tc>
      </w:tr>
      <w:tr>
        <w:trPr>
          <w:cantSplit/>
        </w:trPr>
        <w:tc>
          <w:tcPr>
            <w:tcW w:w="84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9"/>
              </w:rPr>
              <w:t>RQ2</w:t>
            </w:r>
          </w:p>
        </w:tc>
        <w:tc>
          <w:tcPr>
            <w:tcW w:w="775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9"/>
              </w:rPr>
              <w:t>Does the attribution component reduce shallow suppression and improve resistance to benign or adversarial relearning?</w:t>
            </w:r>
          </w:p>
        </w:tc>
      </w:tr>
      <w:tr>
        <w:trPr>
          <w:cantSplit/>
        </w:trPr>
        <w:tc>
          <w:tcPr>
            <w:tcW w:w="84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9"/>
              </w:rPr>
              <w:t>RQ3</w:t>
            </w:r>
          </w:p>
        </w:tc>
        <w:tc>
          <w:tcPr>
            <w:tcW w:w="775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9"/>
              </w:rPr>
              <w:t>Does deployment-matched fake-quantisation-aware optimisation reduce the full-precision-to-4-bit recovery gap at matched retained utility?</w:t>
            </w:r>
          </w:p>
        </w:tc>
      </w:tr>
      <w:tr>
        <w:trPr>
          <w:cantSplit/>
        </w:trPr>
        <w:tc>
          <w:tcPr>
            <w:tcW w:w="84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9"/>
              </w:rPr>
              <w:t>RQ4</w:t>
            </w:r>
          </w:p>
        </w:tc>
        <w:tc>
          <w:tcPr>
            <w:tcW w:w="775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9"/>
              </w:rPr>
              <w:t>Is the full FQ-SSIUU combination complementary, redundant, or antagonistic relative to its component ablations?</w:t>
            </w:r>
          </w:p>
        </w:tc>
      </w:tr>
      <w:tr>
        <w:trPr>
          <w:cantSplit/>
        </w:trPr>
        <w:tc>
          <w:tcPr>
            <w:tcW w:w="84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9"/>
              </w:rPr>
              <w:t>RQ5</w:t>
            </w:r>
          </w:p>
        </w:tc>
        <w:tc>
          <w:tcPr>
            <w:tcW w:w="775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9"/>
              </w:rPr>
              <w:t>How sensitive are the results to quantiser, seed, adapter merge, attribution target, and evaluation definition?</w:t>
            </w:r>
          </w:p>
        </w:tc>
      </w:tr>
    </w:tbl>
    <w:p>
      <w:pPr>
        <w:pStyle w:val="Heading2"/>
        <w:keepNext w:val="true"/>
        <w:pageBreakBefore w:val="false"/>
        <w:rPr/>
      </w:pPr>
      <w:r>
        <w:rPr>
          <w:rFonts w:eastAsia="Times New Roman" w:ascii="Times New Roman" w:hAnsi="Times New Roman"/>
          <w:b/>
          <w:color w:val="111111"/>
          <w:sz w:val="27"/>
        </w:rPr>
        <w:t>1.7 Hypotheses and decision logic</w:t>
      </w:r>
    </w:p>
    <w:tbl>
      <w:tblPr>
        <w:tblW w:w="8600" w:type="dxa"/>
        <w:jc w:val="start"/>
        <w:tblInd w:w="95" w:type="dxa"/>
        <w:tblLayout w:type="fixed"/>
        <w:tblCellMar>
          <w:top w:w="70" w:type="dxa"/>
          <w:start w:w="100" w:type="dxa"/>
          <w:bottom w:w="70" w:type="dxa"/>
          <w:end w:w="100" w:type="dxa"/>
        </w:tblCellMar>
        <w:tblLook w:noHBand="0" w:noVBand="1" w:firstColumn="1" w:lastRow="0" w:lastColumn="0" w:firstRow="1" w:val="04a0"/>
      </w:tblPr>
      <w:tblGrid>
        <w:gridCol w:w="849"/>
        <w:gridCol w:w="7751"/>
      </w:tblGrid>
      <w:tr>
        <w:trPr>
          <w:tblHeader w:val="true"/>
          <w:cantSplit/>
        </w:trPr>
        <w:tc>
          <w:tcPr>
            <w:tcW w:w="849" w:type="dxa"/>
            <w:tcBorders>
              <w:top w:val="single" w:sz="4" w:space="0" w:color="C9CDD2"/>
              <w:start w:val="single" w:sz="4" w:space="0" w:color="C9CDD2"/>
              <w:bottom w:val="single" w:sz="4" w:space="0" w:color="C9CDD2"/>
              <w:end w:val="single" w:sz="4" w:space="0" w:color="C9CDD2"/>
            </w:tcBorders>
            <w:shd w:fill="F3F4F6" w:val="clear"/>
          </w:tcPr>
          <w:p>
            <w:pPr>
              <w:pStyle w:val="TableText"/>
              <w:spacing w:lineRule="auto" w:line="240" w:before="0" w:after="40"/>
              <w:jc w:val="start"/>
              <w:rPr/>
            </w:pPr>
            <w:r>
              <w:rPr>
                <w:rFonts w:eastAsia="Times New Roman"/>
                <w:b/>
                <w:color w:val="111111"/>
                <w:sz w:val="19"/>
              </w:rPr>
              <w:t>ID</w:t>
            </w:r>
          </w:p>
        </w:tc>
        <w:tc>
          <w:tcPr>
            <w:tcW w:w="7751" w:type="dxa"/>
            <w:tcBorders>
              <w:top w:val="single" w:sz="4" w:space="0" w:color="C9CDD2"/>
              <w:start w:val="single" w:sz="4" w:space="0" w:color="C9CDD2"/>
              <w:bottom w:val="single" w:sz="4" w:space="0" w:color="C9CDD2"/>
              <w:end w:val="single" w:sz="4" w:space="0" w:color="C9CDD2"/>
            </w:tcBorders>
            <w:shd w:fill="F3F4F6" w:val="clear"/>
          </w:tcPr>
          <w:p>
            <w:pPr>
              <w:pStyle w:val="TableText"/>
              <w:spacing w:lineRule="auto" w:line="240" w:before="0" w:after="40"/>
              <w:jc w:val="start"/>
              <w:rPr/>
            </w:pPr>
            <w:r>
              <w:rPr>
                <w:rFonts w:eastAsia="Times New Roman"/>
                <w:b/>
                <w:color w:val="111111"/>
                <w:sz w:val="19"/>
              </w:rPr>
              <w:t>Testable statement</w:t>
            </w:r>
          </w:p>
        </w:tc>
      </w:tr>
      <w:tr>
        <w:trPr>
          <w:cantSplit/>
        </w:trPr>
        <w:tc>
          <w:tcPr>
            <w:tcW w:w="84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9"/>
              </w:rPr>
              <w:t>H1</w:t>
            </w:r>
          </w:p>
        </w:tc>
        <w:tc>
          <w:tcPr>
            <w:tcW w:w="775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9"/>
              </w:rPr>
              <w:t>At matched retained utility, NPO plus deployment-matched fake quantisation will produce less directional recovery at 4-bit precision than NPO alone.</w:t>
            </w:r>
          </w:p>
        </w:tc>
      </w:tr>
      <w:tr>
        <w:trPr>
          <w:cantSplit/>
        </w:trPr>
        <w:tc>
          <w:tcPr>
            <w:tcW w:w="84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9"/>
              </w:rPr>
              <w:t>H2</w:t>
            </w:r>
          </w:p>
        </w:tc>
        <w:tc>
          <w:tcPr>
            <w:tcW w:w="775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9"/>
              </w:rPr>
              <w:t>A correctly differentiable attribution regulariser will improve relearning robustness and output faithfulness, but it will not necessarily improve QRA resistance.</w:t>
            </w:r>
          </w:p>
        </w:tc>
      </w:tr>
      <w:tr>
        <w:trPr>
          <w:cantSplit/>
        </w:trPr>
        <w:tc>
          <w:tcPr>
            <w:tcW w:w="84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9"/>
              </w:rPr>
              <w:t>H3</w:t>
            </w:r>
          </w:p>
        </w:tc>
        <w:tc>
          <w:tcPr>
            <w:tcW w:w="775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9"/>
              </w:rPr>
              <w:t>The full combination will outperform either pair only if attribution selection and fake quantisation act on the same deployed effective parameters.</w:t>
            </w:r>
          </w:p>
        </w:tc>
      </w:tr>
      <w:tr>
        <w:trPr>
          <w:cantSplit/>
        </w:trPr>
        <w:tc>
          <w:tcPr>
            <w:tcW w:w="84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9"/>
              </w:rPr>
              <w:t>H4</w:t>
            </w:r>
          </w:p>
        </w:tc>
        <w:tc>
          <w:tcPr>
            <w:tcW w:w="775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9"/>
              </w:rPr>
              <w:t>Durability will be quantiser-dependent: performance against the training simulator will exceed transfer to at least one unseen low-bit quantiser.</w:t>
            </w:r>
          </w:p>
        </w:tc>
      </w:tr>
    </w:tbl>
    <w:p>
      <w:pPr>
        <w:pStyle w:val="Normal"/>
        <w:keepLines w:val="false"/>
        <w:spacing w:lineRule="auto" w:line="360" w:before="0" w:after="120"/>
        <w:jc w:val="both"/>
        <w:rPr/>
      </w:pPr>
      <w:r>
        <w:rPr>
          <w:rFonts w:eastAsia="Times New Roman"/>
          <w:i w:val="false"/>
          <w:color w:val="111111"/>
          <w:sz w:val="24"/>
        </w:rPr>
        <w:t>The hypotheses are comparative rather than threshold-only. A condition is not accepted as durable merely because one post-quantisation score is small. It must show lower directional recovery than the baseline, retain utility above a pre-specified floor, avoid degenerate output, and reproduce across seeds. A null result is evidence that the proposed mechanisms are not complementary under the tested constraints; a negative result is evidence of antagonism or implementation mismatch.</w:t>
      </w:r>
    </w:p>
    <w:p>
      <w:pPr>
        <w:pStyle w:val="Heading2"/>
        <w:keepNext w:val="true"/>
        <w:pageBreakBefore w:val="false"/>
        <w:rPr/>
      </w:pPr>
      <w:r>
        <w:rPr>
          <w:rFonts w:eastAsia="Times New Roman" w:ascii="Times New Roman" w:hAnsi="Times New Roman"/>
          <w:b/>
          <w:color w:val="111111"/>
          <w:sz w:val="27"/>
        </w:rPr>
        <w:t>1.8 Proposed contributions</w:t>
      </w:r>
    </w:p>
    <w:p>
      <w:pPr>
        <w:pStyle w:val="ListBullet"/>
        <w:numPr>
          <w:ilvl w:val="0"/>
          <w:numId w:val="1"/>
        </w:numPr>
        <w:spacing w:lineRule="auto" w:line="312" w:before="0" w:after="80"/>
        <w:contextualSpacing/>
        <w:rPr/>
      </w:pPr>
      <w:r>
        <w:rPr>
          <w:rFonts w:eastAsia="Times New Roman"/>
          <w:color w:val="111111"/>
          <w:sz w:val="24"/>
        </w:rPr>
        <w:t>A resource-bounded integration and ablation of NPO, attribution regularisation, and fake quantisation on a 1B instruction-tuned LLM.</w:t>
      </w:r>
    </w:p>
    <w:p>
      <w:pPr>
        <w:pStyle w:val="ListBullet"/>
        <w:numPr>
          <w:ilvl w:val="0"/>
          <w:numId w:val="1"/>
        </w:numPr>
        <w:spacing w:lineRule="auto" w:line="312" w:before="0" w:after="80"/>
        <w:contextualSpacing/>
        <w:rPr/>
      </w:pPr>
      <w:r>
        <w:rPr>
          <w:rFonts w:eastAsia="Times New Roman"/>
          <w:color w:val="111111"/>
          <w:sz w:val="24"/>
        </w:rPr>
        <w:t>An explicit model-state and deployment-quantisation protocol that separates precision sensitivity from directional recovery.</w:t>
      </w:r>
    </w:p>
    <w:p>
      <w:pPr>
        <w:pStyle w:val="ListBullet"/>
        <w:numPr>
          <w:ilvl w:val="0"/>
          <w:numId w:val="1"/>
        </w:numPr>
        <w:spacing w:lineRule="auto" w:line="312" w:before="0" w:after="80"/>
        <w:contextualSpacing/>
        <w:rPr/>
      </w:pPr>
      <w:r>
        <w:rPr>
          <w:rFonts w:eastAsia="Times New Roman"/>
          <w:color w:val="111111"/>
          <w:sz w:val="24"/>
        </w:rPr>
        <w:t>A multi-layer verification bundle combining TOFU Forget Quality, model utility, privacy probes, generated-output inspection, and precision-specific evaluation.</w:t>
      </w:r>
    </w:p>
    <w:p>
      <w:pPr>
        <w:pStyle w:val="ListBullet"/>
        <w:numPr>
          <w:ilvl w:val="0"/>
          <w:numId w:val="1"/>
        </w:numPr>
        <w:spacing w:lineRule="auto" w:line="312" w:before="0" w:after="80"/>
        <w:contextualSpacing/>
        <w:rPr/>
      </w:pPr>
      <w:r>
        <w:rPr>
          <w:rFonts w:eastAsia="Times New Roman"/>
          <w:color w:val="111111"/>
          <w:sz w:val="24"/>
        </w:rPr>
        <w:t>An auditable implementation record that exposes failed pilots and non-operative components instead of treating feasibility checks as final validation.</w:t>
      </w:r>
    </w:p>
    <w:p>
      <w:pPr>
        <w:pStyle w:val="Normal"/>
        <w:keepLines w:val="false"/>
        <w:spacing w:lineRule="auto" w:line="360" w:before="0" w:after="120"/>
        <w:jc w:val="both"/>
        <w:rPr/>
      </w:pPr>
      <w:r>
        <w:rPr>
          <w:rFonts w:eastAsia="Times New Roman"/>
          <w:i w:val="false"/>
          <w:color w:val="111111"/>
          <w:sz w:val="24"/>
        </w:rPr>
        <w:t>The thesis does not claim discovery of QRA, the first quantisation-aware unlearning method, formal certified unlearning, or proof of legal compliance. Prior work already occupies the first three technical spaces [1]–[6]; legal compliance cannot be inferred from one benchmark.</w:t>
      </w:r>
    </w:p>
    <w:p>
      <w:pPr>
        <w:pStyle w:val="Heading2"/>
        <w:keepNext w:val="true"/>
        <w:pageBreakBefore w:val="false"/>
        <w:rPr/>
      </w:pPr>
      <w:r>
        <w:rPr>
          <w:rFonts w:eastAsia="Times New Roman" w:ascii="Times New Roman" w:hAnsi="Times New Roman"/>
          <w:b/>
          <w:color w:val="111111"/>
          <w:sz w:val="27"/>
        </w:rPr>
        <w:t>1.9 Scope and delimitations</w:t>
      </w:r>
    </w:p>
    <w:tbl>
      <w:tblPr>
        <w:tblW w:w="8600" w:type="dxa"/>
        <w:jc w:val="start"/>
        <w:tblInd w:w="95" w:type="dxa"/>
        <w:tblLayout w:type="fixed"/>
        <w:tblCellMar>
          <w:top w:w="70" w:type="dxa"/>
          <w:start w:w="100" w:type="dxa"/>
          <w:bottom w:w="70" w:type="dxa"/>
          <w:end w:w="100" w:type="dxa"/>
        </w:tblCellMar>
        <w:tblLook w:noHBand="0" w:noVBand="1" w:firstColumn="1" w:lastRow="0" w:lastColumn="0" w:firstRow="1" w:val="04a0"/>
      </w:tblPr>
      <w:tblGrid>
        <w:gridCol w:w="1449"/>
        <w:gridCol w:w="7151"/>
      </w:tblGrid>
      <w:tr>
        <w:trPr>
          <w:tblHeader w:val="true"/>
          <w:cantSplit/>
        </w:trPr>
        <w:tc>
          <w:tcPr>
            <w:tcW w:w="1449" w:type="dxa"/>
            <w:tcBorders>
              <w:top w:val="single" w:sz="4" w:space="0" w:color="C9CDD2"/>
              <w:start w:val="single" w:sz="4" w:space="0" w:color="C9CDD2"/>
              <w:bottom w:val="single" w:sz="4" w:space="0" w:color="C9CDD2"/>
              <w:end w:val="single" w:sz="4" w:space="0" w:color="C9CDD2"/>
            </w:tcBorders>
            <w:shd w:fill="F3F4F6" w:val="clear"/>
          </w:tcPr>
          <w:p>
            <w:pPr>
              <w:pStyle w:val="TableText"/>
              <w:spacing w:lineRule="auto" w:line="240" w:before="0" w:after="40"/>
              <w:jc w:val="start"/>
              <w:rPr/>
            </w:pPr>
            <w:r>
              <w:rPr>
                <w:rFonts w:eastAsia="Times New Roman"/>
                <w:b/>
                <w:color w:val="111111"/>
                <w:sz w:val="18"/>
              </w:rPr>
              <w:t>Dimension</w:t>
            </w:r>
          </w:p>
        </w:tc>
        <w:tc>
          <w:tcPr>
            <w:tcW w:w="7151" w:type="dxa"/>
            <w:tcBorders>
              <w:top w:val="single" w:sz="4" w:space="0" w:color="C9CDD2"/>
              <w:start w:val="single" w:sz="4" w:space="0" w:color="C9CDD2"/>
              <w:bottom w:val="single" w:sz="4" w:space="0" w:color="C9CDD2"/>
              <w:end w:val="single" w:sz="4" w:space="0" w:color="C9CDD2"/>
            </w:tcBorders>
            <w:shd w:fill="F3F4F6" w:val="clear"/>
          </w:tcPr>
          <w:p>
            <w:pPr>
              <w:pStyle w:val="TableText"/>
              <w:spacing w:lineRule="auto" w:line="240" w:before="0" w:after="40"/>
              <w:jc w:val="start"/>
              <w:rPr/>
            </w:pPr>
            <w:r>
              <w:rPr>
                <w:rFonts w:eastAsia="Times New Roman"/>
                <w:b/>
                <w:color w:val="111111"/>
                <w:sz w:val="18"/>
              </w:rPr>
              <w:t>Boundary</w:t>
            </w:r>
          </w:p>
        </w:tc>
      </w:tr>
      <w:tr>
        <w:trPr>
          <w:cantSplit/>
        </w:trPr>
        <w:tc>
          <w:tcPr>
            <w:tcW w:w="144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Model</w:t>
            </w:r>
          </w:p>
        </w:tc>
        <w:tc>
          <w:tcPr>
            <w:tcW w:w="715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Llama-3.2-1B-Instruct; conclusions do not automatically generalise to larger architectures.</w:t>
            </w:r>
          </w:p>
        </w:tc>
      </w:tr>
      <w:tr>
        <w:trPr>
          <w:cantSplit/>
        </w:trPr>
        <w:tc>
          <w:tcPr>
            <w:tcW w:w="144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Primary data</w:t>
            </w:r>
          </w:p>
        </w:tc>
        <w:tc>
          <w:tcPr>
            <w:tcW w:w="715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TOFU forget05; controlled synthetic facts. MUSE-News is secondary and remains pending until executed.</w:t>
            </w:r>
          </w:p>
        </w:tc>
      </w:tr>
      <w:tr>
        <w:trPr>
          <w:cantSplit/>
        </w:trPr>
        <w:tc>
          <w:tcPr>
            <w:tcW w:w="144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Compute</w:t>
            </w:r>
          </w:p>
        </w:tc>
        <w:tc>
          <w:tcPr>
            <w:tcW w:w="715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Single-node, less-than-16-GB VRAM target; pilots used a Kaggle dual-T4 environment.</w:t>
            </w:r>
          </w:p>
        </w:tc>
      </w:tr>
      <w:tr>
        <w:trPr>
          <w:cantSplit/>
        </w:trPr>
        <w:tc>
          <w:tcPr>
            <w:tcW w:w="144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Adaptation</w:t>
            </w:r>
          </w:p>
        </w:tc>
        <w:tc>
          <w:tcPr>
            <w:tcW w:w="715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LoRA/resource-efficient training; the base-model knowledge and adapter merge path are explicitly part of the threat model.</w:t>
            </w:r>
          </w:p>
        </w:tc>
      </w:tr>
      <w:tr>
        <w:trPr>
          <w:cantSplit/>
        </w:trPr>
        <w:tc>
          <w:tcPr>
            <w:tcW w:w="144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Precisions</w:t>
            </w:r>
          </w:p>
        </w:tc>
        <w:tc>
          <w:tcPr>
            <w:tcW w:w="715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Full precision (the project currently records FP16), INT8, and 4-bit/NF4 deployment states.</w:t>
            </w:r>
          </w:p>
        </w:tc>
      </w:tr>
      <w:tr>
        <w:trPr>
          <w:cantSplit/>
        </w:trPr>
        <w:tc>
          <w:tcPr>
            <w:tcW w:w="144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Evidence</w:t>
            </w:r>
          </w:p>
        </w:tc>
        <w:tc>
          <w:tcPr>
            <w:tcW w:w="715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Pilots establish feasibility and identify failure modes; only the corrected, multi-seed main experiment can answer the hypotheses.</w:t>
            </w:r>
          </w:p>
        </w:tc>
      </w:tr>
      <w:tr>
        <w:trPr>
          <w:cantSplit/>
        </w:trPr>
        <w:tc>
          <w:tcPr>
            <w:tcW w:w="144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Guarantee</w:t>
            </w:r>
          </w:p>
        </w:tc>
        <w:tc>
          <w:tcPr>
            <w:tcW w:w="715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Empirical durability over named transformations, not exact retraining equivalence, arbitrary-attack robustness, or a legal deletion certificate.</w:t>
            </w:r>
          </w:p>
        </w:tc>
      </w:tr>
    </w:tbl>
    <w:p>
      <w:pPr>
        <w:pStyle w:val="Heading2"/>
        <w:keepNext w:val="true"/>
        <w:pageBreakBefore w:val="false"/>
        <w:rPr/>
      </w:pPr>
      <w:r>
        <w:rPr>
          <w:rFonts w:eastAsia="Times New Roman" w:ascii="Times New Roman" w:hAnsi="Times New Roman"/>
          <w:b/>
          <w:color w:val="111111"/>
          <w:sz w:val="27"/>
        </w:rPr>
        <w:t>1.10 Research status at this draft</w:t>
      </w:r>
    </w:p>
    <w:tbl>
      <w:tblPr>
        <w:tblW w:w="8600" w:type="dxa"/>
        <w:jc w:val="start"/>
        <w:tblInd w:w="95" w:type="dxa"/>
        <w:tblLayout w:type="fixed"/>
        <w:tblCellMar>
          <w:top w:w="70" w:type="dxa"/>
          <w:start w:w="100" w:type="dxa"/>
          <w:bottom w:w="70" w:type="dxa"/>
          <w:end w:w="100" w:type="dxa"/>
        </w:tblCellMar>
        <w:tblLook w:noHBand="0" w:noVBand="1" w:firstColumn="1" w:lastRow="0" w:lastColumn="0" w:firstRow="1" w:val="04a0"/>
      </w:tblPr>
      <w:tblGrid>
        <w:gridCol w:w="1799"/>
        <w:gridCol w:w="1701"/>
        <w:gridCol w:w="5100"/>
      </w:tblGrid>
      <w:tr>
        <w:trPr>
          <w:tblHeader w:val="true"/>
          <w:cantSplit/>
        </w:trPr>
        <w:tc>
          <w:tcPr>
            <w:tcW w:w="1799" w:type="dxa"/>
            <w:tcBorders>
              <w:top w:val="single" w:sz="4" w:space="0" w:color="C9CDD2"/>
              <w:start w:val="single" w:sz="4" w:space="0" w:color="C9CDD2"/>
              <w:bottom w:val="single" w:sz="4" w:space="0" w:color="C9CDD2"/>
              <w:end w:val="single" w:sz="4" w:space="0" w:color="C9CDD2"/>
            </w:tcBorders>
            <w:shd w:fill="F3F4F6" w:val="clear"/>
          </w:tcPr>
          <w:p>
            <w:pPr>
              <w:pStyle w:val="TableText"/>
              <w:spacing w:lineRule="auto" w:line="240" w:before="0" w:after="40"/>
              <w:jc w:val="start"/>
              <w:rPr/>
            </w:pPr>
            <w:r>
              <w:rPr>
                <w:rFonts w:eastAsia="Times New Roman"/>
                <w:b/>
                <w:color w:val="111111"/>
                <w:sz w:val="18"/>
              </w:rPr>
              <w:t>Workstream</w:t>
            </w:r>
          </w:p>
        </w:tc>
        <w:tc>
          <w:tcPr>
            <w:tcW w:w="1701" w:type="dxa"/>
            <w:tcBorders>
              <w:top w:val="single" w:sz="4" w:space="0" w:color="C9CDD2"/>
              <w:start w:val="single" w:sz="4" w:space="0" w:color="C9CDD2"/>
              <w:bottom w:val="single" w:sz="4" w:space="0" w:color="C9CDD2"/>
              <w:end w:val="single" w:sz="4" w:space="0" w:color="C9CDD2"/>
            </w:tcBorders>
            <w:shd w:fill="F3F4F6" w:val="clear"/>
          </w:tcPr>
          <w:p>
            <w:pPr>
              <w:pStyle w:val="TableText"/>
              <w:spacing w:lineRule="auto" w:line="240" w:before="0" w:after="40"/>
              <w:jc w:val="start"/>
              <w:rPr/>
            </w:pPr>
            <w:r>
              <w:rPr>
                <w:rFonts w:eastAsia="Times New Roman"/>
                <w:b/>
                <w:color w:val="111111"/>
                <w:sz w:val="18"/>
              </w:rPr>
              <w:t>Status</w:t>
            </w:r>
          </w:p>
        </w:tc>
        <w:tc>
          <w:tcPr>
            <w:tcW w:w="5100" w:type="dxa"/>
            <w:tcBorders>
              <w:top w:val="single" w:sz="4" w:space="0" w:color="C9CDD2"/>
              <w:start w:val="single" w:sz="4" w:space="0" w:color="C9CDD2"/>
              <w:bottom w:val="single" w:sz="4" w:space="0" w:color="C9CDD2"/>
              <w:end w:val="single" w:sz="4" w:space="0" w:color="C9CDD2"/>
            </w:tcBorders>
            <w:shd w:fill="F3F4F6" w:val="clear"/>
          </w:tcPr>
          <w:p>
            <w:pPr>
              <w:pStyle w:val="TableText"/>
              <w:spacing w:lineRule="auto" w:line="240" w:before="0" w:after="40"/>
              <w:jc w:val="start"/>
              <w:rPr/>
            </w:pPr>
            <w:r>
              <w:rPr>
                <w:rFonts w:eastAsia="Times New Roman"/>
                <w:b/>
                <w:color w:val="111111"/>
                <w:sz w:val="18"/>
              </w:rPr>
              <w:t>Interpretation</w:t>
            </w:r>
          </w:p>
        </w:tc>
      </w:tr>
      <w:tr>
        <w:trPr>
          <w:cantSplit/>
        </w:trPr>
        <w:tc>
          <w:tcPr>
            <w:tcW w:w="179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Literature review</w:t>
            </w:r>
          </w:p>
        </w:tc>
        <w:tc>
          <w:tcPr>
            <w:tcW w:w="170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Complete and revised</w:t>
            </w:r>
          </w:p>
        </w:tc>
        <w:tc>
          <w:tcPr>
            <w:tcW w:w="51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Primary and official sources; 23-item evidence base.</w:t>
            </w:r>
          </w:p>
        </w:tc>
      </w:tr>
      <w:tr>
        <w:trPr>
          <w:cantSplit/>
        </w:trPr>
        <w:tc>
          <w:tcPr>
            <w:tcW w:w="179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GATE1 NPO baseline</w:t>
            </w:r>
          </w:p>
        </w:tc>
        <w:tc>
          <w:tcPr>
            <w:tcW w:w="170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Complete pilot</w:t>
            </w:r>
          </w:p>
        </w:tc>
        <w:tc>
          <w:tcPr>
            <w:tcW w:w="51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Executable baseline and evaluator established.</w:t>
            </w:r>
          </w:p>
        </w:tc>
      </w:tr>
      <w:tr>
        <w:trPr>
          <w:cantSplit/>
        </w:trPr>
        <w:tc>
          <w:tcPr>
            <w:tcW w:w="179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P1 precision audit</w:t>
            </w:r>
          </w:p>
        </w:tc>
        <w:tc>
          <w:tcPr>
            <w:tcW w:w="170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Complete pilot</w:t>
            </w:r>
          </w:p>
        </w:tc>
        <w:tc>
          <w:tcPr>
            <w:tcW w:w="51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Metric-direction and naming correction required; not proof of QRA.</w:t>
            </w:r>
          </w:p>
        </w:tc>
      </w:tr>
      <w:tr>
        <w:trPr>
          <w:cantSplit/>
        </w:trPr>
        <w:tc>
          <w:tcPr>
            <w:tcW w:w="179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P2 attribution feasibility</w:t>
            </w:r>
          </w:p>
        </w:tc>
        <w:tc>
          <w:tcPr>
            <w:tcW w:w="170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Complete pilot</w:t>
            </w:r>
          </w:p>
        </w:tc>
        <w:tc>
          <w:tcPr>
            <w:tcW w:w="51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Offline LIG feasible for one small batch; training gradient not validated.</w:t>
            </w:r>
          </w:p>
        </w:tc>
      </w:tr>
      <w:tr>
        <w:trPr>
          <w:cantSplit/>
        </w:trPr>
        <w:tc>
          <w:tcPr>
            <w:tcW w:w="179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P3 fake-quant loop</w:t>
            </w:r>
          </w:p>
        </w:tc>
        <w:tc>
          <w:tcPr>
            <w:tcW w:w="170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Complete pilot</w:t>
            </w:r>
          </w:p>
        </w:tc>
        <w:tc>
          <w:tcPr>
            <w:tcW w:w="51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Training feasible; quantisation location is not deployment-matched.</w:t>
            </w:r>
          </w:p>
        </w:tc>
      </w:tr>
      <w:tr>
        <w:trPr>
          <w:cantSplit/>
        </w:trPr>
        <w:tc>
          <w:tcPr>
            <w:tcW w:w="179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P4 QUAIL-like trial</w:t>
            </w:r>
          </w:p>
        </w:tc>
        <w:tc>
          <w:tcPr>
            <w:tcW w:w="170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Complete failed pilot</w:t>
            </w:r>
          </w:p>
        </w:tc>
        <w:tc>
          <w:tcPr>
            <w:tcW w:w="51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Incomplete surrogate and failed forgetting/utility; not a QUAIL baseline.</w:t>
            </w:r>
          </w:p>
        </w:tc>
      </w:tr>
      <w:tr>
        <w:trPr>
          <w:cantSplit/>
        </w:trPr>
        <w:tc>
          <w:tcPr>
            <w:tcW w:w="179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Corrected full ablation</w:t>
            </w:r>
          </w:p>
        </w:tc>
        <w:tc>
          <w:tcPr>
            <w:tcW w:w="170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Pending</w:t>
            </w:r>
          </w:p>
        </w:tc>
        <w:tc>
          <w:tcPr>
            <w:tcW w:w="51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Must follow the Chapter 3 gates before hypothesis testing.</w:t>
            </w:r>
          </w:p>
        </w:tc>
      </w:tr>
      <w:tr>
        <w:trPr>
          <w:cantSplit/>
        </w:trPr>
        <w:tc>
          <w:tcPr>
            <w:tcW w:w="179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Secondary MUSE-News</w:t>
            </w:r>
          </w:p>
        </w:tc>
        <w:tc>
          <w:tcPr>
            <w:tcW w:w="170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Pending / optional</w:t>
            </w:r>
          </w:p>
        </w:tc>
        <w:tc>
          <w:tcPr>
            <w:tcW w:w="51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Execute only after the primary pipeline is correct and frozen.</w:t>
            </w:r>
          </w:p>
        </w:tc>
      </w:tr>
    </w:tbl>
    <w:p>
      <w:pPr>
        <w:pStyle w:val="Heading2"/>
        <w:keepNext w:val="true"/>
        <w:pageBreakBefore w:val="false"/>
        <w:rPr/>
      </w:pPr>
      <w:r>
        <w:rPr>
          <w:rFonts w:eastAsia="Times New Roman" w:ascii="Times New Roman" w:hAnsi="Times New Roman"/>
          <w:b/>
          <w:color w:val="111111"/>
          <w:sz w:val="27"/>
        </w:rPr>
        <w:t>1.11 Thesis organisation</w:t>
      </w:r>
    </w:p>
    <w:p>
      <w:pPr>
        <w:pStyle w:val="Normal"/>
        <w:keepLines w:val="false"/>
        <w:spacing w:lineRule="auto" w:line="360" w:before="0" w:after="120"/>
        <w:jc w:val="both"/>
        <w:rPr/>
      </w:pPr>
      <w:r>
        <w:rPr>
          <w:rFonts w:eastAsia="Times New Roman"/>
          <w:i w:val="false"/>
          <w:color w:val="111111"/>
          <w:sz w:val="24"/>
        </w:rPr>
        <w:t>Chapter 1 defines the problem, scope, questions, and contribution. Chapter 2 critically synthesises the QRA, machine-unlearning, attribution, QAT, benchmark, and regional literature. Chapter 3 specifies the corrected research design, equations, experimental conditions, pilot evidence, audit findings, statistical plan, and decision gates. Later chapters will report the frozen main experiment, discuss findings against the literature, and state limitations and conclusions.</w:t>
      </w:r>
      <w:r>
        <w:br w:type="page"/>
      </w:r>
    </w:p>
    <w:p>
      <w:pPr>
        <w:pStyle w:val="Heading1"/>
        <w:keepNext w:val="true"/>
        <w:rPr/>
      </w:pPr>
      <w:r>
        <w:rPr>
          <w:rFonts w:eastAsia="Times New Roman" w:ascii="Times New Roman" w:hAnsi="Times New Roman"/>
          <w:b/>
          <w:color w:val="111111"/>
          <w:sz w:val="32"/>
        </w:rPr>
        <w:t>CHAPTER 2 — LITERATURE REVIEW</w:t>
      </w:r>
    </w:p>
    <w:p>
      <w:pPr>
        <w:pStyle w:val="Normal"/>
        <w:pBdr>
          <w:top w:val="single" w:sz="6" w:space="4" w:color="C9CDD2"/>
          <w:left w:val="single" w:sz="6" w:space="4" w:color="C9CDD2"/>
          <w:bottom w:val="single" w:sz="6" w:space="4" w:color="C9CDD2"/>
          <w:right w:val="single" w:sz="6" w:space="4" w:color="C9CDD2"/>
        </w:pBdr>
        <w:shd w:fill="EAF1F7" w:val="clear"/>
        <w:spacing w:lineRule="auto" w:line="276" w:before="120" w:after="160"/>
        <w:ind w:start="202" w:end="202"/>
        <w:jc w:val="start"/>
        <w:rPr/>
      </w:pPr>
      <w:r>
        <w:rPr>
          <w:rFonts w:eastAsia="Times New Roman"/>
          <w:b/>
          <w:color w:val="111111"/>
          <w:sz w:val="24"/>
        </w:rPr>
        <w:t>Evidence rule</w:t>
      </w:r>
      <w:r>
        <w:rPr>
          <w:rFonts w:eastAsia="Times New Roman"/>
          <w:color w:val="111111"/>
          <w:sz w:val="22"/>
        </w:rPr>
        <w:br/>
        <w:t>This chapter uses peer-reviewed papers, primary preprints, official proceedings, publisher pages, and author repositories for implementation detail. It excludes Reddit, X, Instagram, forums, personal blogs, marketing summaries, and AI-generated literature summaries.</w:t>
      </w:r>
    </w:p>
    <w:p>
      <w:pPr>
        <w:pStyle w:val="Heading1"/>
        <w:keepNext w:val="true"/>
        <w:pageBreakBefore w:val="false"/>
        <w:rPr/>
      </w:pPr>
      <w:r>
        <w:rPr>
          <w:rFonts w:eastAsia="Times New Roman" w:ascii="Times New Roman" w:hAnsi="Times New Roman"/>
          <w:b/>
          <w:color w:val="111111"/>
          <w:sz w:val="32"/>
        </w:rPr>
        <w:t>Shortlisted papers and accessible links</w:t>
      </w:r>
    </w:p>
    <w:p>
      <w:pPr>
        <w:pStyle w:val="Normal"/>
        <w:keepLines w:val="false"/>
        <w:spacing w:lineRule="auto" w:line="360" w:before="0" w:after="160"/>
        <w:jc w:val="both"/>
        <w:rPr/>
      </w:pPr>
      <w:r>
        <w:rPr>
          <w:rFonts w:eastAsia="Times New Roman"/>
          <w:color w:val="111111"/>
          <w:sz w:val="24"/>
        </w:rPr>
        <w:t>The principal synthesis uses sixteen studies selected for directness to the research question, methodological relevance, or necessity to one of the project’s three components. The supporting list contains evaluation infrastructure, two foundational method papers that predate the 2022–2026 window, two adjacent Pakistan studies, and the review-reporting standard. Publication status is stated because several highly relevant 2026 results are preprints and should not carry the same evidential weight as peer-reviewed conference papers.</w:t>
      </w:r>
    </w:p>
    <w:p>
      <w:pPr>
        <w:pStyle w:val="Heading2"/>
        <w:keepNext w:val="true"/>
        <w:pageBreakBefore w:val="false"/>
        <w:rPr/>
      </w:pPr>
      <w:r>
        <w:rPr>
          <w:rFonts w:eastAsia="Times New Roman" w:ascii="Times New Roman" w:hAnsi="Times New Roman"/>
          <w:b/>
          <w:color w:val="111111"/>
          <w:sz w:val="27"/>
        </w:rPr>
        <w:t>Principal review corpus (16 studies)</w:t>
      </w:r>
    </w:p>
    <w:tbl>
      <w:tblPr>
        <w:tblW w:w="9360" w:type="dxa"/>
        <w:jc w:val="start"/>
        <w:tblInd w:w="120" w:type="dxa"/>
        <w:tblLayout w:type="fixed"/>
        <w:tblCellMar>
          <w:top w:w="80" w:type="dxa"/>
          <w:start w:w="120" w:type="dxa"/>
          <w:bottom w:w="80" w:type="dxa"/>
          <w:end w:w="120" w:type="dxa"/>
        </w:tblCellMar>
        <w:tblLook w:noHBand="0" w:noVBand="1" w:firstColumn="1" w:lastRow="0" w:lastColumn="0" w:firstRow="1" w:val="04a0"/>
      </w:tblPr>
      <w:tblGrid>
        <w:gridCol w:w="619"/>
        <w:gridCol w:w="3920"/>
        <w:gridCol w:w="2021"/>
        <w:gridCol w:w="2800"/>
      </w:tblGrid>
      <w:tr>
        <w:trPr>
          <w:tblHeader w:val="true"/>
          <w:cantSplit/>
        </w:trPr>
        <w:tc>
          <w:tcPr>
            <w:tcW w:w="619" w:type="dxa"/>
            <w:tcBorders>
              <w:top w:val="single" w:sz="4" w:space="0" w:color="E2E7ED"/>
              <w:start w:val="single" w:sz="4" w:space="0" w:color="E2E7ED"/>
              <w:bottom w:val="single" w:sz="4" w:space="0" w:color="E2E7ED"/>
              <w:end w:val="single" w:sz="4" w:space="0" w:color="E2E7ED"/>
            </w:tcBorders>
            <w:shd w:fill="F3F4F6" w:val="clear"/>
          </w:tcPr>
          <w:p>
            <w:pPr>
              <w:pStyle w:val="TableText"/>
              <w:spacing w:lineRule="auto" w:line="240" w:before="0" w:after="40"/>
              <w:jc w:val="start"/>
              <w:rPr/>
            </w:pPr>
            <w:r>
              <w:rPr>
                <w:rFonts w:eastAsia="Times New Roman"/>
                <w:b/>
                <w:color w:val="111111"/>
                <w:sz w:val="17"/>
              </w:rPr>
              <w:t>No.</w:t>
            </w:r>
          </w:p>
        </w:tc>
        <w:tc>
          <w:tcPr>
            <w:tcW w:w="3920" w:type="dxa"/>
            <w:tcBorders>
              <w:top w:val="single" w:sz="4" w:space="0" w:color="E2E7ED"/>
              <w:start w:val="single" w:sz="4" w:space="0" w:color="E2E7ED"/>
              <w:bottom w:val="single" w:sz="4" w:space="0" w:color="E2E7ED"/>
              <w:end w:val="single" w:sz="4" w:space="0" w:color="E2E7ED"/>
            </w:tcBorders>
            <w:shd w:fill="F3F4F6" w:val="clear"/>
          </w:tcPr>
          <w:p>
            <w:pPr>
              <w:pStyle w:val="TableText"/>
              <w:spacing w:lineRule="auto" w:line="240" w:before="0" w:after="40"/>
              <w:jc w:val="start"/>
              <w:rPr/>
            </w:pPr>
            <w:r>
              <w:rPr>
                <w:rFonts w:eastAsia="Times New Roman"/>
                <w:b/>
                <w:color w:val="111111"/>
                <w:sz w:val="17"/>
              </w:rPr>
              <w:t>Paper</w:t>
            </w:r>
          </w:p>
        </w:tc>
        <w:tc>
          <w:tcPr>
            <w:tcW w:w="2021" w:type="dxa"/>
            <w:tcBorders>
              <w:top w:val="single" w:sz="4" w:space="0" w:color="E2E7ED"/>
              <w:start w:val="single" w:sz="4" w:space="0" w:color="E2E7ED"/>
              <w:bottom w:val="single" w:sz="4" w:space="0" w:color="E2E7ED"/>
              <w:end w:val="single" w:sz="4" w:space="0" w:color="E2E7ED"/>
            </w:tcBorders>
            <w:shd w:fill="F3F4F6" w:val="clear"/>
          </w:tcPr>
          <w:p>
            <w:pPr>
              <w:pStyle w:val="TableText"/>
              <w:spacing w:lineRule="auto" w:line="240" w:before="0" w:after="40"/>
              <w:jc w:val="start"/>
              <w:rPr/>
            </w:pPr>
            <w:r>
              <w:rPr>
                <w:rFonts w:eastAsia="Times New Roman"/>
                <w:b/>
                <w:color w:val="111111"/>
                <w:sz w:val="17"/>
              </w:rPr>
              <w:t>Year / status / region</w:t>
            </w:r>
          </w:p>
        </w:tc>
        <w:tc>
          <w:tcPr>
            <w:tcW w:w="2800" w:type="dxa"/>
            <w:tcBorders>
              <w:top w:val="single" w:sz="4" w:space="0" w:color="E2E7ED"/>
              <w:start w:val="single" w:sz="4" w:space="0" w:color="E2E7ED"/>
              <w:bottom w:val="single" w:sz="4" w:space="0" w:color="E2E7ED"/>
              <w:end w:val="single" w:sz="4" w:space="0" w:color="E2E7ED"/>
            </w:tcBorders>
            <w:shd w:fill="F3F4F6" w:val="clear"/>
          </w:tcPr>
          <w:p>
            <w:pPr>
              <w:pStyle w:val="TableText"/>
              <w:spacing w:lineRule="auto" w:line="240" w:before="0" w:after="40"/>
              <w:jc w:val="start"/>
              <w:rPr/>
            </w:pPr>
            <w:r>
              <w:rPr>
                <w:rFonts w:eastAsia="Times New Roman"/>
                <w:b/>
                <w:color w:val="111111"/>
                <w:sz w:val="17"/>
              </w:rPr>
              <w:t>Why it is used</w:t>
            </w:r>
          </w:p>
        </w:tc>
      </w:tr>
      <w:tr>
        <w:trPr>
          <w:cantSplit/>
        </w:trPr>
        <w:tc>
          <w:tcPr>
            <w:tcW w:w="619"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[1]</w:t>
            </w:r>
          </w:p>
        </w:tc>
        <w:tc>
          <w:tcPr>
            <w:tcW w:w="392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 xml:space="preserve">Z. Zhang et al.. </w:t>
            </w:r>
            <w:hyperlink r:id="rId2">
              <w:r>
                <w:rPr>
                  <w:rStyle w:val="Style"/>
                  <w:color w:val="2E74B5"/>
                  <w:sz w:val="18"/>
                  <w:szCs w:val="18"/>
                  <w:u w:val="single"/>
                </w:rPr>
                <w:t>Catastrophic Failure of LLM Unlearning via Quantization</w:t>
              </w:r>
            </w:hyperlink>
          </w:p>
        </w:tc>
        <w:tc>
          <w:tcPr>
            <w:tcW w:w="2021"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2025; ICLR; international</w:t>
            </w:r>
          </w:p>
        </w:tc>
        <w:tc>
          <w:tcPr>
            <w:tcW w:w="28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Direct QRA evidence; SURE countermeasure</w:t>
            </w:r>
          </w:p>
        </w:tc>
      </w:tr>
      <w:tr>
        <w:trPr>
          <w:cantSplit/>
        </w:trPr>
        <w:tc>
          <w:tcPr>
            <w:tcW w:w="619"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[2]</w:t>
            </w:r>
          </w:p>
        </w:tc>
        <w:tc>
          <w:tcPr>
            <w:tcW w:w="392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 xml:space="preserve">J. Wang et al.. </w:t>
            </w:r>
            <w:hyperlink r:id="rId3">
              <w:r>
                <w:rPr>
                  <w:rStyle w:val="Style"/>
                  <w:color w:val="2E74B5"/>
                  <w:sz w:val="18"/>
                  <w:szCs w:val="18"/>
                  <w:u w:val="single"/>
                </w:rPr>
                <w:t>Quantization-Robust Unlearning through the Lens of Retain-Forget Loss Landscapes Interaction</w:t>
              </w:r>
            </w:hyperlink>
          </w:p>
        </w:tc>
        <w:tc>
          <w:tcPr>
            <w:tcW w:w="2021"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2026; COLM accepted; international</w:t>
            </w:r>
          </w:p>
        </w:tc>
        <w:tc>
          <w:tcPr>
            <w:tcW w:w="28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Forget-critical layer optimization</w:t>
            </w:r>
          </w:p>
        </w:tc>
      </w:tr>
      <w:tr>
        <w:trPr>
          <w:cantSplit/>
        </w:trPr>
        <w:tc>
          <w:tcPr>
            <w:tcW w:w="619"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[3]</w:t>
            </w:r>
          </w:p>
        </w:tc>
        <w:tc>
          <w:tcPr>
            <w:tcW w:w="392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 xml:space="preserve">A. A. Khan &amp; F. Sohel. </w:t>
            </w:r>
            <w:hyperlink r:id="rId4">
              <w:r>
                <w:rPr>
                  <w:rStyle w:val="Style"/>
                  <w:color w:val="2E74B5"/>
                  <w:sz w:val="18"/>
                  <w:szCs w:val="18"/>
                  <w:u w:val="single"/>
                </w:rPr>
                <w:t>DurableUn: Quantization-Induced Recovery Attacks in Machine Unlearning</w:t>
              </w:r>
            </w:hyperlink>
          </w:p>
        </w:tc>
        <w:tc>
          <w:tcPr>
            <w:tcW w:w="2021"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2026; arXiv preprint; international</w:t>
            </w:r>
          </w:p>
        </w:tc>
        <w:tc>
          <w:tcPr>
            <w:tcW w:w="28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NF4+LoRA QRA study; STE-based SAF</w:t>
            </w:r>
          </w:p>
        </w:tc>
      </w:tr>
      <w:tr>
        <w:trPr>
          <w:cantSplit/>
        </w:trPr>
        <w:tc>
          <w:tcPr>
            <w:tcW w:w="619"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[4]</w:t>
            </w:r>
          </w:p>
        </w:tc>
        <w:tc>
          <w:tcPr>
            <w:tcW w:w="392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 xml:space="preserve">S. Sadhu et al.. </w:t>
            </w:r>
            <w:hyperlink r:id="rId5">
              <w:r>
                <w:rPr>
                  <w:rStyle w:val="Style"/>
                  <w:color w:val="2E74B5"/>
                  <w:sz w:val="18"/>
                  <w:szCs w:val="18"/>
                  <w:u w:val="single"/>
                </w:rPr>
                <w:t>Forgetting That Sticks: Quantization-Permanent Unlearning via Circuit Attribution</w:t>
              </w:r>
            </w:hyperlink>
          </w:p>
        </w:tc>
        <w:tc>
          <w:tcPr>
            <w:tcW w:w="2021"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2026; arXiv preprint; international</w:t>
            </w:r>
          </w:p>
        </w:tc>
        <w:tc>
          <w:tcPr>
            <w:tcW w:w="28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MANSU: circuit attribution, Fisher projection, magnitude floor</w:t>
            </w:r>
          </w:p>
        </w:tc>
      </w:tr>
      <w:tr>
        <w:trPr>
          <w:cantSplit/>
        </w:trPr>
        <w:tc>
          <w:tcPr>
            <w:tcW w:w="619"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[5]</w:t>
            </w:r>
          </w:p>
        </w:tc>
        <w:tc>
          <w:tcPr>
            <w:tcW w:w="392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 xml:space="preserve">H. Mishra &amp; K. Mehreen. </w:t>
            </w:r>
            <w:hyperlink r:id="rId6">
              <w:r>
                <w:rPr>
                  <w:rStyle w:val="Style"/>
                  <w:color w:val="2E74B5"/>
                  <w:sz w:val="18"/>
                  <w:szCs w:val="18"/>
                  <w:u w:val="single"/>
                </w:rPr>
                <w:t>QUAIL: Quantization Aware Unlearning for Mitigating Misinformation in LLMs</w:t>
              </w:r>
            </w:hyperlink>
          </w:p>
        </w:tc>
        <w:tc>
          <w:tcPr>
            <w:tcW w:w="2021"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2026; arXiv preprint; international</w:t>
            </w:r>
          </w:p>
        </w:tc>
        <w:tc>
          <w:tcPr>
            <w:tcW w:w="28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Logit-margin quantization-aware unlearning</w:t>
            </w:r>
          </w:p>
        </w:tc>
      </w:tr>
      <w:tr>
        <w:trPr>
          <w:cantSplit/>
        </w:trPr>
        <w:tc>
          <w:tcPr>
            <w:tcW w:w="619"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[6]</w:t>
            </w:r>
          </w:p>
        </w:tc>
        <w:tc>
          <w:tcPr>
            <w:tcW w:w="392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 xml:space="preserve">J. V. B. Abitante et al.. </w:t>
            </w:r>
            <w:hyperlink r:id="rId7">
              <w:r>
                <w:rPr>
                  <w:rStyle w:val="Style"/>
                  <w:color w:val="2E74B5"/>
                  <w:sz w:val="18"/>
                  <w:szCs w:val="18"/>
                  <w:u w:val="single"/>
                </w:rPr>
                <w:t>Quantization-Robust LLM Unlearning via Low-Rank Adaptation</w:t>
              </w:r>
            </w:hyperlink>
          </w:p>
        </w:tc>
        <w:tc>
          <w:tcPr>
            <w:tcW w:w="2021"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2026; IJCNN accepted; international</w:t>
            </w:r>
          </w:p>
        </w:tc>
        <w:tc>
          <w:tcPr>
            <w:tcW w:w="28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LoRA concentration as a PTQ-robust update mechanism</w:t>
            </w:r>
          </w:p>
        </w:tc>
      </w:tr>
      <w:tr>
        <w:trPr>
          <w:cantSplit/>
        </w:trPr>
        <w:tc>
          <w:tcPr>
            <w:tcW w:w="619"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[7]</w:t>
            </w:r>
          </w:p>
        </w:tc>
        <w:tc>
          <w:tcPr>
            <w:tcW w:w="392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 xml:space="preserve">S. A. Ali. </w:t>
            </w:r>
            <w:hyperlink r:id="rId8">
              <w:r>
                <w:rPr>
                  <w:rStyle w:val="Style"/>
                  <w:color w:val="2E74B5"/>
                  <w:sz w:val="18"/>
                  <w:szCs w:val="18"/>
                  <w:u w:val="single"/>
                </w:rPr>
                <w:t>On the Reliability of Targeted Unlearning in 4-Bit Quantized LLMs</w:t>
              </w:r>
            </w:hyperlink>
          </w:p>
        </w:tc>
        <w:tc>
          <w:tcPr>
            <w:tcW w:w="2021"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2026; IEEE DSN Workshops; Pakistan</w:t>
            </w:r>
          </w:p>
        </w:tc>
        <w:tc>
          <w:tcPr>
            <w:tcW w:w="28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NED University; 4-bit LoRA unlearning and behavioral/privacy audit</w:t>
            </w:r>
          </w:p>
        </w:tc>
      </w:tr>
      <w:tr>
        <w:trPr>
          <w:cantSplit/>
        </w:trPr>
        <w:tc>
          <w:tcPr>
            <w:tcW w:w="619"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[8]</w:t>
            </w:r>
          </w:p>
        </w:tc>
        <w:tc>
          <w:tcPr>
            <w:tcW w:w="392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 xml:space="preserve">R. Zhang et al.. </w:t>
            </w:r>
            <w:hyperlink r:id="rId9">
              <w:r>
                <w:rPr>
                  <w:rStyle w:val="Style"/>
                  <w:color w:val="2E74B5"/>
                  <w:sz w:val="18"/>
                  <w:szCs w:val="18"/>
                  <w:u w:val="single"/>
                </w:rPr>
                <w:t>Negative Preference Optimization: From Catastrophic Collapse to Effective Unlearning</w:t>
              </w:r>
            </w:hyperlink>
          </w:p>
        </w:tc>
        <w:tc>
          <w:tcPr>
            <w:tcW w:w="2021"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2024; COLM; international</w:t>
            </w:r>
          </w:p>
        </w:tc>
        <w:tc>
          <w:tcPr>
            <w:tcW w:w="28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NPO, the project’s base forgetting objective</w:t>
            </w:r>
          </w:p>
        </w:tc>
      </w:tr>
      <w:tr>
        <w:trPr>
          <w:cantSplit/>
        </w:trPr>
        <w:tc>
          <w:tcPr>
            <w:tcW w:w="619"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[9]</w:t>
            </w:r>
          </w:p>
        </w:tc>
        <w:tc>
          <w:tcPr>
            <w:tcW w:w="392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 xml:space="preserve">N. Yang et al.. </w:t>
            </w:r>
            <w:hyperlink r:id="rId10">
              <w:r>
                <w:rPr>
                  <w:rStyle w:val="Style"/>
                  <w:color w:val="2E74B5"/>
                  <w:sz w:val="18"/>
                  <w:szCs w:val="18"/>
                  <w:u w:val="single"/>
                </w:rPr>
                <w:t>Erase or Hide? Suppressing Spurious Unlearning Neurons for Robust Unlearning</w:t>
              </w:r>
            </w:hyperlink>
          </w:p>
        </w:tc>
        <w:tc>
          <w:tcPr>
            <w:tcW w:w="2021"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2026; ICLR; international</w:t>
            </w:r>
          </w:p>
        </w:tc>
        <w:tc>
          <w:tcPr>
            <w:tcW w:w="28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Ssiuu attribution-guided regularization</w:t>
            </w:r>
          </w:p>
        </w:tc>
      </w:tr>
      <w:tr>
        <w:trPr>
          <w:cantSplit/>
        </w:trPr>
        <w:tc>
          <w:tcPr>
            <w:tcW w:w="619"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[10]</w:t>
            </w:r>
          </w:p>
        </w:tc>
        <w:tc>
          <w:tcPr>
            <w:tcW w:w="392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 xml:space="preserve">P. Maini et al.. </w:t>
            </w:r>
            <w:hyperlink r:id="rId11">
              <w:r>
                <w:rPr>
                  <w:rStyle w:val="Style"/>
                  <w:color w:val="2E74B5"/>
                  <w:sz w:val="18"/>
                  <w:szCs w:val="18"/>
                  <w:u w:val="single"/>
                </w:rPr>
                <w:t>TOFU: A Task of Fictitious Unlearning for LLMs</w:t>
              </w:r>
            </w:hyperlink>
          </w:p>
        </w:tc>
        <w:tc>
          <w:tcPr>
            <w:tcW w:w="2021"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2024; COLM; international</w:t>
            </w:r>
          </w:p>
        </w:tc>
        <w:tc>
          <w:tcPr>
            <w:tcW w:w="28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Primary benchmark and retrain-comparison framing</w:t>
            </w:r>
          </w:p>
        </w:tc>
      </w:tr>
      <w:tr>
        <w:trPr>
          <w:cantSplit/>
        </w:trPr>
        <w:tc>
          <w:tcPr>
            <w:tcW w:w="619"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[11]</w:t>
            </w:r>
          </w:p>
        </w:tc>
        <w:tc>
          <w:tcPr>
            <w:tcW w:w="392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 xml:space="preserve">W. Shi et al.. </w:t>
            </w:r>
            <w:hyperlink r:id="rId12">
              <w:r>
                <w:rPr>
                  <w:rStyle w:val="Style"/>
                  <w:color w:val="2E74B5"/>
                  <w:sz w:val="18"/>
                  <w:szCs w:val="18"/>
                  <w:u w:val="single"/>
                </w:rPr>
                <w:t>MUSE: Machine Unlearning Six-Way Evaluation for Language Models</w:t>
              </w:r>
            </w:hyperlink>
          </w:p>
        </w:tc>
        <w:tc>
          <w:tcPr>
            <w:tcW w:w="2021"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2025; ICLR; international</w:t>
            </w:r>
          </w:p>
        </w:tc>
        <w:tc>
          <w:tcPr>
            <w:tcW w:w="28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Six-way evaluation; MUSE-News secondary benchmark</w:t>
            </w:r>
          </w:p>
        </w:tc>
      </w:tr>
      <w:tr>
        <w:trPr>
          <w:cantSplit/>
        </w:trPr>
        <w:tc>
          <w:tcPr>
            <w:tcW w:w="619"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[12]</w:t>
            </w:r>
          </w:p>
        </w:tc>
        <w:tc>
          <w:tcPr>
            <w:tcW w:w="392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 xml:space="preserve">S. Cho et al.. </w:t>
            </w:r>
            <w:hyperlink r:id="rId13">
              <w:r>
                <w:rPr>
                  <w:rStyle w:val="Style"/>
                  <w:color w:val="2E74B5"/>
                  <w:sz w:val="18"/>
                  <w:szCs w:val="18"/>
                  <w:u w:val="single"/>
                </w:rPr>
                <w:t>Reference-Specific Unlearning Metrics Can Hide the Truth: A Reality Check</w:t>
              </w:r>
            </w:hyperlink>
          </w:p>
        </w:tc>
        <w:tc>
          <w:tcPr>
            <w:tcW w:w="2021"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2025; arXiv preprint; international</w:t>
            </w:r>
          </w:p>
        </w:tc>
        <w:tc>
          <w:tcPr>
            <w:tcW w:w="28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FADE distributional-equivalence metric</w:t>
            </w:r>
          </w:p>
        </w:tc>
      </w:tr>
      <w:tr>
        <w:trPr>
          <w:cantSplit/>
        </w:trPr>
        <w:tc>
          <w:tcPr>
            <w:tcW w:w="619"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[13]</w:t>
            </w:r>
          </w:p>
        </w:tc>
        <w:tc>
          <w:tcPr>
            <w:tcW w:w="392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 xml:space="preserve">K. Li et al.. </w:t>
            </w:r>
            <w:hyperlink r:id="rId14">
              <w:r>
                <w:rPr>
                  <w:rStyle w:val="Style"/>
                  <w:color w:val="2E74B5"/>
                  <w:sz w:val="18"/>
                  <w:szCs w:val="18"/>
                  <w:u w:val="single"/>
                </w:rPr>
                <w:t>LLM Unlearning with LLM Beliefs</w:t>
              </w:r>
            </w:hyperlink>
          </w:p>
        </w:tc>
        <w:tc>
          <w:tcPr>
            <w:tcW w:w="2021"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2026; ICLR; international</w:t>
            </w:r>
          </w:p>
        </w:tc>
        <w:tc>
          <w:tcPr>
            <w:tcW w:w="28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Squeezing effect and belief-aware suppression</w:t>
            </w:r>
          </w:p>
        </w:tc>
      </w:tr>
      <w:tr>
        <w:trPr>
          <w:cantSplit/>
        </w:trPr>
        <w:tc>
          <w:tcPr>
            <w:tcW w:w="619"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[14]</w:t>
            </w:r>
          </w:p>
        </w:tc>
        <w:tc>
          <w:tcPr>
            <w:tcW w:w="392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 xml:space="preserve">Z. Liu et al.. </w:t>
            </w:r>
            <w:hyperlink r:id="rId15">
              <w:r>
                <w:rPr>
                  <w:rStyle w:val="Style"/>
                  <w:color w:val="2E74B5"/>
                  <w:sz w:val="18"/>
                  <w:szCs w:val="18"/>
                  <w:u w:val="single"/>
                </w:rPr>
                <w:t>LLM-QAT: Data-Free Quantization Aware Training for Large Language Models</w:t>
              </w:r>
            </w:hyperlink>
          </w:p>
        </w:tc>
        <w:tc>
          <w:tcPr>
            <w:tcW w:w="2021"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2024; Findings of ACL; international</w:t>
            </w:r>
          </w:p>
        </w:tc>
        <w:tc>
          <w:tcPr>
            <w:tcW w:w="28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QAT foundation for low-bit LLM training</w:t>
            </w:r>
          </w:p>
        </w:tc>
      </w:tr>
      <w:tr>
        <w:trPr>
          <w:cantSplit/>
        </w:trPr>
        <w:tc>
          <w:tcPr>
            <w:tcW w:w="619"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[15]</w:t>
            </w:r>
          </w:p>
        </w:tc>
        <w:tc>
          <w:tcPr>
            <w:tcW w:w="392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 xml:space="preserve">T. Dettmers et al.. </w:t>
            </w:r>
            <w:hyperlink r:id="rId16">
              <w:r>
                <w:rPr>
                  <w:rStyle w:val="Style"/>
                  <w:color w:val="2E74B5"/>
                  <w:sz w:val="18"/>
                  <w:szCs w:val="18"/>
                  <w:u w:val="single"/>
                </w:rPr>
                <w:t>QLoRA: Efficient Finetuning of Quantized LLMs</w:t>
              </w:r>
            </w:hyperlink>
          </w:p>
        </w:tc>
        <w:tc>
          <w:tcPr>
            <w:tcW w:w="2021"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2023; NeurIPS; international</w:t>
            </w:r>
          </w:p>
        </w:tc>
        <w:tc>
          <w:tcPr>
            <w:tcW w:w="28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NF4, double quantization, paged optimizers, LoRA</w:t>
            </w:r>
          </w:p>
        </w:tc>
      </w:tr>
      <w:tr>
        <w:trPr>
          <w:cantSplit/>
        </w:trPr>
        <w:tc>
          <w:tcPr>
            <w:tcW w:w="619"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[16]</w:t>
            </w:r>
          </w:p>
        </w:tc>
        <w:tc>
          <w:tcPr>
            <w:tcW w:w="392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 xml:space="preserve">D. Huu-Tien et al.. </w:t>
            </w:r>
            <w:hyperlink r:id="rId17">
              <w:r>
                <w:rPr>
                  <w:rStyle w:val="Style"/>
                  <w:color w:val="2E74B5"/>
                  <w:sz w:val="18"/>
                  <w:szCs w:val="18"/>
                  <w:u w:val="single"/>
                </w:rPr>
                <w:t>Beyond Forgetting: Machine Unlearning Elicits Controllable Side Behaviors and Capabilities</w:t>
              </w:r>
            </w:hyperlink>
          </w:p>
        </w:tc>
        <w:tc>
          <w:tcPr>
            <w:tcW w:w="2021"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2026; arXiv preprint; Japan/JAIST</w:t>
            </w:r>
          </w:p>
        </w:tc>
        <w:tc>
          <w:tcPr>
            <w:tcW w:w="28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Representation-misdirection side effects; Japanese study</w:t>
            </w:r>
          </w:p>
        </w:tc>
      </w:tr>
    </w:tbl>
    <w:p>
      <w:pPr>
        <w:pStyle w:val="Normal"/>
        <w:spacing w:lineRule="auto" w:line="360" w:before="80" w:after="80"/>
        <w:rPr/>
      </w:pPr>
      <w:r>
        <w:rPr>
          <w:rFonts w:eastAsia="Times New Roman"/>
          <w:i/>
          <w:color w:val="5F6368"/>
          <w:sz w:val="17"/>
        </w:rPr>
        <w:t>Links resolve to the publisher, proceedings, OpenReview, ACL Anthology, or arXiv landing page. All sixteen studies are discussed in the synthesis.</w:t>
      </w:r>
    </w:p>
    <w:p>
      <w:pPr>
        <w:pStyle w:val="Heading2"/>
        <w:keepNext w:val="true"/>
        <w:pageBreakBefore w:val="false"/>
        <w:rPr/>
      </w:pPr>
      <w:r>
        <w:rPr>
          <w:rFonts w:eastAsia="Times New Roman" w:ascii="Times New Roman" w:hAnsi="Times New Roman"/>
          <w:b/>
          <w:color w:val="111111"/>
          <w:sz w:val="27"/>
        </w:rPr>
        <w:t>Supporting, foundational, and national-context sources</w:t>
      </w:r>
    </w:p>
    <w:tbl>
      <w:tblPr>
        <w:tblW w:w="9360" w:type="dxa"/>
        <w:jc w:val="start"/>
        <w:tblInd w:w="120" w:type="dxa"/>
        <w:tblLayout w:type="fixed"/>
        <w:tblCellMar>
          <w:top w:w="80" w:type="dxa"/>
          <w:start w:w="120" w:type="dxa"/>
          <w:bottom w:w="80" w:type="dxa"/>
          <w:end w:w="120" w:type="dxa"/>
        </w:tblCellMar>
        <w:tblLook w:noHBand="0" w:noVBand="1" w:firstColumn="1" w:lastRow="0" w:lastColumn="0" w:firstRow="1" w:val="04a0"/>
      </w:tblPr>
      <w:tblGrid>
        <w:gridCol w:w="619"/>
        <w:gridCol w:w="3920"/>
        <w:gridCol w:w="2021"/>
        <w:gridCol w:w="2800"/>
      </w:tblGrid>
      <w:tr>
        <w:trPr>
          <w:tblHeader w:val="true"/>
          <w:cantSplit/>
        </w:trPr>
        <w:tc>
          <w:tcPr>
            <w:tcW w:w="619" w:type="dxa"/>
            <w:tcBorders>
              <w:top w:val="single" w:sz="4" w:space="0" w:color="E2E7ED"/>
              <w:start w:val="single" w:sz="4" w:space="0" w:color="E2E7ED"/>
              <w:bottom w:val="single" w:sz="4" w:space="0" w:color="E2E7ED"/>
              <w:end w:val="single" w:sz="4" w:space="0" w:color="E2E7ED"/>
            </w:tcBorders>
            <w:shd w:fill="F3F4F6" w:val="clear"/>
          </w:tcPr>
          <w:p>
            <w:pPr>
              <w:pStyle w:val="TableText"/>
              <w:spacing w:lineRule="auto" w:line="240" w:before="0" w:after="40"/>
              <w:jc w:val="start"/>
              <w:rPr/>
            </w:pPr>
            <w:r>
              <w:rPr>
                <w:rFonts w:eastAsia="Times New Roman"/>
                <w:b/>
                <w:color w:val="111111"/>
                <w:sz w:val="17"/>
              </w:rPr>
              <w:t>No.</w:t>
            </w:r>
          </w:p>
        </w:tc>
        <w:tc>
          <w:tcPr>
            <w:tcW w:w="3920" w:type="dxa"/>
            <w:tcBorders>
              <w:top w:val="single" w:sz="4" w:space="0" w:color="E2E7ED"/>
              <w:start w:val="single" w:sz="4" w:space="0" w:color="E2E7ED"/>
              <w:bottom w:val="single" w:sz="4" w:space="0" w:color="E2E7ED"/>
              <w:end w:val="single" w:sz="4" w:space="0" w:color="E2E7ED"/>
            </w:tcBorders>
            <w:shd w:fill="F3F4F6" w:val="clear"/>
          </w:tcPr>
          <w:p>
            <w:pPr>
              <w:pStyle w:val="TableText"/>
              <w:spacing w:lineRule="auto" w:line="240" w:before="0" w:after="40"/>
              <w:jc w:val="start"/>
              <w:rPr/>
            </w:pPr>
            <w:r>
              <w:rPr>
                <w:rFonts w:eastAsia="Times New Roman"/>
                <w:b/>
                <w:color w:val="111111"/>
                <w:sz w:val="17"/>
              </w:rPr>
              <w:t>Paper</w:t>
            </w:r>
          </w:p>
        </w:tc>
        <w:tc>
          <w:tcPr>
            <w:tcW w:w="2021" w:type="dxa"/>
            <w:tcBorders>
              <w:top w:val="single" w:sz="4" w:space="0" w:color="E2E7ED"/>
              <w:start w:val="single" w:sz="4" w:space="0" w:color="E2E7ED"/>
              <w:bottom w:val="single" w:sz="4" w:space="0" w:color="E2E7ED"/>
              <w:end w:val="single" w:sz="4" w:space="0" w:color="E2E7ED"/>
            </w:tcBorders>
            <w:shd w:fill="F3F4F6" w:val="clear"/>
          </w:tcPr>
          <w:p>
            <w:pPr>
              <w:pStyle w:val="TableText"/>
              <w:spacing w:lineRule="auto" w:line="240" w:before="0" w:after="40"/>
              <w:jc w:val="start"/>
              <w:rPr/>
            </w:pPr>
            <w:r>
              <w:rPr>
                <w:rFonts w:eastAsia="Times New Roman"/>
                <w:b/>
                <w:color w:val="111111"/>
                <w:sz w:val="17"/>
              </w:rPr>
              <w:t>Year / status / region</w:t>
            </w:r>
          </w:p>
        </w:tc>
        <w:tc>
          <w:tcPr>
            <w:tcW w:w="2800" w:type="dxa"/>
            <w:tcBorders>
              <w:top w:val="single" w:sz="4" w:space="0" w:color="E2E7ED"/>
              <w:start w:val="single" w:sz="4" w:space="0" w:color="E2E7ED"/>
              <w:bottom w:val="single" w:sz="4" w:space="0" w:color="E2E7ED"/>
              <w:end w:val="single" w:sz="4" w:space="0" w:color="E2E7ED"/>
            </w:tcBorders>
            <w:shd w:fill="F3F4F6" w:val="clear"/>
          </w:tcPr>
          <w:p>
            <w:pPr>
              <w:pStyle w:val="TableText"/>
              <w:spacing w:lineRule="auto" w:line="240" w:before="0" w:after="40"/>
              <w:jc w:val="start"/>
              <w:rPr/>
            </w:pPr>
            <w:r>
              <w:rPr>
                <w:rFonts w:eastAsia="Times New Roman"/>
                <w:b/>
                <w:color w:val="111111"/>
                <w:sz w:val="17"/>
              </w:rPr>
              <w:t>Why it is used</w:t>
            </w:r>
          </w:p>
        </w:tc>
      </w:tr>
      <w:tr>
        <w:trPr>
          <w:cantSplit/>
        </w:trPr>
        <w:tc>
          <w:tcPr>
            <w:tcW w:w="619"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[17]</w:t>
            </w:r>
          </w:p>
        </w:tc>
        <w:tc>
          <w:tcPr>
            <w:tcW w:w="392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 xml:space="preserve">V. Dorna et al.. </w:t>
            </w:r>
            <w:hyperlink r:id="rId18">
              <w:r>
                <w:rPr>
                  <w:rStyle w:val="Style"/>
                  <w:color w:val="2E74B5"/>
                  <w:sz w:val="18"/>
                  <w:szCs w:val="18"/>
                  <w:u w:val="single"/>
                </w:rPr>
                <w:t>OpenUnlearning: Accelerating LLM Unlearning via Unified Benchmarking of Methods and Metrics</w:t>
              </w:r>
            </w:hyperlink>
          </w:p>
        </w:tc>
        <w:tc>
          <w:tcPr>
            <w:tcW w:w="2021"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2025; arXiv preprint</w:t>
            </w:r>
          </w:p>
        </w:tc>
        <w:tc>
          <w:tcPr>
            <w:tcW w:w="28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Unified implementation and metric meta-evaluation</w:t>
            </w:r>
          </w:p>
        </w:tc>
      </w:tr>
      <w:tr>
        <w:trPr>
          <w:cantSplit/>
        </w:trPr>
        <w:tc>
          <w:tcPr>
            <w:tcW w:w="619"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[18]</w:t>
            </w:r>
          </w:p>
        </w:tc>
        <w:tc>
          <w:tcPr>
            <w:tcW w:w="392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 xml:space="preserve">M. Isonuma &amp; I. Titov. </w:t>
            </w:r>
            <w:hyperlink r:id="rId19">
              <w:r>
                <w:rPr>
                  <w:rStyle w:val="Style"/>
                  <w:color w:val="2E74B5"/>
                  <w:sz w:val="18"/>
                  <w:szCs w:val="18"/>
                  <w:u w:val="single"/>
                </w:rPr>
                <w:t>Unlearning Traces the Influential Training Data of Language Models</w:t>
              </w:r>
            </w:hyperlink>
          </w:p>
        </w:tc>
        <w:tc>
          <w:tcPr>
            <w:tcW w:w="2021"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2024; ACL; Japan/University of Tokyo</w:t>
            </w:r>
          </w:p>
        </w:tc>
        <w:tc>
          <w:tcPr>
            <w:tcW w:w="28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UnTrac data attribution via unlearning</w:t>
            </w:r>
          </w:p>
        </w:tc>
      </w:tr>
      <w:tr>
        <w:trPr>
          <w:cantSplit/>
        </w:trPr>
        <w:tc>
          <w:tcPr>
            <w:tcW w:w="619"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[19]</w:t>
            </w:r>
          </w:p>
        </w:tc>
        <w:tc>
          <w:tcPr>
            <w:tcW w:w="392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 xml:space="preserve">M. Sundararajan et al.. </w:t>
            </w:r>
            <w:hyperlink r:id="rId20">
              <w:r>
                <w:rPr>
                  <w:rStyle w:val="Style"/>
                  <w:color w:val="2E74B5"/>
                  <w:sz w:val="18"/>
                  <w:szCs w:val="18"/>
                  <w:u w:val="single"/>
                </w:rPr>
                <w:t>Axiomatic Attribution for Deep Networks</w:t>
              </w:r>
            </w:hyperlink>
          </w:p>
        </w:tc>
        <w:tc>
          <w:tcPr>
            <w:tcW w:w="2021"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2017; ICML; foundational exception</w:t>
            </w:r>
          </w:p>
        </w:tc>
        <w:tc>
          <w:tcPr>
            <w:tcW w:w="28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Integrated Gradients</w:t>
            </w:r>
          </w:p>
        </w:tc>
      </w:tr>
      <w:tr>
        <w:trPr>
          <w:cantSplit/>
        </w:trPr>
        <w:tc>
          <w:tcPr>
            <w:tcW w:w="619"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[20]</w:t>
            </w:r>
          </w:p>
        </w:tc>
        <w:tc>
          <w:tcPr>
            <w:tcW w:w="392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 xml:space="preserve">Y. Bengio et al.. </w:t>
            </w:r>
            <w:hyperlink r:id="rId21">
              <w:r>
                <w:rPr>
                  <w:rStyle w:val="Style"/>
                  <w:color w:val="2E74B5"/>
                  <w:sz w:val="18"/>
                  <w:szCs w:val="18"/>
                  <w:u w:val="single"/>
                </w:rPr>
                <w:t>Estimating or Propagating Gradients Through Stochastic Neurons for Conditional Computation</w:t>
              </w:r>
            </w:hyperlink>
          </w:p>
        </w:tc>
        <w:tc>
          <w:tcPr>
            <w:tcW w:w="2021"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2013; foundational exception</w:t>
            </w:r>
          </w:p>
        </w:tc>
        <w:tc>
          <w:tcPr>
            <w:tcW w:w="28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Straight-Through Estimator</w:t>
            </w:r>
          </w:p>
        </w:tc>
      </w:tr>
      <w:tr>
        <w:trPr>
          <w:cantSplit/>
        </w:trPr>
        <w:tc>
          <w:tcPr>
            <w:tcW w:w="619"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[21]</w:t>
            </w:r>
          </w:p>
        </w:tc>
        <w:tc>
          <w:tcPr>
            <w:tcW w:w="392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 xml:space="preserve">F. Ahmad. </w:t>
            </w:r>
            <w:hyperlink r:id="rId22">
              <w:r>
                <w:rPr>
                  <w:rStyle w:val="Style"/>
                  <w:color w:val="2E74B5"/>
                  <w:sz w:val="18"/>
                  <w:szCs w:val="18"/>
                  <w:u w:val="single"/>
                </w:rPr>
                <w:t>Unlearning under Siege: Robustness Risks of Certified Machine Unlearning</w:t>
              </w:r>
            </w:hyperlink>
          </w:p>
        </w:tc>
        <w:tc>
          <w:tcPr>
            <w:tcW w:w="2021"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2026; Neurocomputing; Pakistan/LUMS</w:t>
            </w:r>
          </w:p>
        </w:tc>
        <w:tc>
          <w:tcPr>
            <w:tcW w:w="28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Adjacent national robustness evidence</w:t>
            </w:r>
          </w:p>
        </w:tc>
      </w:tr>
      <w:tr>
        <w:trPr>
          <w:cantSplit/>
        </w:trPr>
        <w:tc>
          <w:tcPr>
            <w:tcW w:w="619"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[22]</w:t>
            </w:r>
          </w:p>
        </w:tc>
        <w:tc>
          <w:tcPr>
            <w:tcW w:w="392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 xml:space="preserve">Z. Ali et al.. </w:t>
            </w:r>
            <w:hyperlink r:id="rId23">
              <w:r>
                <w:rPr>
                  <w:rStyle w:val="Style"/>
                  <w:color w:val="2E74B5"/>
                  <w:sz w:val="18"/>
                  <w:szCs w:val="18"/>
                  <w:u w:val="single"/>
                </w:rPr>
                <w:t>Evaluating Machine Unlearning: Applications, Approaches, and Accuracy</w:t>
              </w:r>
            </w:hyperlink>
          </w:p>
        </w:tc>
        <w:tc>
          <w:tcPr>
            <w:tcW w:w="2021"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2025; Engineering Reports; Pakistan/COMSATS–FAST</w:t>
            </w:r>
          </w:p>
        </w:tc>
        <w:tc>
          <w:tcPr>
            <w:tcW w:w="28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Adjacent national MU comparison; non-LLM</w:t>
            </w:r>
          </w:p>
        </w:tc>
      </w:tr>
      <w:tr>
        <w:trPr>
          <w:cantSplit/>
        </w:trPr>
        <w:tc>
          <w:tcPr>
            <w:tcW w:w="619"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[23]</w:t>
            </w:r>
          </w:p>
        </w:tc>
        <w:tc>
          <w:tcPr>
            <w:tcW w:w="392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 xml:space="preserve">M. J. Page et al.. </w:t>
            </w:r>
            <w:hyperlink r:id="rId24">
              <w:r>
                <w:rPr>
                  <w:rStyle w:val="Style"/>
                  <w:color w:val="2E74B5"/>
                  <w:sz w:val="18"/>
                  <w:szCs w:val="18"/>
                  <w:u w:val="single"/>
                </w:rPr>
                <w:t>The PRISMA 2020 Statement: An Updated Guideline for Reporting Systematic Reviews</w:t>
              </w:r>
            </w:hyperlink>
          </w:p>
        </w:tc>
        <w:tc>
          <w:tcPr>
            <w:tcW w:w="2021"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2021; BMJ; review-method exception</w:t>
            </w:r>
          </w:p>
        </w:tc>
        <w:tc>
          <w:tcPr>
            <w:tcW w:w="28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Review reporting protocol</w:t>
            </w:r>
          </w:p>
        </w:tc>
      </w:tr>
    </w:tbl>
    <w:p>
      <w:pPr>
        <w:pStyle w:val="Normal"/>
        <w:spacing w:lineRule="auto" w:line="360" w:before="80" w:after="80"/>
        <w:rPr/>
      </w:pPr>
      <w:r>
        <w:rPr>
          <w:rFonts w:eastAsia="Times New Roman"/>
          <w:i/>
          <w:color w:val="5F6368"/>
          <w:sz w:val="17"/>
        </w:rPr>
        <w:t>The 2013 and 2017 papers are retained only because STE and Integrated Gradients are core methodological roots. PRISMA 2020 is used to structure reporting, not as domain evidence.</w:t>
      </w:r>
      <w:r>
        <w:br w:type="page"/>
      </w:r>
    </w:p>
    <w:p>
      <w:pPr>
        <w:pStyle w:val="Heading1"/>
        <w:keepNext w:val="true"/>
        <w:rPr/>
      </w:pPr>
      <w:r>
        <w:rPr>
          <w:rFonts w:eastAsia="Times New Roman" w:ascii="Times New Roman" w:hAnsi="Times New Roman"/>
          <w:b/>
          <w:color w:val="111111"/>
          <w:sz w:val="32"/>
        </w:rPr>
        <w:t>2.1 Chapter overview and project anchor</w:t>
      </w:r>
    </w:p>
    <w:p>
      <w:pPr>
        <w:pStyle w:val="Normal"/>
        <w:keepLines w:val="false"/>
        <w:spacing w:lineRule="auto" w:line="360" w:before="0" w:after="160"/>
        <w:jc w:val="both"/>
        <w:rPr/>
      </w:pPr>
      <w:r>
        <w:rPr>
          <w:rFonts w:eastAsia="Times New Roman"/>
          <w:color w:val="111111"/>
          <w:sz w:val="24"/>
        </w:rPr>
        <w:t>Machine unlearning seeks to remove the influence of designated training records without the cost of full retraining. For large language models (LLMs), this goal is usually operationalised as a three-way balance: reduce access to forget-set information, preserve retained knowledge and general utility, and make the resulting behaviour resemble a model that never learned the target data. The Plan C project adds a deployment condition that is now central to the literature: forgetting must persist after low-bit quantisation, particularly 4-bit deployment.</w:t>
      </w:r>
    </w:p>
    <w:p>
      <w:pPr>
        <w:pStyle w:val="Normal"/>
        <w:keepLines w:val="false"/>
        <w:spacing w:lineRule="auto" w:line="360" w:before="0" w:after="160"/>
        <w:jc w:val="both"/>
        <w:rPr/>
      </w:pPr>
      <w:r>
        <w:rPr>
          <w:rFonts w:eastAsia="Times New Roman"/>
          <w:color w:val="111111"/>
          <w:sz w:val="24"/>
        </w:rPr>
        <w:t>The current project is anchored to Llama-3.2-1B-Instruct, TOFU forget05 as the primary benchmark, MUSE-News as a secondary benchmark if time permits, and a less-than-16-GB VRAM constraint. The proposed method combines Negative Preference Optimisation (NPO), attribution-guided regularisation inspired by Ssiuu, and fake-quantisation-aware training (FQ-QAT). This is a credible integration question, but the 2025–2026 literature materially changes the novelty claim: quantisation recovery attacks (QRAs) are already established, and several quantisation-aware countermeasures now exist [1]–[6]. The project must therefore claim a resource-bounded integration and evaluation contribution rather than the discovery of QRA or the first quantisation-aware unlearning method.</w:t>
      </w:r>
    </w:p>
    <w:p>
      <w:pPr>
        <w:pStyle w:val="Normal"/>
        <w:keepLines w:val="false"/>
        <w:spacing w:lineRule="auto" w:line="360" w:before="0" w:after="120"/>
        <w:jc w:val="both"/>
        <w:rPr/>
      </w:pPr>
      <w:r>
        <w:rPr>
          <w:rFonts w:eastAsia="Times New Roman"/>
          <w:color w:val="111111"/>
          <w:sz w:val="24"/>
        </w:rPr>
        <w:t>The first three-precision pilot reported an internal value of 0.2149 under the label ‘Q-INT4’. Audit shows that this number is the absolute relative change in TOFU Forget Quality between FP16 and NF4, not the Q-INT4 metric defined by DurableUn. Because TOFU Forget Quality is a KS p-value and the component metrics moved in mixed directions, the pilot establishes precision sensitivity only; it does not establish directional knowledge recovery. Chapter 3 replaces the label, preserves the raw values, and specifies a directional recovery measure.</w:t>
      </w:r>
    </w:p>
    <w:p>
      <w:pPr>
        <w:pStyle w:val="Heading1"/>
        <w:keepNext w:val="true"/>
        <w:pageBreakBefore w:val="false"/>
        <w:rPr/>
      </w:pPr>
      <w:r>
        <w:rPr>
          <w:rFonts w:eastAsia="Times New Roman" w:ascii="Times New Roman" w:hAnsi="Times New Roman"/>
          <w:b/>
          <w:color w:val="111111"/>
          <w:sz w:val="32"/>
        </w:rPr>
        <w:t>2.2 Review design</w:t>
      </w:r>
    </w:p>
    <w:p>
      <w:pPr>
        <w:pStyle w:val="Heading2"/>
        <w:keepNext w:val="true"/>
        <w:pageBreakBefore w:val="false"/>
        <w:rPr/>
      </w:pPr>
      <w:r>
        <w:rPr>
          <w:rFonts w:eastAsia="Times New Roman" w:ascii="Times New Roman" w:hAnsi="Times New Roman"/>
          <w:b/>
          <w:color w:val="111111"/>
          <w:sz w:val="27"/>
        </w:rPr>
        <w:t>2.2.1 Review type and reporting approach</w:t>
      </w:r>
    </w:p>
    <w:p>
      <w:pPr>
        <w:pStyle w:val="Normal"/>
        <w:keepLines w:val="false"/>
        <w:spacing w:lineRule="auto" w:line="360" w:before="0" w:after="160"/>
        <w:jc w:val="both"/>
        <w:rPr/>
      </w:pPr>
      <w:r>
        <w:rPr>
          <w:rFonts w:eastAsia="Times New Roman"/>
          <w:color w:val="111111"/>
          <w:sz w:val="24"/>
        </w:rPr>
        <w:t>This chapter is a PRISMA-informed structured critical literature review [23]. It is not presented as a registered systematic review or a meta-analysis. That distinction matters: the field is moving quickly, much of the 2026 evidence is available only as preprints, and reported outcomes are not statistically commensurable across model families, datasets, quantisers, precision formats, and metric definitions. The review therefore uses transparent search and selection criteria, study-level appraisal, and thematic synthesis rather than pooled effect sizes.</w:t>
      </w:r>
    </w:p>
    <w:p>
      <w:pPr>
        <w:pStyle w:val="Heading2"/>
        <w:keepNext w:val="true"/>
        <w:pageBreakBefore w:val="false"/>
        <w:rPr/>
      </w:pPr>
      <w:r>
        <w:rPr>
          <w:rFonts w:eastAsia="Times New Roman" w:ascii="Times New Roman" w:hAnsi="Times New Roman"/>
          <w:b/>
          <w:color w:val="111111"/>
          <w:sz w:val="27"/>
        </w:rPr>
        <w:t>2.2.2 Review questions</w:t>
      </w:r>
    </w:p>
    <w:p>
      <w:pPr>
        <w:pStyle w:val="Normal"/>
        <w:numPr>
          <w:ilvl w:val="0"/>
          <w:numId w:val="8"/>
        </w:numPr>
        <w:spacing w:lineRule="auto" w:line="360" w:before="0" w:after="80"/>
        <w:rPr/>
      </w:pPr>
      <w:r>
        <w:rPr>
          <w:rFonts w:eastAsia="Times New Roman"/>
          <w:color w:val="111111"/>
          <w:sz w:val="24"/>
        </w:rPr>
        <w:t>RQ1. What evidence shows that post-training quantisation can recover knowledge from an apparently unlearned LLM?</w:t>
      </w:r>
    </w:p>
    <w:p>
      <w:pPr>
        <w:pStyle w:val="Normal"/>
        <w:numPr>
          <w:ilvl w:val="0"/>
          <w:numId w:val="8"/>
        </w:numPr>
        <w:spacing w:lineRule="auto" w:line="360" w:before="0" w:after="80"/>
        <w:rPr/>
      </w:pPr>
      <w:r>
        <w:rPr>
          <w:rFonts w:eastAsia="Times New Roman"/>
          <w:color w:val="111111"/>
          <w:sz w:val="24"/>
        </w:rPr>
        <w:t>RQ2. Which mechanisms are proposed for QRA, and which parts are supported across more than one study?</w:t>
      </w:r>
    </w:p>
    <w:p>
      <w:pPr>
        <w:pStyle w:val="Normal"/>
        <w:numPr>
          <w:ilvl w:val="0"/>
          <w:numId w:val="8"/>
        </w:numPr>
        <w:spacing w:lineRule="auto" w:line="360" w:before="0" w:after="80"/>
        <w:rPr/>
      </w:pPr>
      <w:r>
        <w:rPr>
          <w:rFonts w:eastAsia="Times New Roman"/>
          <w:color w:val="111111"/>
          <w:sz w:val="24"/>
        </w:rPr>
        <w:t>RQ3. How do optimisation-, localisation-, margin-, low-rank-, and QAT-based countermeasures trade forgetting against retained utility?</w:t>
      </w:r>
    </w:p>
    <w:p>
      <w:pPr>
        <w:pStyle w:val="Normal"/>
        <w:numPr>
          <w:ilvl w:val="0"/>
          <w:numId w:val="8"/>
        </w:numPr>
        <w:spacing w:lineRule="auto" w:line="360" w:before="0" w:after="80"/>
        <w:rPr/>
      </w:pPr>
      <w:r>
        <w:rPr>
          <w:rFonts w:eastAsia="Times New Roman"/>
          <w:color w:val="111111"/>
          <w:sz w:val="24"/>
        </w:rPr>
        <w:t>RQ4. What do NPO, Ssiuu-style attribution regularisation, and fake-quantisation training each contribute to the proposed FQ-SSIUU method?</w:t>
      </w:r>
    </w:p>
    <w:p>
      <w:pPr>
        <w:pStyle w:val="Normal"/>
        <w:numPr>
          <w:ilvl w:val="0"/>
          <w:numId w:val="8"/>
        </w:numPr>
        <w:spacing w:lineRule="auto" w:line="360" w:before="0" w:after="80"/>
        <w:rPr/>
      </w:pPr>
      <w:r>
        <w:rPr>
          <w:rFonts w:eastAsia="Times New Roman"/>
          <w:color w:val="111111"/>
          <w:sz w:val="24"/>
        </w:rPr>
        <w:t>RQ5. Which benchmarks and metrics can distinguish genuine, durable forgetting from refusal, gibberish, metric gaming, or recoverable suppression?</w:t>
      </w:r>
    </w:p>
    <w:p>
      <w:pPr>
        <w:pStyle w:val="Normal"/>
        <w:numPr>
          <w:ilvl w:val="0"/>
          <w:numId w:val="8"/>
        </w:numPr>
        <w:spacing w:lineRule="auto" w:line="360" w:before="0" w:after="80"/>
        <w:rPr/>
      </w:pPr>
      <w:r>
        <w:rPr>
          <w:rFonts w:eastAsia="Times New Roman"/>
          <w:color w:val="111111"/>
          <w:sz w:val="24"/>
        </w:rPr>
        <w:t>RQ6. What defensible research gap remains for a 1B-parameter, sub-16-GB student implementation?</w:t>
      </w:r>
    </w:p>
    <w:p>
      <w:pPr>
        <w:pStyle w:val="Heading2"/>
        <w:keepNext w:val="true"/>
        <w:pageBreakBefore w:val="false"/>
        <w:rPr/>
      </w:pPr>
      <w:r>
        <w:rPr>
          <w:rFonts w:eastAsia="Times New Roman" w:ascii="Times New Roman" w:hAnsi="Times New Roman"/>
          <w:b/>
          <w:color w:val="111111"/>
          <w:sz w:val="27"/>
        </w:rPr>
        <w:t>2.2.3 Search strategy and selection criteria</w:t>
      </w:r>
    </w:p>
    <w:p>
      <w:pPr>
        <w:pStyle w:val="Normal"/>
        <w:keepLines w:val="false"/>
        <w:spacing w:lineRule="auto" w:line="360" w:before="0" w:after="160"/>
        <w:jc w:val="both"/>
        <w:rPr/>
      </w:pPr>
      <w:r>
        <w:rPr>
          <w:rFonts w:eastAsia="Times New Roman"/>
          <w:color w:val="111111"/>
          <w:sz w:val="24"/>
        </w:rPr>
        <w:t>Searches were completed up to 1 September 2026 across arXiv, OpenReview, ACL Anthology, IEEE Computer Society/DSN proceedings, NeurIPS and PMLR proceedings, ScienceDirect, Wiley, Springer-linked metadata, official conference programmes, and official author code repositories. Representative strings combined: “LLM machine unlearning” with “quantization/quantisation,” “4-bit,” “NF4,” “recovery,” “durable,” “QAT,” “straight-through estimator,” “attribution,” “Integrated Gradients,” “NPO,” “Ssiuu,” “TOFU,” “MUSE,” “FADE,” “Pakistan,” and “Japan.” Backward and forward chaining from the direct QRA paper [1] was used to identify newer countermeasures.</w:t>
      </w:r>
    </w:p>
    <w:tbl>
      <w:tblPr>
        <w:tblW w:w="9360" w:type="dxa"/>
        <w:jc w:val="start"/>
        <w:tblInd w:w="120" w:type="dxa"/>
        <w:tblLayout w:type="fixed"/>
        <w:tblCellMar>
          <w:top w:w="80" w:type="dxa"/>
          <w:start w:w="120" w:type="dxa"/>
          <w:bottom w:w="80" w:type="dxa"/>
          <w:end w:w="120" w:type="dxa"/>
        </w:tblCellMar>
        <w:tblLook w:noHBand="0" w:noVBand="1" w:firstColumn="1" w:lastRow="0" w:lastColumn="0" w:firstRow="1" w:val="04a0"/>
      </w:tblPr>
      <w:tblGrid>
        <w:gridCol w:w="1199"/>
        <w:gridCol w:w="8161"/>
      </w:tblGrid>
      <w:tr>
        <w:trPr>
          <w:tblHeader w:val="true"/>
          <w:cantSplit/>
        </w:trPr>
        <w:tc>
          <w:tcPr>
            <w:tcW w:w="1199" w:type="dxa"/>
            <w:tcBorders>
              <w:top w:val="single" w:sz="4" w:space="0" w:color="E2E7ED"/>
              <w:start w:val="single" w:sz="4" w:space="0" w:color="E2E7ED"/>
              <w:bottom w:val="single" w:sz="4" w:space="0" w:color="E2E7ED"/>
              <w:end w:val="single" w:sz="4" w:space="0" w:color="E2E7ED"/>
            </w:tcBorders>
            <w:shd w:fill="F3F4F6" w:val="clear"/>
          </w:tcPr>
          <w:p>
            <w:pPr>
              <w:pStyle w:val="TableText"/>
              <w:spacing w:lineRule="auto" w:line="240" w:before="0" w:after="40"/>
              <w:jc w:val="start"/>
              <w:rPr/>
            </w:pPr>
            <w:r>
              <w:rPr>
                <w:rFonts w:eastAsia="Times New Roman"/>
                <w:b/>
                <w:color w:val="111111"/>
                <w:sz w:val="17"/>
              </w:rPr>
              <w:t>Decision</w:t>
            </w:r>
          </w:p>
        </w:tc>
        <w:tc>
          <w:tcPr>
            <w:tcW w:w="8161" w:type="dxa"/>
            <w:tcBorders>
              <w:top w:val="single" w:sz="4" w:space="0" w:color="E2E7ED"/>
              <w:start w:val="single" w:sz="4" w:space="0" w:color="E2E7ED"/>
              <w:bottom w:val="single" w:sz="4" w:space="0" w:color="E2E7ED"/>
              <w:end w:val="single" w:sz="4" w:space="0" w:color="E2E7ED"/>
            </w:tcBorders>
            <w:shd w:fill="F3F4F6" w:val="clear"/>
          </w:tcPr>
          <w:p>
            <w:pPr>
              <w:pStyle w:val="TableText"/>
              <w:spacing w:lineRule="auto" w:line="240" w:before="0" w:after="40"/>
              <w:jc w:val="start"/>
              <w:rPr/>
            </w:pPr>
            <w:r>
              <w:rPr>
                <w:rFonts w:eastAsia="Times New Roman"/>
                <w:b/>
                <w:color w:val="111111"/>
                <w:sz w:val="17"/>
              </w:rPr>
              <w:t>Criterion</w:t>
            </w:r>
          </w:p>
        </w:tc>
      </w:tr>
      <w:tr>
        <w:trPr>
          <w:cantSplit/>
        </w:trPr>
        <w:tc>
          <w:tcPr>
            <w:tcW w:w="1199"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Include</w:t>
            </w:r>
          </w:p>
        </w:tc>
        <w:tc>
          <w:tcPr>
            <w:tcW w:w="8161"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2022–2026 studies directly addressing LLM unlearning, low-bit robustness, the project’s method components, or the selected benchmarks/metrics.</w:t>
            </w:r>
          </w:p>
        </w:tc>
      </w:tr>
      <w:tr>
        <w:trPr>
          <w:cantSplit/>
        </w:trPr>
        <w:tc>
          <w:tcPr>
            <w:tcW w:w="1199"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Include</w:t>
            </w:r>
          </w:p>
        </w:tc>
        <w:tc>
          <w:tcPr>
            <w:tcW w:w="8161"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Primary papers or official proceedings; preprints retained when they contain the newest direct evidence and are labelled as preprints.</w:t>
            </w:r>
          </w:p>
        </w:tc>
      </w:tr>
      <w:tr>
        <w:trPr>
          <w:cantSplit/>
        </w:trPr>
        <w:tc>
          <w:tcPr>
            <w:tcW w:w="1199"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Include</w:t>
            </w:r>
          </w:p>
        </w:tc>
        <w:tc>
          <w:tcPr>
            <w:tcW w:w="8161"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Pakistan- or Japan-affiliated studies when methodologically relevant; regional origin alone was not sufficient.</w:t>
            </w:r>
          </w:p>
        </w:tc>
      </w:tr>
      <w:tr>
        <w:trPr>
          <w:cantSplit/>
        </w:trPr>
        <w:tc>
          <w:tcPr>
            <w:tcW w:w="1199"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Exception</w:t>
            </w:r>
          </w:p>
        </w:tc>
        <w:tc>
          <w:tcPr>
            <w:tcW w:w="8161"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Older Integrated Gradients [19] and STE [20] papers because they define indispensable components of the proposed method.</w:t>
            </w:r>
          </w:p>
        </w:tc>
      </w:tr>
      <w:tr>
        <w:trPr>
          <w:cantSplit/>
        </w:trPr>
        <w:tc>
          <w:tcPr>
            <w:tcW w:w="1199"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Exclude</w:t>
            </w:r>
          </w:p>
        </w:tc>
        <w:tc>
          <w:tcPr>
            <w:tcW w:w="8161"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Generic machine-unlearning surveys with no methodological bearing on LLM quantisation, and papers that use ‘forgetting’ only in continual-learning senses.</w:t>
            </w:r>
          </w:p>
        </w:tc>
      </w:tr>
      <w:tr>
        <w:trPr>
          <w:cantSplit/>
        </w:trPr>
        <w:tc>
          <w:tcPr>
            <w:tcW w:w="1199"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Exclude</w:t>
            </w:r>
          </w:p>
        </w:tc>
        <w:tc>
          <w:tcPr>
            <w:tcW w:w="8161"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Social-media posts and threads (including Reddit, X, Instagram, and Facebook), discussion forums, personal blogs, marketing or AI-generated summaries, untraceable numerical claims, and secondary webpages where a primary paper or official repository was available.</w:t>
            </w:r>
          </w:p>
        </w:tc>
      </w:tr>
    </w:tbl>
    <w:p>
      <w:pPr>
        <w:pStyle w:val="Normal"/>
        <w:spacing w:lineRule="auto" w:line="360" w:before="80" w:after="80"/>
        <w:rPr/>
      </w:pPr>
      <w:r>
        <w:rPr>
          <w:rFonts w:eastAsia="Times New Roman"/>
          <w:i/>
          <w:color w:val="5F6368"/>
          <w:sz w:val="17"/>
        </w:rPr>
        <w:t>Selection was relevance-first. No evidence was taken from Reddit, X, Instagram, Facebook, discussion forums, personal blogs, marketing pages, or AI-generated paper summaries. Official author repositories were consulted only for implementation details and were not used as substitutes for published claims. No retrieval-count flow diagram is fabricated because broad web and preprint search interfaces do not expose a stable, deduplicated candidate count.</w:t>
      </w:r>
    </w:p>
    <w:p>
      <w:pPr>
        <w:pStyle w:val="Heading2"/>
        <w:keepNext w:val="true"/>
        <w:pageBreakBefore w:val="false"/>
        <w:rPr/>
      </w:pPr>
      <w:r>
        <w:rPr>
          <w:rFonts w:eastAsia="Times New Roman" w:ascii="Times New Roman" w:hAnsi="Times New Roman"/>
          <w:b/>
          <w:color w:val="111111"/>
          <w:sz w:val="27"/>
        </w:rPr>
        <w:t>2.2.4 Quality appraisal</w:t>
      </w:r>
    </w:p>
    <w:p>
      <w:pPr>
        <w:pStyle w:val="Normal"/>
        <w:keepLines w:val="false"/>
        <w:spacing w:lineRule="auto" w:line="360" w:before="0" w:after="160"/>
        <w:jc w:val="both"/>
        <w:rPr/>
      </w:pPr>
      <w:r>
        <w:rPr>
          <w:rFonts w:eastAsia="Times New Roman"/>
          <w:color w:val="111111"/>
          <w:sz w:val="24"/>
        </w:rPr>
        <w:t>Each study was appraised on five dimensions: topical directness; publication status; transparency of model, data, quantiser, and metric choices; strength of robustness checks such as multiple seeds or multiple model families; and comparability to the Plan C hardware and model scale. Peer review raises confidence but does not remove design limitations. Conversely, a direct 2026 preprint can be highly informative while still requiring cautious language and independent replication.</w:t>
      </w:r>
    </w:p>
    <w:p>
      <w:pPr>
        <w:pStyle w:val="Heading2"/>
        <w:keepNext w:val="true"/>
        <w:pageBreakBefore w:val="false"/>
        <w:rPr/>
      </w:pPr>
      <w:r>
        <w:rPr>
          <w:rFonts w:eastAsia="Times New Roman" w:ascii="Times New Roman" w:hAnsi="Times New Roman"/>
          <w:b/>
          <w:color w:val="111111"/>
          <w:sz w:val="27"/>
        </w:rPr>
        <w:t>2.2.5 National/international balance decision</w:t>
      </w:r>
    </w:p>
    <w:p>
      <w:pPr>
        <w:pStyle w:val="Normal"/>
        <w:keepLines w:val="false"/>
        <w:spacing w:lineRule="auto" w:line="360" w:before="0" w:after="160"/>
        <w:jc w:val="both"/>
        <w:rPr/>
      </w:pPr>
      <w:r>
        <w:rPr>
          <w:rFonts w:eastAsia="Times New Roman"/>
          <w:color w:val="111111"/>
          <w:sz w:val="24"/>
        </w:rPr>
        <w:t>A 50:50 Pakistan/international split could not be achieved without severely reducing topical relevance. The search identified one directly matched Pakistan paper: Ali’s NED University study of targeted unlearning in a 4-bit LoRA pipeline [7]. Ahmad’s LUMS study concerns adversarial robustness of certified Newton-step unlearning in classical models [21], while Ali et al. compare broader machine-unlearning approaches on non-LLM settings [22]. These two papers are useful national context but do not answer the central QRA question. The principal corpus is therefore fifteen international studies and one Pakistan study, with two additional Pakistan studies discussed separately. Accordingly, the synthesis prioritises methodological relevance and evidential strength over an artificial geographic quota.</w:t>
      </w:r>
    </w:p>
    <w:p>
      <w:pPr>
        <w:pStyle w:val="Heading1"/>
        <w:keepNext w:val="true"/>
        <w:pageBreakBefore w:val="false"/>
        <w:rPr/>
      </w:pPr>
      <w:r>
        <w:rPr>
          <w:rFonts w:eastAsia="Times New Roman" w:ascii="Times New Roman" w:hAnsi="Times New Roman"/>
          <w:b/>
          <w:color w:val="111111"/>
          <w:sz w:val="32"/>
        </w:rPr>
        <w:t>2.3 Conceptual foundations</w:t>
      </w:r>
    </w:p>
    <w:p>
      <w:pPr>
        <w:pStyle w:val="Heading2"/>
        <w:keepNext w:val="true"/>
        <w:pageBreakBefore w:val="false"/>
        <w:rPr/>
      </w:pPr>
      <w:r>
        <w:rPr>
          <w:rFonts w:eastAsia="Times New Roman" w:ascii="Times New Roman" w:hAnsi="Times New Roman"/>
          <w:b/>
          <w:color w:val="111111"/>
          <w:sz w:val="27"/>
        </w:rPr>
        <w:t>2.3.1 Exact, approximate, behavioural, and structural unlearning</w:t>
      </w:r>
    </w:p>
    <w:p>
      <w:pPr>
        <w:pStyle w:val="Normal"/>
        <w:keepLines w:val="false"/>
        <w:spacing w:lineRule="auto" w:line="360" w:before="0" w:after="160"/>
        <w:jc w:val="both"/>
        <w:rPr/>
      </w:pPr>
      <w:r>
        <w:rPr>
          <w:rFonts w:eastAsia="Times New Roman"/>
          <w:color w:val="111111"/>
          <w:sz w:val="24"/>
        </w:rPr>
        <w:t>Exact unlearning aims to reproduce the model distribution that would have resulted had the forget data never been used. This ideal is usually infeasible for inherited LLMs, so the reviewed methods perform approximate unlearning. Approximate methods are often evaluated behaviourally: the model should stop reproducing, answering, or assigning high likelihood to the forget data while retaining performance elsewhere. However, behavioural suppression is not identical to causal deletion. A model can refuse, generate unrelated text, or redirect activations while the underlying information remains recoverable.</w:t>
      </w:r>
    </w:p>
    <w:p>
      <w:pPr>
        <w:pStyle w:val="Normal"/>
        <w:keepLines w:val="false"/>
        <w:spacing w:lineRule="auto" w:line="360" w:before="0" w:after="160"/>
        <w:jc w:val="both"/>
        <w:rPr/>
      </w:pPr>
      <w:r>
        <w:rPr>
          <w:rFonts w:eastAsia="Times New Roman"/>
          <w:color w:val="111111"/>
          <w:sz w:val="24"/>
        </w:rPr>
        <w:t>The distinction is sharpened by Ssiuu [9], FADE [12], LLM Beliefs [13], and MANSU [4]. Ssiuu describes ‘shallow alignment,’ in which negatively influential neurons hide knowledge and later relearning reveals it. FADE shows that reference-specific scores can improve even when the output distribution moves farther from the gold retrained model. LLM Beliefs identifies a ‘squeezing effect,’ where probability mass moves from the exact target answer to semantically related alternatives. MANSU proposes Circuit Attribution Divergence (CAD) to ask whether the causal subgraph changed, rather than only whether one answer disappeared. Together, these studies support a layered definition of successful unlearning: behavioural, privacy-oriented, distributional, mechanistic, and deployment-robust evidence should agree.</w:t>
      </w:r>
    </w:p>
    <w:p>
      <w:pPr>
        <w:pStyle w:val="Heading2"/>
        <w:keepNext w:val="true"/>
        <w:pageBreakBefore w:val="false"/>
        <w:rPr/>
      </w:pPr>
      <w:r>
        <w:rPr>
          <w:rFonts w:eastAsia="Times New Roman" w:ascii="Times New Roman" w:hAnsi="Times New Roman"/>
          <w:b/>
          <w:color w:val="111111"/>
          <w:sz w:val="27"/>
        </w:rPr>
        <w:t>2.3.2 Quantisation as part of the threat model</w:t>
      </w:r>
    </w:p>
    <w:p>
      <w:pPr>
        <w:pStyle w:val="Normal"/>
        <w:keepLines w:val="false"/>
        <w:spacing w:lineRule="auto" w:line="360" w:before="0" w:after="160"/>
        <w:jc w:val="both"/>
        <w:rPr/>
      </w:pPr>
      <w:r>
        <w:rPr>
          <w:rFonts w:eastAsia="Times New Roman"/>
          <w:color w:val="111111"/>
          <w:sz w:val="24"/>
        </w:rPr>
        <w:t>Quantisation maps continuous or high-precision weights to a discrete codebook. The direct QRA literature converges on a simple mechanism: utility-preserving unlearning often makes small, diffuse parameter updates; if those updates do not cross the relevant quantisation boundaries, the original and unlearned weights map to the same low-bit values. Quantisation can then make the deployed model functionally closer to the pre-unlearning model. The attack requires no access to the forget data and can occur during a normal deployment step, so it belongs inside the threat model rather than being treated as a benign compression detail [1], [3]–[6].</w:t>
      </w:r>
    </w:p>
    <w:p>
      <w:pPr>
        <w:pStyle w:val="Normal"/>
        <w:keepLines w:val="false"/>
        <w:spacing w:lineRule="auto" w:line="360" w:before="0" w:after="160"/>
        <w:jc w:val="both"/>
        <w:rPr/>
      </w:pPr>
      <w:r>
        <w:rPr>
          <w:rFonts w:eastAsia="Times New Roman"/>
          <w:color w:val="111111"/>
          <w:sz w:val="24"/>
        </w:rPr>
        <w:t>This explanation is useful but should not be overstated. Bin crossing is quantiser-, scale-, group-, and parameter-dependent; a large change in one parameter is neither universally necessary nor sufficient for functional forgetting. NF4, round-to-nearest, GPTQ, and AWQ induce different boundaries and calibration effects. Therefore, an empirical durability claim must name the exact quantiser, grouping, adapter merge procedure, and evaluation precision.</w:t>
      </w:r>
    </w:p>
    <w:p>
      <w:pPr>
        <w:pStyle w:val="Heading1"/>
        <w:keepNext w:val="true"/>
        <w:pageBreakBefore w:val="false"/>
        <w:rPr/>
      </w:pPr>
      <w:r>
        <w:rPr>
          <w:rFonts w:eastAsia="Times New Roman" w:ascii="Times New Roman" w:hAnsi="Times New Roman"/>
          <w:b/>
          <w:color w:val="111111"/>
          <w:sz w:val="32"/>
        </w:rPr>
        <w:t>2.4 Benchmarks and evaluation foundations</w:t>
      </w:r>
    </w:p>
    <w:p>
      <w:pPr>
        <w:pStyle w:val="Heading2"/>
        <w:keepNext w:val="true"/>
        <w:pageBreakBefore w:val="false"/>
        <w:rPr/>
      </w:pPr>
      <w:r>
        <w:rPr>
          <w:rFonts w:eastAsia="Times New Roman" w:ascii="Times New Roman" w:hAnsi="Times New Roman"/>
          <w:b/>
          <w:color w:val="111111"/>
          <w:sz w:val="27"/>
        </w:rPr>
        <w:t>2.4.1 TOFU</w:t>
      </w:r>
    </w:p>
    <w:p>
      <w:pPr>
        <w:pStyle w:val="Normal"/>
        <w:keepLines w:val="false"/>
        <w:spacing w:lineRule="auto" w:line="360" w:before="0" w:after="160"/>
        <w:jc w:val="both"/>
        <w:rPr/>
      </w:pPr>
      <w:r>
        <w:rPr>
          <w:rFonts w:eastAsia="Times New Roman"/>
          <w:color w:val="111111"/>
          <w:sz w:val="24"/>
        </w:rPr>
        <w:t>TOFU provides 200 synthetic author profiles, each with twenty question–answer pairs, and standard forget/retain splits [10]. Its main advantage is counterfactual control: because the author facts are fictitious, the evaluator can define forget, retain, holdout, paraphrase, and retrain references without contamination from general world knowledge. This makes TOFU appropriate for the project’s primary experiment and a 1B-parameter model.</w:t>
      </w:r>
    </w:p>
    <w:p>
      <w:pPr>
        <w:pStyle w:val="Normal"/>
        <w:keepLines w:val="false"/>
        <w:spacing w:lineRule="auto" w:line="360" w:before="0" w:after="160"/>
        <w:jc w:val="both"/>
        <w:rPr/>
      </w:pPr>
      <w:r>
        <w:rPr>
          <w:rFonts w:eastAsia="Times New Roman"/>
          <w:color w:val="111111"/>
          <w:sz w:val="24"/>
        </w:rPr>
        <w:t>Its limitations are equally important. Synthetic biographies are easier and narrower than private information distributed across web pretraining. A method that succeeds on forget05 may exploit benchmark regularities and may not generalise to copyrighted prose, news, multilingual data, or real personally identifiable information. The thesis should therefore treat TOFU as a controlled testbed, not as proof of regulatory erasure.</w:t>
      </w:r>
    </w:p>
    <w:p>
      <w:pPr>
        <w:pStyle w:val="Heading2"/>
        <w:keepNext w:val="true"/>
        <w:pageBreakBefore w:val="false"/>
        <w:rPr/>
      </w:pPr>
      <w:r>
        <w:rPr>
          <w:rFonts w:eastAsia="Times New Roman" w:ascii="Times New Roman" w:hAnsi="Times New Roman"/>
          <w:b/>
          <w:color w:val="111111"/>
          <w:sz w:val="27"/>
        </w:rPr>
        <w:t>2.4.2 MUSE and OpenUnlearning</w:t>
      </w:r>
    </w:p>
    <w:p>
      <w:pPr>
        <w:pStyle w:val="Normal"/>
        <w:keepLines w:val="false"/>
        <w:spacing w:lineRule="auto" w:line="360" w:before="0" w:after="160"/>
        <w:jc w:val="both"/>
        <w:rPr/>
      </w:pPr>
      <w:r>
        <w:rPr>
          <w:rFonts w:eastAsia="Times New Roman"/>
          <w:color w:val="111111"/>
          <w:sz w:val="24"/>
        </w:rPr>
        <w:t>MUSE broadens evaluation to no verbatim memorisation, no knowledge memorisation, no privacy leakage, utility preservation, scalability, and sustainability [11]. Its books and news domains are closer to real deployment than synthetic profiles. MUSE reports that many methods suppress verbatim or factual recall while failing privacy, utility, large-request, or sequential-request criteria. This supports using MUSE-News as the project’s secondary validation, subject to time and compute.</w:t>
      </w:r>
    </w:p>
    <w:p>
      <w:pPr>
        <w:pStyle w:val="Normal"/>
        <w:keepLines w:val="false"/>
        <w:spacing w:lineRule="auto" w:line="360" w:before="0" w:after="160"/>
        <w:jc w:val="both"/>
        <w:rPr/>
      </w:pPr>
      <w:r>
        <w:rPr>
          <w:rFonts w:eastAsia="Times New Roman"/>
          <w:color w:val="111111"/>
          <w:sz w:val="24"/>
        </w:rPr>
        <w:t>OpenUnlearning integrates thirteen algorithms, sixteen evaluations, and TOFU, MUSE, and WMDP, and releases more than 450 checkpoints [17]. Its importance is methodological: it reduces implementation confounds and enables metric meta-evaluation. The project should reuse compatible evaluation code where possible, but it must document any deviation required by Llama-3.2-1B, NF4, or the selected adapter pipeline.</w:t>
      </w:r>
    </w:p>
    <w:p>
      <w:pPr>
        <w:pStyle w:val="Heading2"/>
        <w:keepNext w:val="true"/>
        <w:pageBreakBefore w:val="false"/>
        <w:rPr/>
      </w:pPr>
      <w:r>
        <w:rPr>
          <w:rFonts w:eastAsia="Times New Roman" w:ascii="Times New Roman" w:hAnsi="Times New Roman"/>
          <w:b/>
          <w:color w:val="111111"/>
          <w:sz w:val="27"/>
        </w:rPr>
        <w:t>2.4.3 Why single-number forgetting scores are insufficient</w:t>
      </w:r>
    </w:p>
    <w:p>
      <w:pPr>
        <w:pStyle w:val="Normal"/>
        <w:keepLines w:val="false"/>
        <w:spacing w:lineRule="auto" w:line="360" w:before="0" w:after="160"/>
        <w:jc w:val="both"/>
        <w:rPr/>
      </w:pPr>
      <w:r>
        <w:rPr>
          <w:rFonts w:eastAsia="Times New Roman"/>
          <w:color w:val="111111"/>
          <w:sz w:val="24"/>
        </w:rPr>
        <w:t>FADE compares unlearned and retrained models through bidirectional likelihoods over generated samples rather than only fixed reference responses [12]. LLM Beliefs shows that lowering the probability of the literal target can increase the probability of semantically equivalent alternatives [13]. The NED study similarly warns that low answer overlap can coexist with confident fabricated substitutes [7]; its author’s extended repository manuscript reports a generation-level audit in which the IDK-style method rarely abstained. The published workshop contribution and the later extended manuscript should not be conflated, but both reinforce the need for qualitative generation audits.</w:t>
      </w:r>
    </w:p>
    <w:p>
      <w:pPr>
        <w:pStyle w:val="Normal"/>
        <w:keepLines w:val="false"/>
        <w:spacing w:lineRule="auto" w:line="360" w:before="0" w:after="160"/>
        <w:jc w:val="both"/>
        <w:rPr/>
      </w:pPr>
      <w:r>
        <w:rPr>
          <w:rFonts w:eastAsia="Times New Roman"/>
          <w:color w:val="111111"/>
          <w:sz w:val="24"/>
        </w:rPr>
        <w:t>For this project, a defensible evaluation bundle is: forget-set quality or likelihood; retain and general utility; Min-k% membership inference or a comparable privacy probe; generated-output audit; FADE where feasible; and the same forgetting measures after BF16, INT8, and INT4 conversion. Any ‘certificate’ should be called an empirical durability certificate, not formal certified unlearning.</w:t>
      </w:r>
    </w:p>
    <w:p>
      <w:pPr>
        <w:pStyle w:val="Heading1"/>
        <w:keepNext w:val="true"/>
        <w:pageBreakBefore w:val="false"/>
        <w:rPr/>
      </w:pPr>
      <w:r>
        <w:rPr>
          <w:rFonts w:eastAsia="Times New Roman" w:ascii="Times New Roman" w:hAnsi="Times New Roman"/>
          <w:b/>
          <w:color w:val="111111"/>
          <w:sz w:val="32"/>
        </w:rPr>
        <w:t>2.5 Base unlearning objective: NPO</w:t>
      </w:r>
    </w:p>
    <w:p>
      <w:pPr>
        <w:pStyle w:val="Normal"/>
        <w:keepLines w:val="false"/>
        <w:spacing w:lineRule="auto" w:line="360" w:before="0" w:after="160"/>
        <w:jc w:val="both"/>
        <w:rPr/>
      </w:pPr>
      <w:r>
        <w:rPr>
          <w:rFonts w:eastAsia="Times New Roman"/>
          <w:color w:val="111111"/>
          <w:sz w:val="24"/>
        </w:rPr>
        <w:t>NPO adapts preference optimisation by treating the forget responses as negative preference data relative to a frozen reference model [8]. Zhang et al. prove that the progression toward catastrophic collapse is exponentially slower than under straightforward gradient ascent, and their TOFU experiments show a better forgetting–utility balance and more coherent output. NPO is therefore a sensible base objective for an undergraduate project: it is well established, computationally simpler than circuit-level methods, and directly connected to TOFU.</w:t>
      </w:r>
    </w:p>
    <w:p>
      <w:pPr>
        <w:pStyle w:val="Normal"/>
        <w:keepLines w:val="false"/>
        <w:spacing w:lineRule="auto" w:line="360" w:before="0" w:after="160"/>
        <w:jc w:val="both"/>
        <w:rPr/>
      </w:pPr>
      <w:r>
        <w:rPr>
          <w:rFonts w:eastAsia="Times New Roman"/>
          <w:color w:val="111111"/>
          <w:sz w:val="24"/>
        </w:rPr>
        <w:t>However, NPO is not a durability mechanism. The same conservative updates and reference anchoring that protect utility can keep per-parameter changes below 4-bit bin widths. Catastrophic Failure [1] evaluates NPO variants among the methods vulnerable to quantisation recovery, while MANSU argues that preference methods may either make behaviourally negligible changes or lose utility when pushed harder [4]. DurableUn also reports that NPO can fail to achieve meaningful forgetting under its chosen setup [3]. These cross-study differences reflect different datasets, metrics, and tuning, so the safe conclusion is that NPO supplies a stable forgetting objective but must be paired with an explicit low-bit robustness mechanism.</w:t>
      </w:r>
    </w:p>
    <w:p>
      <w:pPr>
        <w:pStyle w:val="Heading1"/>
        <w:keepNext w:val="true"/>
        <w:pageBreakBefore w:val="false"/>
        <w:rPr/>
      </w:pPr>
      <w:r>
        <w:rPr>
          <w:rFonts w:eastAsia="Times New Roman" w:ascii="Times New Roman" w:hAnsi="Times New Roman"/>
          <w:b/>
          <w:color w:val="111111"/>
          <w:sz w:val="32"/>
        </w:rPr>
        <w:t>2.6 Direct evidence for quantisation recovery</w:t>
      </w:r>
    </w:p>
    <w:p>
      <w:pPr>
        <w:pStyle w:val="Heading2"/>
        <w:keepNext w:val="true"/>
        <w:pageBreakBefore w:val="false"/>
        <w:rPr/>
      </w:pPr>
      <w:r>
        <w:rPr>
          <w:rFonts w:eastAsia="Times New Roman" w:ascii="Times New Roman" w:hAnsi="Times New Roman"/>
          <w:b/>
          <w:color w:val="111111"/>
          <w:sz w:val="27"/>
        </w:rPr>
        <w:t>2.6.1 Catastrophic Failure and SURE</w:t>
      </w:r>
    </w:p>
    <w:p>
      <w:pPr>
        <w:pStyle w:val="Normal"/>
        <w:keepLines w:val="false"/>
        <w:spacing w:lineRule="auto" w:line="360" w:before="0" w:after="160"/>
        <w:jc w:val="both"/>
        <w:rPr/>
      </w:pPr>
      <w:r>
        <w:rPr>
          <w:rFonts w:eastAsia="Times New Roman"/>
          <w:color w:val="111111"/>
          <w:sz w:val="24"/>
        </w:rPr>
        <w:t>Zhang et al. provide the foundational direct evidence [1]. Across multiple unlearning methods, quantisers, and precisions, utility-constrained methods retained an average of 21% of targeted knowledge in full precision but 83% after 4-bit quantisation. Their mechanism connects small utility-preserving updates to quantisation bucket collapse. They propose Saliency-based Unlearning with a Large Learning Rate (SURE), which identifies influential modules and applies larger updates only to those modules, reducing recovery while limiting collateral utility loss.</w:t>
      </w:r>
    </w:p>
    <w:p>
      <w:pPr>
        <w:pStyle w:val="Normal"/>
        <w:keepLines w:val="false"/>
        <w:spacing w:lineRule="auto" w:line="360" w:before="0" w:after="160"/>
        <w:jc w:val="both"/>
        <w:rPr/>
      </w:pPr>
      <w:r>
        <w:rPr>
          <w:rFonts w:eastAsia="Times New Roman"/>
          <w:color w:val="111111"/>
          <w:sz w:val="24"/>
        </w:rPr>
        <w:t>This paper establishes two essential controls for the thesis. First, a strong-looking full-precision result cannot be accepted without a deployment-precision audit. Second, the correct baseline is not only NPO or gradient ascent; SURE is a direct prior countermeasure and should be included or approximated. The paper also shows why unconstrained gradient ascent is a misleading success case: it may remain forgotten after quantisation because general utility has already collapsed.</w:t>
      </w:r>
    </w:p>
    <w:p>
      <w:pPr>
        <w:pStyle w:val="Heading2"/>
        <w:keepNext w:val="true"/>
        <w:pageBreakBefore w:val="false"/>
        <w:rPr/>
      </w:pPr>
      <w:r>
        <w:rPr>
          <w:rFonts w:eastAsia="Times New Roman" w:ascii="Times New Roman" w:hAnsi="Times New Roman"/>
          <w:b/>
          <w:color w:val="111111"/>
          <w:sz w:val="27"/>
        </w:rPr>
        <w:t>2.6.2 2026 convergence and disagreement</w:t>
      </w:r>
    </w:p>
    <w:p>
      <w:pPr>
        <w:pStyle w:val="Normal"/>
        <w:keepLines w:val="false"/>
        <w:spacing w:lineRule="auto" w:line="360" w:before="0" w:after="120"/>
        <w:jc w:val="both"/>
        <w:rPr/>
      </w:pPr>
      <w:r>
        <w:rPr>
          <w:rFonts w:eastAsia="Times New Roman"/>
          <w:color w:val="111111"/>
          <w:sz w:val="24"/>
        </w:rPr>
        <w:t>The 2026 papers agree that low-bit recovery is a serious deployment risk, but they target different failure surfaces. Wang et al. analyse interactions between retain and forget loss landscapes and propose forget-critical optimisation that updates selected layers [2]. DurableUn studies an NF4-plus-LoRA adapter-space setting and introduces STE-based Sharpness-Aware Forgetting (SAF) [3]. Its Q-INTk notation denotes post-quantisation forget accuracy at k bits; it is not a relative change in TOFU Forget Quality. MANSU localises a causal circuit, projects updates away from retain-sensitive directions, and enforces a quantisation magnitude floor [4]. QUAIL imposes a logit-space hinge margin [5]. Abitante et al. argue that LoRA can concentrate an unlearning update sufficiently to improve post-quantisation durability [6].</w:t>
      </w:r>
    </w:p>
    <w:p>
      <w:pPr>
        <w:pStyle w:val="Normal"/>
        <w:keepLines w:val="false"/>
        <w:spacing w:lineRule="auto" w:line="360" w:before="0" w:after="120"/>
        <w:jc w:val="both"/>
        <w:rPr/>
      </w:pPr>
      <w:r>
        <w:rPr>
          <w:rFonts w:eastAsia="Times New Roman"/>
          <w:color w:val="111111"/>
          <w:sz w:val="24"/>
        </w:rPr>
        <w:t>The apparent agreement should not hide scope limits and contradictions. DurableUn explicitly studies an NF4-plus-LoRA adapter-space context and reports that the same recovery pattern was not observed for one merged-model NF4 path [3]. Its results therefore cannot be transferred to arbitrary merge orders or quantisers. MANSU reports a non-positive PTQ gap and restrained MMLU loss, but it is an unreviewed preprint whose circuit and magnitude-floor claims need independent replication [4]. QUAIL evaluates a global logit-margin surrogate and does not prove quantiser-independent weight-space separation [5]. The LoRA study reports meaningful 4-bit improvements on MUSE, but the effect varies by objective and domain [6]. Across all four, the decisive variables are model state, merge location, codebook, scale, grouping, and metric definition.</w:t>
      </w:r>
    </w:p>
    <w:p>
      <w:pPr>
        <w:pStyle w:val="Heading2"/>
        <w:keepNext w:val="true"/>
        <w:pageBreakBefore w:val="false"/>
        <w:rPr/>
      </w:pPr>
      <w:r>
        <w:rPr>
          <w:rFonts w:eastAsia="Times New Roman" w:ascii="Times New Roman" w:hAnsi="Times New Roman"/>
          <w:b/>
          <w:color w:val="111111"/>
          <w:sz w:val="27"/>
        </w:rPr>
        <w:t>2.6.3 Comparison of direct and near-direct approaches</w:t>
      </w:r>
    </w:p>
    <w:tbl>
      <w:tblPr>
        <w:tblW w:w="9360" w:type="dxa"/>
        <w:jc w:val="start"/>
        <w:tblInd w:w="120" w:type="dxa"/>
        <w:tblLayout w:type="fixed"/>
        <w:tblCellMar>
          <w:top w:w="80" w:type="dxa"/>
          <w:start w:w="120" w:type="dxa"/>
          <w:bottom w:w="80" w:type="dxa"/>
          <w:end w:w="120" w:type="dxa"/>
        </w:tblCellMar>
        <w:tblLook w:noHBand="0" w:noVBand="1" w:firstColumn="1" w:lastRow="0" w:lastColumn="0" w:firstRow="1" w:val="04a0"/>
      </w:tblPr>
      <w:tblGrid>
        <w:gridCol w:w="1449"/>
        <w:gridCol w:w="1900"/>
        <w:gridCol w:w="1800"/>
        <w:gridCol w:w="1700"/>
        <w:gridCol w:w="2511"/>
      </w:tblGrid>
      <w:tr>
        <w:trPr>
          <w:tblHeader w:val="true"/>
          <w:cantSplit/>
        </w:trPr>
        <w:tc>
          <w:tcPr>
            <w:tcW w:w="1449" w:type="dxa"/>
            <w:tcBorders>
              <w:top w:val="single" w:sz="4" w:space="0" w:color="E2E7ED"/>
              <w:start w:val="single" w:sz="4" w:space="0" w:color="E2E7ED"/>
              <w:bottom w:val="single" w:sz="4" w:space="0" w:color="E2E7ED"/>
              <w:end w:val="single" w:sz="4" w:space="0" w:color="E2E7ED"/>
            </w:tcBorders>
            <w:shd w:fill="F3F4F6" w:val="clear"/>
          </w:tcPr>
          <w:p>
            <w:pPr>
              <w:pStyle w:val="TableText"/>
              <w:spacing w:lineRule="auto" w:line="240" w:before="0" w:after="40"/>
              <w:jc w:val="start"/>
              <w:rPr/>
            </w:pPr>
            <w:r>
              <w:rPr>
                <w:rFonts w:eastAsia="Times New Roman"/>
                <w:b/>
                <w:color w:val="111111"/>
                <w:sz w:val="17"/>
              </w:rPr>
              <w:t>Study / method</w:t>
            </w:r>
          </w:p>
        </w:tc>
        <w:tc>
          <w:tcPr>
            <w:tcW w:w="1900" w:type="dxa"/>
            <w:tcBorders>
              <w:top w:val="single" w:sz="4" w:space="0" w:color="E2E7ED"/>
              <w:start w:val="single" w:sz="4" w:space="0" w:color="E2E7ED"/>
              <w:bottom w:val="single" w:sz="4" w:space="0" w:color="E2E7ED"/>
              <w:end w:val="single" w:sz="4" w:space="0" w:color="E2E7ED"/>
            </w:tcBorders>
            <w:shd w:fill="F3F4F6" w:val="clear"/>
          </w:tcPr>
          <w:p>
            <w:pPr>
              <w:pStyle w:val="TableText"/>
              <w:spacing w:lineRule="auto" w:line="240" w:before="0" w:after="40"/>
              <w:jc w:val="start"/>
              <w:rPr/>
            </w:pPr>
            <w:r>
              <w:rPr>
                <w:rFonts w:eastAsia="Times New Roman"/>
                <w:b/>
                <w:color w:val="111111"/>
                <w:sz w:val="17"/>
              </w:rPr>
              <w:t>Mechanism</w:t>
            </w:r>
          </w:p>
        </w:tc>
        <w:tc>
          <w:tcPr>
            <w:tcW w:w="1800" w:type="dxa"/>
            <w:tcBorders>
              <w:top w:val="single" w:sz="4" w:space="0" w:color="E2E7ED"/>
              <w:start w:val="single" w:sz="4" w:space="0" w:color="E2E7ED"/>
              <w:bottom w:val="single" w:sz="4" w:space="0" w:color="E2E7ED"/>
              <w:end w:val="single" w:sz="4" w:space="0" w:color="E2E7ED"/>
            </w:tcBorders>
            <w:shd w:fill="F3F4F6" w:val="clear"/>
          </w:tcPr>
          <w:p>
            <w:pPr>
              <w:pStyle w:val="TableText"/>
              <w:spacing w:lineRule="auto" w:line="240" w:before="0" w:after="40"/>
              <w:jc w:val="start"/>
              <w:rPr/>
            </w:pPr>
            <w:r>
              <w:rPr>
                <w:rFonts w:eastAsia="Times New Roman"/>
                <w:b/>
                <w:color w:val="111111"/>
                <w:sz w:val="17"/>
              </w:rPr>
              <w:t>Evaluation</w:t>
            </w:r>
          </w:p>
        </w:tc>
        <w:tc>
          <w:tcPr>
            <w:tcW w:w="1700" w:type="dxa"/>
            <w:tcBorders>
              <w:top w:val="single" w:sz="4" w:space="0" w:color="E2E7ED"/>
              <w:start w:val="single" w:sz="4" w:space="0" w:color="E2E7ED"/>
              <w:bottom w:val="single" w:sz="4" w:space="0" w:color="E2E7ED"/>
              <w:end w:val="single" w:sz="4" w:space="0" w:color="E2E7ED"/>
            </w:tcBorders>
            <w:shd w:fill="F3F4F6" w:val="clear"/>
          </w:tcPr>
          <w:p>
            <w:pPr>
              <w:pStyle w:val="TableText"/>
              <w:spacing w:lineRule="auto" w:line="240" w:before="0" w:after="40"/>
              <w:jc w:val="start"/>
              <w:rPr/>
            </w:pPr>
            <w:r>
              <w:rPr>
                <w:rFonts w:eastAsia="Times New Roman"/>
                <w:b/>
                <w:color w:val="111111"/>
                <w:sz w:val="17"/>
              </w:rPr>
              <w:t>Strongest evidence</w:t>
            </w:r>
          </w:p>
        </w:tc>
        <w:tc>
          <w:tcPr>
            <w:tcW w:w="2511" w:type="dxa"/>
            <w:tcBorders>
              <w:top w:val="single" w:sz="4" w:space="0" w:color="E2E7ED"/>
              <w:start w:val="single" w:sz="4" w:space="0" w:color="E2E7ED"/>
              <w:bottom w:val="single" w:sz="4" w:space="0" w:color="E2E7ED"/>
              <w:end w:val="single" w:sz="4" w:space="0" w:color="E2E7ED"/>
            </w:tcBorders>
            <w:shd w:fill="F3F4F6" w:val="clear"/>
          </w:tcPr>
          <w:p>
            <w:pPr>
              <w:pStyle w:val="TableText"/>
              <w:spacing w:lineRule="auto" w:line="240" w:before="0" w:after="40"/>
              <w:jc w:val="start"/>
              <w:rPr/>
            </w:pPr>
            <w:r>
              <w:rPr>
                <w:rFonts w:eastAsia="Times New Roman"/>
                <w:b/>
                <w:color w:val="111111"/>
                <w:sz w:val="17"/>
              </w:rPr>
              <w:t>Primary limitation for this project</w:t>
            </w:r>
          </w:p>
        </w:tc>
      </w:tr>
      <w:tr>
        <w:trPr>
          <w:cantSplit/>
        </w:trPr>
        <w:tc>
          <w:tcPr>
            <w:tcW w:w="1449"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SURE [1]</w:t>
            </w:r>
          </w:p>
        </w:tc>
        <w:tc>
          <w:tcPr>
            <w:tcW w:w="19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Module saliency + large LR</w:t>
            </w:r>
          </w:p>
        </w:tc>
        <w:tc>
          <w:tcPr>
            <w:tcW w:w="18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MUSE; multiple quantisers</w:t>
            </w:r>
          </w:p>
        </w:tc>
        <w:tc>
          <w:tcPr>
            <w:tcW w:w="17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Peer-reviewed, direct QRA mitigation</w:t>
            </w:r>
          </w:p>
        </w:tc>
        <w:tc>
          <w:tcPr>
            <w:tcW w:w="2511"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Does not combine attribution fidelity with QAT; still a mandatory baseline</w:t>
            </w:r>
          </w:p>
        </w:tc>
      </w:tr>
      <w:tr>
        <w:trPr>
          <w:cantSplit/>
        </w:trPr>
        <w:tc>
          <w:tcPr>
            <w:tcW w:w="1449"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Forget-critical optimisation [2]</w:t>
            </w:r>
          </w:p>
        </w:tc>
        <w:tc>
          <w:tcPr>
            <w:tcW w:w="19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Updates selected forget-critical layers</w:t>
            </w:r>
          </w:p>
        </w:tc>
        <w:tc>
          <w:tcPr>
            <w:tcW w:w="18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Accepted COLM 2026</w:t>
            </w:r>
          </w:p>
        </w:tc>
        <w:tc>
          <w:tcPr>
            <w:tcW w:w="17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Latest peer-reviewed direction</w:t>
            </w:r>
          </w:p>
        </w:tc>
        <w:tc>
          <w:tcPr>
            <w:tcW w:w="2511"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Public evidence available at search cutoff is less detailed than full paper text</w:t>
            </w:r>
          </w:p>
        </w:tc>
      </w:tr>
      <w:tr>
        <w:trPr>
          <w:cantSplit/>
        </w:trPr>
        <w:tc>
          <w:tcPr>
            <w:tcW w:w="1449"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SAF [3]</w:t>
            </w:r>
          </w:p>
        </w:tc>
        <w:tc>
          <w:tcPr>
            <w:tcW w:w="19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STE through simulated INT4 + sharpness-aware objective</w:t>
            </w:r>
          </w:p>
        </w:tc>
        <w:tc>
          <w:tcPr>
            <w:tcW w:w="18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LLaMA-3-8B; TOFU, MUSE-News, WikiBio-WPU</w:t>
            </w:r>
          </w:p>
        </w:tc>
        <w:tc>
          <w:tcPr>
            <w:tcW w:w="17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Three-seed durability claim</w:t>
            </w:r>
          </w:p>
        </w:tc>
        <w:tc>
          <w:tcPr>
            <w:tcW w:w="2511"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Scope is NF4+LoRA adapter-space; one merged-model NF4 path did not reproduce the same recovery pattern</w:t>
            </w:r>
          </w:p>
        </w:tc>
      </w:tr>
      <w:tr>
        <w:trPr>
          <w:cantSplit/>
        </w:trPr>
        <w:tc>
          <w:tcPr>
            <w:tcW w:w="1449"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MANSU [4]</w:t>
            </w:r>
          </w:p>
        </w:tc>
        <w:tc>
          <w:tcPr>
            <w:tcW w:w="19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EAP-IG circuit + diagonal-Fisher projection + per-weight floor</w:t>
            </w:r>
          </w:p>
        </w:tc>
        <w:tc>
          <w:tcPr>
            <w:tcW w:w="18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Llama/Qwen/Gemma; WMDP/MUSE</w:t>
            </w:r>
          </w:p>
        </w:tc>
        <w:tc>
          <w:tcPr>
            <w:tcW w:w="17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Mechanistic and quantisation-aware</w:t>
            </w:r>
          </w:p>
        </w:tc>
        <w:tc>
          <w:tcPr>
            <w:tcW w:w="2511"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Preprint; computationally heavy; formal assumptions are approximate</w:t>
            </w:r>
          </w:p>
        </w:tc>
      </w:tr>
      <w:tr>
        <w:trPr>
          <w:cantSplit/>
        </w:trPr>
        <w:tc>
          <w:tcPr>
            <w:tcW w:w="1449"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QUAIL [5]</w:t>
            </w:r>
          </w:p>
        </w:tc>
        <w:tc>
          <w:tcPr>
            <w:tcW w:w="19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Logit-space hinge margin</w:t>
            </w:r>
          </w:p>
        </w:tc>
        <w:tc>
          <w:tcPr>
            <w:tcW w:w="18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LLaMA-2-7B; MUSE/Twitter</w:t>
            </w:r>
          </w:p>
        </w:tc>
        <w:tc>
          <w:tcPr>
            <w:tcW w:w="17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Simple objective-level mechanism</w:t>
            </w:r>
          </w:p>
        </w:tc>
        <w:tc>
          <w:tcPr>
            <w:tcW w:w="2511"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Single seed, global margin, high compute, quantiser mismatch risk</w:t>
            </w:r>
          </w:p>
        </w:tc>
      </w:tr>
      <w:tr>
        <w:trPr>
          <w:cantSplit/>
        </w:trPr>
        <w:tc>
          <w:tcPr>
            <w:tcW w:w="1449"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LoRA concentration [6]</w:t>
            </w:r>
          </w:p>
        </w:tc>
        <w:tc>
          <w:tcPr>
            <w:tcW w:w="19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Freeze base, learn/merge low-rank update</w:t>
            </w:r>
          </w:p>
        </w:tc>
        <w:tc>
          <w:tcPr>
            <w:tcW w:w="18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LLaMA-2-7B; MUSE</w:t>
            </w:r>
          </w:p>
        </w:tc>
        <w:tc>
          <w:tcPr>
            <w:tcW w:w="17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Directly relevant to resource constraints</w:t>
            </w:r>
          </w:p>
        </w:tc>
        <w:tc>
          <w:tcPr>
            <w:tcW w:w="2511"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Outcome depends on merge and PTQ implementation; no universal win</w:t>
            </w:r>
          </w:p>
        </w:tc>
      </w:tr>
      <w:tr>
        <w:trPr>
          <w:cantSplit/>
        </w:trPr>
        <w:tc>
          <w:tcPr>
            <w:tcW w:w="1449"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NED 4-bit study [7]</w:t>
            </w:r>
          </w:p>
        </w:tc>
        <w:tc>
          <w:tcPr>
            <w:tcW w:w="19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PGA, GAFT, IDK inside a 4-bit LoRA pipeline</w:t>
            </w:r>
          </w:p>
        </w:tc>
        <w:tc>
          <w:tcPr>
            <w:tcW w:w="18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LLaMA-3-8B; TOFU; three seeds</w:t>
            </w:r>
          </w:p>
        </w:tc>
        <w:tc>
          <w:tcPr>
            <w:tcW w:w="17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Pakistan, peer-reviewed workshop</w:t>
            </w:r>
          </w:p>
        </w:tc>
        <w:tc>
          <w:tcPr>
            <w:tcW w:w="2511"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Tests in-pipeline reliability more than a BF16-to-INT4 recovery attack</w:t>
            </w:r>
          </w:p>
        </w:tc>
      </w:tr>
    </w:tbl>
    <w:p>
      <w:pPr>
        <w:pStyle w:val="Normal"/>
        <w:spacing w:lineRule="auto" w:line="360" w:before="80" w:after="80"/>
        <w:rPr/>
      </w:pPr>
      <w:r>
        <w:rPr>
          <w:rFonts w:eastAsia="Times New Roman"/>
          <w:i/>
          <w:color w:val="5F6368"/>
          <w:sz w:val="17"/>
        </w:rPr>
        <w:t>Cross-paper numerical ranking is intentionally avoided because models, data, quantisers, and metric scales differ. Results are compared within each paper, not pooled.</w:t>
      </w:r>
    </w:p>
    <w:p>
      <w:pPr>
        <w:pStyle w:val="Heading1"/>
        <w:keepNext w:val="true"/>
        <w:pageBreakBefore w:val="false"/>
        <w:rPr/>
      </w:pPr>
      <w:r>
        <w:rPr>
          <w:rFonts w:eastAsia="Times New Roman" w:ascii="Times New Roman" w:hAnsi="Times New Roman"/>
          <w:b/>
          <w:color w:val="111111"/>
          <w:sz w:val="32"/>
        </w:rPr>
        <w:t>2.7 Attribution-guided and mechanistic unlearning</w:t>
      </w:r>
    </w:p>
    <w:p>
      <w:pPr>
        <w:pStyle w:val="Heading2"/>
        <w:keepNext w:val="true"/>
        <w:pageBreakBefore w:val="false"/>
        <w:rPr/>
      </w:pPr>
      <w:r>
        <w:rPr>
          <w:rFonts w:eastAsia="Times New Roman" w:ascii="Times New Roman" w:hAnsi="Times New Roman"/>
          <w:b/>
          <w:color w:val="111111"/>
          <w:sz w:val="27"/>
        </w:rPr>
        <w:t>2.7.1 Ssiuu and shallow alignment</w:t>
      </w:r>
    </w:p>
    <w:p>
      <w:pPr>
        <w:pStyle w:val="Normal"/>
        <w:keepLines w:val="false"/>
        <w:spacing w:lineRule="auto" w:line="360" w:before="0" w:after="120"/>
        <w:jc w:val="both"/>
        <w:rPr/>
      </w:pPr>
      <w:r>
        <w:rPr>
          <w:rFonts w:eastAsia="Times New Roman"/>
          <w:color w:val="111111"/>
          <w:sz w:val="24"/>
        </w:rPr>
        <w:t>Ssiuu starts from the observation that common unlearning methods can create spurious neurons with strongly negative influence: the model appears to forget because those neurons suppress access to knowledge rather than because the knowledge was removed [9]. The published method computes a parameter-times-gradient attribution, compares current and previous-step behaviour, and applies an L2 regulariser over parameters with negative attribution; optimisation consequently requires higher-order gradient information. The authors evaluate adversarial reinjection of private data and benign retraining and report more robust forgetting than strong baselines. Integrated Gradients is not the method used by the paper.</w:t>
      </w:r>
    </w:p>
    <w:p>
      <w:pPr>
        <w:pStyle w:val="Normal"/>
        <w:keepLines w:val="false"/>
        <w:spacing w:lineRule="auto" w:line="360" w:before="0" w:after="160"/>
        <w:jc w:val="both"/>
        <w:rPr/>
      </w:pPr>
      <w:r>
        <w:rPr>
          <w:rFonts w:eastAsia="Times New Roman"/>
          <w:color w:val="111111"/>
          <w:sz w:val="24"/>
        </w:rPr>
        <w:t>Ssiuu is a central methodological component of Plan C, but its robustness target is relearning, not quantisation. No direct evidence in the paper shows that controlling attribution makes weight updates cross NF4 bins or survive adapter merging. The project’s integration hypothesis is therefore scientifically meaningful: Ssiuu may improve faithfulness while FQ-QAT improves low-bit permanence. It remains a hypothesis and must be tested through ablations rather than stated as an established synergy.</w:t>
      </w:r>
    </w:p>
    <w:p>
      <w:pPr>
        <w:pStyle w:val="Heading2"/>
        <w:keepNext w:val="true"/>
        <w:pageBreakBefore w:val="false"/>
        <w:rPr/>
      </w:pPr>
      <w:r>
        <w:rPr>
          <w:rFonts w:eastAsia="Times New Roman" w:ascii="Times New Roman" w:hAnsi="Times New Roman"/>
          <w:b/>
          <w:color w:val="111111"/>
          <w:sz w:val="27"/>
        </w:rPr>
        <w:t>2.7.2 MANSU, attribution, and the distinction from Ssiuu</w:t>
      </w:r>
    </w:p>
    <w:p>
      <w:pPr>
        <w:pStyle w:val="Normal"/>
        <w:keepLines w:val="false"/>
        <w:spacing w:lineRule="auto" w:line="360" w:before="0" w:after="160"/>
        <w:jc w:val="both"/>
        <w:rPr/>
      </w:pPr>
      <w:r>
        <w:rPr>
          <w:rFonts w:eastAsia="Times New Roman"/>
          <w:color w:val="111111"/>
          <w:sz w:val="24"/>
        </w:rPr>
        <w:t>MANSU and Ssiuu both use attribution, but they do not implement the same idea. Ssiuu regularises attribution patterns associated with shallow suppression. MANSU uses EAP-IG to identify a minimal causal circuit, restricts training to that circuit, applies an approximate retain-safe Fisher projection, and enforces a post-hoc magnitude floor [4]. The thesis must not describe MANSU as merely ‘Ssiuu plus quantisation’ or use their names interchangeably.</w:t>
      </w:r>
    </w:p>
    <w:p>
      <w:pPr>
        <w:pStyle w:val="Normal"/>
        <w:keepLines w:val="false"/>
        <w:spacing w:lineRule="auto" w:line="360" w:before="0" w:after="120"/>
        <w:jc w:val="both"/>
        <w:rPr/>
      </w:pPr>
      <w:r>
        <w:rPr>
          <w:rFonts w:eastAsia="Times New Roman"/>
          <w:color w:val="111111"/>
          <w:sz w:val="24"/>
        </w:rPr>
        <w:t>For the sub-16-GB project, full EAP-IG on an 8B model is not the appropriate implementation target. A lighter Layer Integrated Gradients construction using Captum on selected modules is computationally feasible, but it is an independent Ssiuu-inspired surrogate rather than a faithful Ssiuu implementation. Its fidelity must be evaluated through gradient-connectivity tests and stability across examples, layers, baselines, aggregation rules, and seeds. MANSU remains an important conceptual comparator, not necessarily a fully reproducible baseline under the available hardware.</w:t>
      </w:r>
    </w:p>
    <w:p>
      <w:pPr>
        <w:pStyle w:val="Heading2"/>
        <w:keepNext w:val="true"/>
        <w:pageBreakBefore w:val="false"/>
        <w:rPr/>
      </w:pPr>
      <w:r>
        <w:rPr>
          <w:rFonts w:eastAsia="Times New Roman" w:ascii="Times New Roman" w:hAnsi="Times New Roman"/>
          <w:b/>
          <w:color w:val="111111"/>
          <w:sz w:val="27"/>
        </w:rPr>
        <w:t>2.7.3 Japanese evidence on representation-level side effects</w:t>
      </w:r>
    </w:p>
    <w:p>
      <w:pPr>
        <w:pStyle w:val="Normal"/>
        <w:keepLines w:val="false"/>
        <w:spacing w:lineRule="auto" w:line="360" w:before="0" w:after="160"/>
        <w:jc w:val="both"/>
        <w:rPr/>
      </w:pPr>
      <w:r>
        <w:rPr>
          <w:rFonts w:eastAsia="Times New Roman"/>
          <w:color w:val="111111"/>
          <w:sz w:val="24"/>
        </w:rPr>
        <w:t>Dang Huu-Tien et al., based at JAIST with collaborators including RIKEN, analyse representation-misdirection unlearning through concept directions [16]. Their Representational Addition and Representational Ablation models show that unlearning interventions can also control truthfulness, sentiment, refusal, language, and in-context learning. This paper does not study QRA, but it provides a strong warning for attribution- and representation-based methods: moving a representation away from target knowledge can introduce systematic side behaviours that ordinary forget accuracy will not reveal.</w:t>
      </w:r>
    </w:p>
    <w:p>
      <w:pPr>
        <w:pStyle w:val="Normal"/>
        <w:keepLines w:val="false"/>
        <w:spacing w:lineRule="auto" w:line="360" w:before="0" w:after="160"/>
        <w:jc w:val="both"/>
        <w:rPr/>
      </w:pPr>
      <w:r>
        <w:rPr>
          <w:rFonts w:eastAsia="Times New Roman"/>
          <w:color w:val="111111"/>
          <w:sz w:val="24"/>
        </w:rPr>
        <w:t>Isonuma and Titov’s ACL study, with University of Tokyo affiliation, uses gradient-ascent unlearning as a data-attribution instrument rather than a deletion method [18]. It shows that unlearning-induced loss changes can trace influential training datasets without Hessian inversion or multiple checkpoints. Its direct relevance is lower, but it supports the broader idea that controlled unlearning gradients contain attribution information. Together, the two Japanese studies justify monitoring representation and output side effects when attribution is used inside FQ-SSIUU.</w:t>
      </w:r>
    </w:p>
    <w:p>
      <w:pPr>
        <w:pStyle w:val="Heading1"/>
        <w:keepNext w:val="true"/>
        <w:pageBreakBefore w:val="false"/>
        <w:rPr/>
      </w:pPr>
      <w:r>
        <w:rPr>
          <w:rFonts w:eastAsia="Times New Roman" w:ascii="Times New Roman" w:hAnsi="Times New Roman"/>
          <w:b/>
          <w:color w:val="111111"/>
          <w:sz w:val="32"/>
        </w:rPr>
        <w:t>2.8 Quantisation-aware training and resource-efficient adaptation</w:t>
      </w:r>
    </w:p>
    <w:p>
      <w:pPr>
        <w:pStyle w:val="Heading2"/>
        <w:keepNext w:val="true"/>
        <w:pageBreakBefore w:val="false"/>
        <w:rPr/>
      </w:pPr>
      <w:r>
        <w:rPr>
          <w:rFonts w:eastAsia="Times New Roman" w:ascii="Times New Roman" w:hAnsi="Times New Roman"/>
          <w:b/>
          <w:color w:val="111111"/>
          <w:sz w:val="27"/>
        </w:rPr>
        <w:t>2.8.1 LLM-QAT and STE</w:t>
      </w:r>
    </w:p>
    <w:p>
      <w:pPr>
        <w:pStyle w:val="Normal"/>
        <w:keepLines w:val="false"/>
        <w:spacing w:lineRule="auto" w:line="360" w:before="0" w:after="160"/>
        <w:jc w:val="both"/>
        <w:rPr/>
      </w:pPr>
      <w:r>
        <w:rPr>
          <w:rFonts w:eastAsia="Times New Roman"/>
          <w:color w:val="111111"/>
          <w:sz w:val="24"/>
        </w:rPr>
        <w:t>LLM-QAT demonstrates that low-bit behaviour can be incorporated into training rather than handled only after training [14]. Its data-free distillation approach quantises weights, activations, and the key–value cache and reports substantial improvements over training-free quantisation down to 4 bits on 7B, 13B, and 30B LLaMA models. The paper does not address unlearning, but it establishes the broader design principle that the forward pass should expose the optimiser to the deployment discretisation.</w:t>
      </w:r>
    </w:p>
    <w:p>
      <w:pPr>
        <w:pStyle w:val="Normal"/>
        <w:keepLines w:val="false"/>
        <w:spacing w:lineRule="auto" w:line="360" w:before="0" w:after="160"/>
        <w:jc w:val="both"/>
        <w:rPr/>
      </w:pPr>
      <w:r>
        <w:rPr>
          <w:rFonts w:eastAsia="Times New Roman"/>
          <w:color w:val="111111"/>
          <w:sz w:val="24"/>
        </w:rPr>
        <w:t>Because rounding is non-differentiable, QAT commonly uses the Straight-Through Estimator, which copies or approximates the gradient through the quantiser [20]. STE is practical but biased: the backward signal is not the true gradient of the discrete operation. Consequently, stability and transfer to the exact deployment quantiser are empirical questions. DurableUn’s SAF adopts STE through simulated INT4 rounding [3], providing the closest direct precedent to Plan C’s fake-quantisation component.</w:t>
      </w:r>
    </w:p>
    <w:p>
      <w:pPr>
        <w:pStyle w:val="Heading2"/>
        <w:keepNext w:val="true"/>
        <w:pageBreakBefore w:val="false"/>
        <w:rPr/>
      </w:pPr>
      <w:r>
        <w:rPr>
          <w:rFonts w:eastAsia="Times New Roman" w:ascii="Times New Roman" w:hAnsi="Times New Roman"/>
          <w:b/>
          <w:color w:val="111111"/>
          <w:sz w:val="27"/>
        </w:rPr>
        <w:t>2.8.2 QLoRA and the location-of-quantisation problem</w:t>
      </w:r>
    </w:p>
    <w:p>
      <w:pPr>
        <w:pStyle w:val="Normal"/>
        <w:keepLines w:val="false"/>
        <w:spacing w:lineRule="auto" w:line="360" w:before="0" w:after="160"/>
        <w:jc w:val="both"/>
        <w:rPr/>
      </w:pPr>
      <w:r>
        <w:rPr>
          <w:rFonts w:eastAsia="Times New Roman"/>
          <w:color w:val="111111"/>
          <w:sz w:val="24"/>
        </w:rPr>
        <w:t>QLoRA backpropagates through a frozen 4-bit base model into trainable low-rank adapters and introduces NF4, double quantisation, and paged optimisers [15]. These ideas make the project’s 1B model and sub-16-GB constraint plausible. QLoRA, however, is an efficiency method, not an unlearning guarantee. If the sensitive knowledge remains in the frozen base and the adapter is removed or merged differently, the original capability can reappear.</w:t>
      </w:r>
    </w:p>
    <w:p>
      <w:pPr>
        <w:pStyle w:val="Normal"/>
        <w:keepLines w:val="false"/>
        <w:spacing w:lineRule="auto" w:line="360" w:before="0" w:after="160"/>
        <w:jc w:val="both"/>
        <w:rPr/>
      </w:pPr>
      <w:r>
        <w:rPr>
          <w:rFonts w:eastAsia="Times New Roman"/>
          <w:color w:val="111111"/>
          <w:sz w:val="24"/>
        </w:rPr>
        <w:t>The newest LoRA unlearning preprint argues that concentrating updates in a low-rank subspace improves post-quantisation durability [6]. This is directly relevant and contradicts any blanket claim that LoRA necessarily makes updates too diffuse. Its result also exposes a decisive implementation detail for Plan C: fake-quantising adapter outputs is not automatically equivalent to fake-quantising the merged weights that will be deployed. Chapter 3 must specify whether quantisation is applied to the frozen base, the adapter output, the merged effective weight, or all three, and the final INT4 audit must use the same merge and codebook path as deployment.</w:t>
      </w:r>
    </w:p>
    <w:p>
      <w:pPr>
        <w:pStyle w:val="Heading2"/>
        <w:keepNext w:val="true"/>
        <w:pageBreakBefore w:val="false"/>
        <w:rPr/>
      </w:pPr>
      <w:r>
        <w:rPr>
          <w:rFonts w:eastAsia="Times New Roman" w:ascii="Times New Roman" w:hAnsi="Times New Roman"/>
          <w:b/>
          <w:color w:val="111111"/>
          <w:sz w:val="27"/>
        </w:rPr>
        <w:t>2.8.3 Integrated Gradients as the attribution root</w:t>
      </w:r>
    </w:p>
    <w:p>
      <w:pPr>
        <w:pStyle w:val="Normal"/>
        <w:keepLines w:val="false"/>
        <w:spacing w:lineRule="auto" w:line="360" w:before="0" w:after="120"/>
        <w:jc w:val="both"/>
        <w:rPr/>
      </w:pPr>
      <w:r>
        <w:rPr>
          <w:rFonts w:eastAsia="Times New Roman"/>
          <w:color w:val="111111"/>
          <w:sz w:val="24"/>
        </w:rPr>
        <w:t>Integrated Gradients attributes a prediction by integrating gradients along a path from a baseline to the input and is motivated by Sensitivity and Implementation Invariance [19]. Its age is justified by its foundational status. In FQ-SSIUU, IG may provide a resource-conscious surrogate mask over selected modules, neurons, or adapter dimensions, but it must not be attributed to Ssiuu. The main risks are baseline sensitivity, high variance, token aggregation choices, attention-mask handling, and the difference between predictive attribution and causal localisation. The project must report gradient connectivity and mask stability and use ‘attribution-guided’ rather than ‘causally identified’ unless causal interventions are performed.</w:t>
      </w:r>
    </w:p>
    <w:p>
      <w:pPr>
        <w:pStyle w:val="Heading1"/>
        <w:keepNext w:val="true"/>
        <w:pageBreakBefore w:val="false"/>
        <w:rPr/>
      </w:pPr>
      <w:r>
        <w:rPr>
          <w:rFonts w:eastAsia="Times New Roman" w:ascii="Times New Roman" w:hAnsi="Times New Roman"/>
          <w:b/>
          <w:color w:val="111111"/>
          <w:sz w:val="32"/>
        </w:rPr>
        <w:t>2.9 Cross-study synthesis</w:t>
      </w:r>
    </w:p>
    <w:p>
      <w:pPr>
        <w:pStyle w:val="Heading2"/>
        <w:keepNext w:val="true"/>
        <w:pageBreakBefore w:val="false"/>
        <w:rPr/>
      </w:pPr>
      <w:r>
        <w:rPr>
          <w:rFonts w:eastAsia="Times New Roman" w:ascii="Times New Roman" w:hAnsi="Times New Roman"/>
          <w:b/>
          <w:color w:val="111111"/>
          <w:sz w:val="27"/>
        </w:rPr>
        <w:t>2.9.1 What the literature consistently supports</w:t>
      </w:r>
    </w:p>
    <w:p>
      <w:pPr>
        <w:pStyle w:val="Normal"/>
        <w:numPr>
          <w:ilvl w:val="0"/>
          <w:numId w:val="7"/>
        </w:numPr>
        <w:spacing w:lineRule="auto" w:line="360" w:before="0" w:after="80"/>
        <w:rPr/>
      </w:pPr>
      <w:r>
        <w:rPr>
          <w:rFonts w:eastAsia="Times New Roman"/>
          <w:color w:val="111111"/>
          <w:sz w:val="24"/>
        </w:rPr>
        <w:t>Full-precision forgetting is not a sufficient deployment test. At minimum, BF16/FP16, INT8, and INT4 must be evaluated [1], [3]–[6].</w:t>
      </w:r>
    </w:p>
    <w:p>
      <w:pPr>
        <w:pStyle w:val="Normal"/>
        <w:numPr>
          <w:ilvl w:val="0"/>
          <w:numId w:val="7"/>
        </w:numPr>
        <w:spacing w:lineRule="auto" w:line="360" w:before="0" w:after="80"/>
        <w:rPr/>
      </w:pPr>
      <w:r>
        <w:rPr>
          <w:rFonts w:eastAsia="Times New Roman"/>
          <w:color w:val="111111"/>
          <w:sz w:val="24"/>
        </w:rPr>
        <w:t>Utility-preserving objectives tend to produce small or constrained updates, making them vulnerable to discretisation unless the training or update structure explicitly accounts for quantisation [1], [3]–[6].</w:t>
      </w:r>
    </w:p>
    <w:p>
      <w:pPr>
        <w:pStyle w:val="Normal"/>
        <w:numPr>
          <w:ilvl w:val="0"/>
          <w:numId w:val="7"/>
        </w:numPr>
        <w:spacing w:lineRule="auto" w:line="360" w:before="0" w:after="80"/>
        <w:rPr/>
      </w:pPr>
      <w:r>
        <w:rPr>
          <w:rFonts w:eastAsia="Times New Roman"/>
          <w:color w:val="111111"/>
          <w:sz w:val="24"/>
        </w:rPr>
        <w:t>A low forget-reference score can reflect refusal, gibberish, probability squeezing, fabricated substitution, or downstream redirection rather than deletion [7], [9], [12], [13], [16].</w:t>
      </w:r>
    </w:p>
    <w:p>
      <w:pPr>
        <w:pStyle w:val="Normal"/>
        <w:numPr>
          <w:ilvl w:val="0"/>
          <w:numId w:val="7"/>
        </w:numPr>
        <w:spacing w:lineRule="auto" w:line="360" w:before="0" w:after="80"/>
        <w:rPr/>
      </w:pPr>
      <w:r>
        <w:rPr>
          <w:rFonts w:eastAsia="Times New Roman"/>
          <w:color w:val="111111"/>
          <w:sz w:val="24"/>
        </w:rPr>
        <w:t>Localisation can reduce collateral damage, but localisation alone does not guarantee bin crossing; MANSU explicitly adds a magnitude floor, while SURE adds large targeted updates [1], [4].</w:t>
      </w:r>
    </w:p>
    <w:p>
      <w:pPr>
        <w:pStyle w:val="Normal"/>
        <w:numPr>
          <w:ilvl w:val="0"/>
          <w:numId w:val="7"/>
        </w:numPr>
        <w:spacing w:lineRule="auto" w:line="360" w:before="0" w:after="80"/>
        <w:rPr/>
      </w:pPr>
      <w:r>
        <w:rPr>
          <w:rFonts w:eastAsia="Times New Roman"/>
          <w:color w:val="111111"/>
          <w:sz w:val="24"/>
        </w:rPr>
        <w:t>QAT or STE can optimise against low-bit behaviour, but robustness is conditional on the exact simulated and deployed quantisers [3], [14], [20].</w:t>
      </w:r>
    </w:p>
    <w:p>
      <w:pPr>
        <w:pStyle w:val="Normal"/>
        <w:numPr>
          <w:ilvl w:val="0"/>
          <w:numId w:val="7"/>
        </w:numPr>
        <w:spacing w:lineRule="auto" w:line="360" w:before="0" w:after="80"/>
        <w:rPr/>
      </w:pPr>
      <w:r>
        <w:rPr>
          <w:rFonts w:eastAsia="Times New Roman"/>
          <w:color w:val="111111"/>
          <w:sz w:val="24"/>
        </w:rPr>
        <w:t>No reviewed method supplies a generally accepted formal proof of LLM erasure under arbitrary quantisation. Current ‘certificates’ are empirical test protocols.</w:t>
      </w:r>
    </w:p>
    <w:p>
      <w:pPr>
        <w:pStyle w:val="Heading2"/>
        <w:keepNext w:val="true"/>
        <w:pageBreakBefore w:val="false"/>
        <w:rPr/>
      </w:pPr>
      <w:r>
        <w:rPr>
          <w:rFonts w:eastAsia="Times New Roman" w:ascii="Times New Roman" w:hAnsi="Times New Roman"/>
          <w:b/>
          <w:color w:val="111111"/>
          <w:sz w:val="27"/>
        </w:rPr>
        <w:t>2.9.2 Where the evidence remains unsettled</w:t>
      </w:r>
    </w:p>
    <w:p>
      <w:pPr>
        <w:pStyle w:val="Normal"/>
        <w:numPr>
          <w:ilvl w:val="0"/>
          <w:numId w:val="7"/>
        </w:numPr>
        <w:spacing w:lineRule="auto" w:line="360" w:before="0" w:after="80"/>
        <w:rPr/>
      </w:pPr>
      <w:r>
        <w:rPr>
          <w:rFonts w:eastAsia="Times New Roman"/>
          <w:color w:val="111111"/>
          <w:sz w:val="24"/>
        </w:rPr>
        <w:t>Whether low-rank adaptation is inherently protective. One 2026 study reports benefit [6], while other analyses emphasise that small adapter-space changes can be rounded away [3]. The outcome depends on rank, learning rate, merge procedure, and quantiser.</w:t>
      </w:r>
    </w:p>
    <w:p>
      <w:pPr>
        <w:pStyle w:val="Normal"/>
        <w:numPr>
          <w:ilvl w:val="0"/>
          <w:numId w:val="7"/>
        </w:numPr>
        <w:spacing w:lineRule="auto" w:line="360" w:before="0" w:after="80"/>
        <w:rPr/>
      </w:pPr>
      <w:r>
        <w:rPr>
          <w:rFonts w:eastAsia="Times New Roman"/>
          <w:color w:val="111111"/>
          <w:sz w:val="24"/>
        </w:rPr>
        <w:t>Whether output-level margins imply weight-level permanence. QUAIL provides empirical support but its global logit margin does not establish a quantiser-independent guarantee [5].</w:t>
      </w:r>
    </w:p>
    <w:p>
      <w:pPr>
        <w:pStyle w:val="Normal"/>
        <w:numPr>
          <w:ilvl w:val="0"/>
          <w:numId w:val="7"/>
        </w:numPr>
        <w:spacing w:lineRule="auto" w:line="360" w:before="0" w:after="80"/>
        <w:rPr/>
      </w:pPr>
      <w:r>
        <w:rPr>
          <w:rFonts w:eastAsia="Times New Roman"/>
          <w:color w:val="111111"/>
          <w:sz w:val="24"/>
        </w:rPr>
        <w:t>Whether causal circuits are stable enough to support deletion. MANSU reports positive evidence [4], but attribution-localisation reliability remains an open question and its assumptions require replication.</w:t>
      </w:r>
    </w:p>
    <w:p>
      <w:pPr>
        <w:pStyle w:val="Normal"/>
        <w:numPr>
          <w:ilvl w:val="0"/>
          <w:numId w:val="7"/>
        </w:numPr>
        <w:spacing w:lineRule="auto" w:line="360" w:before="0" w:after="80"/>
        <w:rPr/>
      </w:pPr>
      <w:r>
        <w:rPr>
          <w:rFonts w:eastAsia="Times New Roman"/>
          <w:color w:val="111111"/>
          <w:sz w:val="24"/>
        </w:rPr>
        <w:t>Whether a method can satisfy forgetting, retained utility, privacy, and low-bit durability simultaneously on difficult real data. DurableUn’s strongest durable configuration sacrifices retention [3], while MANSU’s contrary claim is still preprint evidence [4].</w:t>
      </w:r>
    </w:p>
    <w:p>
      <w:pPr>
        <w:pStyle w:val="Heading2"/>
        <w:keepNext w:val="true"/>
        <w:pageBreakBefore w:val="false"/>
        <w:rPr/>
      </w:pPr>
      <w:r>
        <w:rPr>
          <w:rFonts w:eastAsia="Times New Roman" w:ascii="Times New Roman" w:hAnsi="Times New Roman"/>
          <w:b/>
          <w:color w:val="111111"/>
          <w:sz w:val="27"/>
        </w:rPr>
        <w:t>2.9.3 Method-component comparison for FQ-SSIUU</w:t>
      </w:r>
    </w:p>
    <w:tbl>
      <w:tblPr>
        <w:tblW w:w="9360" w:type="dxa"/>
        <w:jc w:val="start"/>
        <w:tblInd w:w="120" w:type="dxa"/>
        <w:tblLayout w:type="fixed"/>
        <w:tblCellMar>
          <w:top w:w="80" w:type="dxa"/>
          <w:start w:w="120" w:type="dxa"/>
          <w:bottom w:w="80" w:type="dxa"/>
          <w:end w:w="120" w:type="dxa"/>
        </w:tblCellMar>
        <w:tblLook w:noHBand="0" w:noVBand="1" w:firstColumn="1" w:lastRow="0" w:lastColumn="0" w:firstRow="1" w:val="04a0"/>
      </w:tblPr>
      <w:tblGrid>
        <w:gridCol w:w="1449"/>
        <w:gridCol w:w="2500"/>
        <w:gridCol w:w="2500"/>
        <w:gridCol w:w="2911"/>
      </w:tblGrid>
      <w:tr>
        <w:trPr>
          <w:tblHeader w:val="true"/>
          <w:cantSplit/>
        </w:trPr>
        <w:tc>
          <w:tcPr>
            <w:tcW w:w="1449" w:type="dxa"/>
            <w:tcBorders>
              <w:top w:val="single" w:sz="4" w:space="0" w:color="E2E7ED"/>
              <w:start w:val="single" w:sz="4" w:space="0" w:color="E2E7ED"/>
              <w:bottom w:val="single" w:sz="4" w:space="0" w:color="E2E7ED"/>
              <w:end w:val="single" w:sz="4" w:space="0" w:color="E2E7ED"/>
            </w:tcBorders>
            <w:shd w:fill="F3F4F6" w:val="clear"/>
          </w:tcPr>
          <w:p>
            <w:pPr>
              <w:pStyle w:val="TableText"/>
              <w:spacing w:lineRule="auto" w:line="240" w:before="0" w:after="40"/>
              <w:jc w:val="start"/>
              <w:rPr/>
            </w:pPr>
            <w:r>
              <w:rPr>
                <w:rFonts w:eastAsia="Times New Roman"/>
                <w:b/>
                <w:color w:val="111111"/>
                <w:sz w:val="17"/>
              </w:rPr>
              <w:t>Component</w:t>
            </w:r>
          </w:p>
        </w:tc>
        <w:tc>
          <w:tcPr>
            <w:tcW w:w="2500" w:type="dxa"/>
            <w:tcBorders>
              <w:top w:val="single" w:sz="4" w:space="0" w:color="E2E7ED"/>
              <w:start w:val="single" w:sz="4" w:space="0" w:color="E2E7ED"/>
              <w:bottom w:val="single" w:sz="4" w:space="0" w:color="E2E7ED"/>
              <w:end w:val="single" w:sz="4" w:space="0" w:color="E2E7ED"/>
            </w:tcBorders>
            <w:shd w:fill="F3F4F6" w:val="clear"/>
          </w:tcPr>
          <w:p>
            <w:pPr>
              <w:pStyle w:val="TableText"/>
              <w:spacing w:lineRule="auto" w:line="240" w:before="0" w:after="40"/>
              <w:jc w:val="start"/>
              <w:rPr/>
            </w:pPr>
            <w:r>
              <w:rPr>
                <w:rFonts w:eastAsia="Times New Roman"/>
                <w:b/>
                <w:color w:val="111111"/>
                <w:sz w:val="17"/>
              </w:rPr>
              <w:t>Contribution</w:t>
            </w:r>
          </w:p>
        </w:tc>
        <w:tc>
          <w:tcPr>
            <w:tcW w:w="2500" w:type="dxa"/>
            <w:tcBorders>
              <w:top w:val="single" w:sz="4" w:space="0" w:color="E2E7ED"/>
              <w:start w:val="single" w:sz="4" w:space="0" w:color="E2E7ED"/>
              <w:bottom w:val="single" w:sz="4" w:space="0" w:color="E2E7ED"/>
              <w:end w:val="single" w:sz="4" w:space="0" w:color="E2E7ED"/>
            </w:tcBorders>
            <w:shd w:fill="F3F4F6" w:val="clear"/>
          </w:tcPr>
          <w:p>
            <w:pPr>
              <w:pStyle w:val="TableText"/>
              <w:spacing w:lineRule="auto" w:line="240" w:before="0" w:after="40"/>
              <w:jc w:val="start"/>
              <w:rPr/>
            </w:pPr>
            <w:r>
              <w:rPr>
                <w:rFonts w:eastAsia="Times New Roman"/>
                <w:b/>
                <w:color w:val="111111"/>
                <w:sz w:val="17"/>
              </w:rPr>
              <w:t>Known limitation</w:t>
            </w:r>
          </w:p>
        </w:tc>
        <w:tc>
          <w:tcPr>
            <w:tcW w:w="2911" w:type="dxa"/>
            <w:tcBorders>
              <w:top w:val="single" w:sz="4" w:space="0" w:color="E2E7ED"/>
              <w:start w:val="single" w:sz="4" w:space="0" w:color="E2E7ED"/>
              <w:bottom w:val="single" w:sz="4" w:space="0" w:color="E2E7ED"/>
              <w:end w:val="single" w:sz="4" w:space="0" w:color="E2E7ED"/>
            </w:tcBorders>
            <w:shd w:fill="F3F4F6" w:val="clear"/>
          </w:tcPr>
          <w:p>
            <w:pPr>
              <w:pStyle w:val="TableText"/>
              <w:spacing w:lineRule="auto" w:line="240" w:before="0" w:after="40"/>
              <w:jc w:val="start"/>
              <w:rPr/>
            </w:pPr>
            <w:r>
              <w:rPr>
                <w:rFonts w:eastAsia="Times New Roman"/>
                <w:b/>
                <w:color w:val="111111"/>
                <w:sz w:val="17"/>
              </w:rPr>
              <w:t>Role in the proposed project</w:t>
            </w:r>
          </w:p>
        </w:tc>
      </w:tr>
      <w:tr>
        <w:trPr>
          <w:cantSplit/>
        </w:trPr>
        <w:tc>
          <w:tcPr>
            <w:tcW w:w="1449"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NPO [8]</w:t>
            </w:r>
          </w:p>
        </w:tc>
        <w:tc>
          <w:tcPr>
            <w:tcW w:w="25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Stable negative-preference forgetting; slower collapse than GA</w:t>
            </w:r>
          </w:p>
        </w:tc>
        <w:tc>
          <w:tcPr>
            <w:tcW w:w="25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Small/reference-anchored updates may remain quantisation-fragile</w:t>
            </w:r>
          </w:p>
        </w:tc>
        <w:tc>
          <w:tcPr>
            <w:tcW w:w="2911"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Base forget objective; never treated as the robustness mechanism</w:t>
            </w:r>
          </w:p>
        </w:tc>
      </w:tr>
      <w:tr>
        <w:trPr>
          <w:cantSplit/>
        </w:trPr>
        <w:tc>
          <w:tcPr>
            <w:tcW w:w="1449"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Ssiuu [9] (published method)</w:t>
            </w:r>
          </w:p>
        </w:tc>
        <w:tc>
          <w:tcPr>
            <w:tcW w:w="25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Parameter×gradient, previous-step regularisation; improves relearning robustness</w:t>
            </w:r>
          </w:p>
        </w:tc>
        <w:tc>
          <w:tcPr>
            <w:tcW w:w="25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No QRA experiment; attribution compute and mask stability</w:t>
            </w:r>
          </w:p>
        </w:tc>
        <w:tc>
          <w:tcPr>
            <w:tcW w:w="2911"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Faithfulness regulariser; test with and without FQ</w:t>
            </w:r>
          </w:p>
        </w:tc>
      </w:tr>
      <w:tr>
        <w:trPr>
          <w:cantSplit/>
        </w:trPr>
        <w:tc>
          <w:tcPr>
            <w:tcW w:w="1449"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FQ-QAT / STE [14], [20]</w:t>
            </w:r>
          </w:p>
        </w:tc>
        <w:tc>
          <w:tcPr>
            <w:tcW w:w="25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Exposes optimiser to low-bit forward behaviour</w:t>
            </w:r>
          </w:p>
        </w:tc>
        <w:tc>
          <w:tcPr>
            <w:tcW w:w="25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Biased gradient; simulator/deployment mismatch</w:t>
            </w:r>
          </w:p>
        </w:tc>
        <w:tc>
          <w:tcPr>
            <w:tcW w:w="2911"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Durability mechanism; quantify PTQ gap and quantiser transfer</w:t>
            </w:r>
          </w:p>
        </w:tc>
      </w:tr>
      <w:tr>
        <w:trPr>
          <w:cantSplit/>
        </w:trPr>
        <w:tc>
          <w:tcPr>
            <w:tcW w:w="1449"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QLoRA [15]</w:t>
            </w:r>
          </w:p>
        </w:tc>
        <w:tc>
          <w:tcPr>
            <w:tcW w:w="25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Makes 1B experiments feasible under &lt;16 GB; NF4 ecosystem</w:t>
            </w:r>
          </w:p>
        </w:tc>
        <w:tc>
          <w:tcPr>
            <w:tcW w:w="25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Frozen base retains knowledge; merge semantics matter</w:t>
            </w:r>
          </w:p>
        </w:tc>
        <w:tc>
          <w:tcPr>
            <w:tcW w:w="2911"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Efficiency substrate, not a deletion guarantee</w:t>
            </w:r>
          </w:p>
        </w:tc>
      </w:tr>
      <w:tr>
        <w:trPr>
          <w:cantSplit/>
        </w:trPr>
        <w:tc>
          <w:tcPr>
            <w:tcW w:w="1449"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IG [19]</w:t>
            </w:r>
          </w:p>
        </w:tc>
        <w:tc>
          <w:tcPr>
            <w:tcW w:w="25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Simple, principled attribution route</w:t>
            </w:r>
          </w:p>
        </w:tc>
        <w:tc>
          <w:tcPr>
            <w:tcW w:w="25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Not automatically causal; baseline-sensitive</w:t>
            </w:r>
          </w:p>
        </w:tc>
        <w:tc>
          <w:tcPr>
            <w:tcW w:w="2911"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Lightweight mask approximation; report stability</w:t>
            </w:r>
          </w:p>
        </w:tc>
      </w:tr>
      <w:tr>
        <w:trPr>
          <w:cantSplit/>
        </w:trPr>
        <w:tc>
          <w:tcPr>
            <w:tcW w:w="1449"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TOFU/MUSE [10], [11]</w:t>
            </w:r>
          </w:p>
        </w:tc>
        <w:tc>
          <w:tcPr>
            <w:tcW w:w="25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Controlled and real-data evaluation</w:t>
            </w:r>
          </w:p>
        </w:tc>
        <w:tc>
          <w:tcPr>
            <w:tcW w:w="25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TOFU is synthetic; MUSE is more expensive</w:t>
            </w:r>
          </w:p>
        </w:tc>
        <w:tc>
          <w:tcPr>
            <w:tcW w:w="2911"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TOFU primary, MUSE-News secondary</w:t>
            </w:r>
          </w:p>
        </w:tc>
      </w:tr>
      <w:tr>
        <w:trPr>
          <w:cantSplit/>
        </w:trPr>
        <w:tc>
          <w:tcPr>
            <w:tcW w:w="1449"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FADE/belief audits [12], [13]</w:t>
            </w:r>
          </w:p>
        </w:tc>
        <w:tc>
          <w:tcPr>
            <w:tcW w:w="25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Detects distributional and semantic residuals</w:t>
            </w:r>
          </w:p>
        </w:tc>
        <w:tc>
          <w:tcPr>
            <w:tcW w:w="25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Added generation/evaluation cost</w:t>
            </w:r>
          </w:p>
        </w:tc>
        <w:tc>
          <w:tcPr>
            <w:tcW w:w="2911"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Strengthens verification beyond reference overlap</w:t>
            </w:r>
          </w:p>
        </w:tc>
      </w:tr>
    </w:tbl>
    <w:p>
      <w:pPr>
        <w:pStyle w:val="Heading1"/>
        <w:keepNext w:val="true"/>
        <w:pageBreakBefore w:val="false"/>
        <w:rPr/>
      </w:pPr>
      <w:r>
        <w:rPr>
          <w:rFonts w:eastAsia="Times New Roman" w:ascii="Times New Roman" w:hAnsi="Times New Roman"/>
          <w:b/>
          <w:color w:val="111111"/>
          <w:sz w:val="32"/>
        </w:rPr>
        <w:t>2.10 Pakistan and regional evidence</w:t>
      </w:r>
    </w:p>
    <w:p>
      <w:pPr>
        <w:pStyle w:val="Normal"/>
        <w:keepLines w:val="false"/>
        <w:spacing w:lineRule="auto" w:line="360" w:before="0" w:after="160"/>
        <w:jc w:val="both"/>
        <w:rPr/>
      </w:pPr>
      <w:r>
        <w:rPr>
          <w:rFonts w:eastAsia="Times New Roman"/>
          <w:color w:val="111111"/>
          <w:sz w:val="24"/>
        </w:rPr>
        <w:t>Ali’s NED University paper is the most directly relevant Pakistan contribution [7]. It evaluates pure gradient ascent, retain-regularised gradient ascent, and IDK-style supervised refusal inside a 4-bit LoRA LLaMA-3-8B pipeline, using TOFU, a Min-k% membership inference attack, and three seeds. The study’s strongest contribution is evaluative: methods that look similar on answer overlap can have qualitatively different privacy, utility, and generation behaviour. Its limitation for the present thesis is that it studies unlearning carried out inside a 4-bit pipeline rather than primarily testing whether a BF16 edit survives a later INT4 conversion.</w:t>
      </w:r>
    </w:p>
    <w:p>
      <w:pPr>
        <w:pStyle w:val="Normal"/>
        <w:keepLines w:val="false"/>
        <w:spacing w:lineRule="auto" w:line="360" w:before="0" w:after="160"/>
        <w:jc w:val="both"/>
        <w:rPr/>
      </w:pPr>
      <w:r>
        <w:rPr>
          <w:rFonts w:eastAsia="Times New Roman"/>
          <w:color w:val="111111"/>
          <w:sz w:val="24"/>
        </w:rPr>
        <w:t>Ahmad’s LUMS study examines how Newton-step certified unlearning affects adversarial robustness in classical models [21]. The official implementation reports large reductions in adversarial accuracy under certified-removal noise and sensitivity to deletion order. It is not an LLM or quantisation paper, but it supports a transferable principle: deletion guarantees and operational robustness are separate objectives, and an unlearning update can create a new attack surface.</w:t>
      </w:r>
    </w:p>
    <w:p>
      <w:pPr>
        <w:pStyle w:val="Normal"/>
        <w:keepLines w:val="false"/>
        <w:spacing w:lineRule="auto" w:line="360" w:before="0" w:after="160"/>
        <w:jc w:val="both"/>
        <w:rPr/>
      </w:pPr>
      <w:r>
        <w:rPr>
          <w:rFonts w:eastAsia="Times New Roman"/>
          <w:color w:val="111111"/>
          <w:sz w:val="24"/>
        </w:rPr>
        <w:t>Ali et al. from COMSATS and FAST compare machine-unlearning approaches, including fine-tuning, retraining, noise, and SCRUB, mainly in conventional image-model settings [22]. The paper is useful for national context and for the general accuracy–forgetting trade-off, but it should not be used to support technical claims about NPO, NF4, QAT, or LLMs. No additional Pakistan paper located by the cutoff matched the full intersection of LLM unlearning, post-training quantisation, and QRA. The reduced national proportion is therefore a relevance decision, not an omission.</w:t>
      </w:r>
    </w:p>
    <w:p>
      <w:pPr>
        <w:pStyle w:val="Heading1"/>
        <w:keepNext w:val="true"/>
        <w:pageBreakBefore w:val="false"/>
        <w:rPr/>
      </w:pPr>
      <w:r>
        <w:rPr>
          <w:rFonts w:eastAsia="Times New Roman" w:ascii="Times New Roman" w:hAnsi="Times New Roman"/>
          <w:b/>
          <w:color w:val="111111"/>
          <w:sz w:val="32"/>
        </w:rPr>
        <w:t>2.11 Research gap and defensible positioning</w:t>
      </w:r>
    </w:p>
    <w:p>
      <w:pPr>
        <w:pStyle w:val="Normal"/>
        <w:keepLines w:val="false"/>
        <w:spacing w:lineRule="auto" w:line="360" w:before="0" w:after="160"/>
        <w:jc w:val="both"/>
        <w:rPr/>
      </w:pPr>
      <w:r>
        <w:rPr>
          <w:rFonts w:eastAsia="Times New Roman"/>
          <w:color w:val="111111"/>
          <w:sz w:val="24"/>
        </w:rPr>
        <w:t>The literature no longer supports broad novelty claims such as ‘the first study of quantisation recovery,’ ‘the first quantisation-aware unlearning method,’ or ‘the first attribution-based durable unlearning method.’ Those spaces are occupied respectively by Catastrophic Failure [1], multiple 2026 countermeasures [2]–[6], and MANSU [4]. A thesis using such wording would be vulnerable during evaluation.</w:t>
      </w:r>
    </w:p>
    <w:p>
      <w:pPr>
        <w:pStyle w:val="Normal"/>
        <w:keepLines w:val="false"/>
        <w:spacing w:lineRule="auto" w:line="360" w:before="0" w:after="160"/>
        <w:jc w:val="both"/>
        <w:rPr/>
      </w:pPr>
      <w:r>
        <w:rPr>
          <w:rFonts w:eastAsia="Times New Roman"/>
          <w:color w:val="111111"/>
          <w:sz w:val="24"/>
        </w:rPr>
        <w:t>A defensible gap remains at the intersection of four constraints: a small instruction-tuned model; a consumer/student compute budget below 16 GB; a controlled integration of NPO, Ssiuu-style attribution regularisation, and fake-quantisation training; and ablation-based verification at BF16, INT8, and INT4. None of the sixteen principal studies evaluates this exact combination and resource envelope. The contribution is therefore integration science: determining whether two distinct robustness mechanisms—faithfulness under relearning and permanence under quantisation—are complementary, redundant, or antagonistic when implemented with resource-efficient adapters.</w:t>
      </w:r>
    </w:p>
    <w:tbl>
      <w:tblPr>
        <w:tblW w:w="9360" w:type="dxa"/>
        <w:jc w:val="start"/>
        <w:tblInd w:w="120" w:type="dxa"/>
        <w:tblLayout w:type="fixed"/>
        <w:tblCellMar>
          <w:top w:w="80" w:type="dxa"/>
          <w:start w:w="120" w:type="dxa"/>
          <w:bottom w:w="80" w:type="dxa"/>
          <w:end w:w="120" w:type="dxa"/>
        </w:tblCellMar>
        <w:tblLook w:noHBand="0" w:noVBand="1" w:firstColumn="1" w:lastRow="0" w:lastColumn="0" w:firstRow="1" w:val="04a0"/>
      </w:tblPr>
      <w:tblGrid>
        <w:gridCol w:w="2000"/>
        <w:gridCol w:w="7360"/>
      </w:tblGrid>
      <w:tr>
        <w:trPr>
          <w:tblHeader w:val="true"/>
          <w:cantSplit/>
        </w:trPr>
        <w:tc>
          <w:tcPr>
            <w:tcW w:w="2000" w:type="dxa"/>
            <w:tcBorders>
              <w:top w:val="single" w:sz="4" w:space="0" w:color="E2E7ED"/>
              <w:start w:val="single" w:sz="4" w:space="0" w:color="E2E7ED"/>
              <w:bottom w:val="single" w:sz="4" w:space="0" w:color="E2E7ED"/>
              <w:end w:val="single" w:sz="4" w:space="0" w:color="E2E7ED"/>
            </w:tcBorders>
            <w:shd w:fill="F3F4F6" w:val="clear"/>
          </w:tcPr>
          <w:p>
            <w:pPr>
              <w:pStyle w:val="TableText"/>
              <w:spacing w:lineRule="auto" w:line="240" w:before="0" w:after="40"/>
              <w:jc w:val="start"/>
              <w:rPr/>
            </w:pPr>
            <w:r>
              <w:rPr>
                <w:rFonts w:eastAsia="Times New Roman"/>
                <w:b/>
                <w:color w:val="111111"/>
                <w:sz w:val="17"/>
              </w:rPr>
              <w:t>Position</w:t>
            </w:r>
          </w:p>
        </w:tc>
        <w:tc>
          <w:tcPr>
            <w:tcW w:w="7360" w:type="dxa"/>
            <w:tcBorders>
              <w:top w:val="single" w:sz="4" w:space="0" w:color="E2E7ED"/>
              <w:start w:val="single" w:sz="4" w:space="0" w:color="E2E7ED"/>
              <w:bottom w:val="single" w:sz="4" w:space="0" w:color="E2E7ED"/>
              <w:end w:val="single" w:sz="4" w:space="0" w:color="E2E7ED"/>
            </w:tcBorders>
            <w:shd w:fill="F3F4F6" w:val="clear"/>
          </w:tcPr>
          <w:p>
            <w:pPr>
              <w:pStyle w:val="TableText"/>
              <w:spacing w:lineRule="auto" w:line="240" w:before="0" w:after="40"/>
              <w:jc w:val="start"/>
              <w:rPr/>
            </w:pPr>
            <w:r>
              <w:rPr>
                <w:rFonts w:eastAsia="Times New Roman"/>
                <w:b/>
                <w:color w:val="111111"/>
                <w:sz w:val="17"/>
              </w:rPr>
              <w:t>Thesis wording / question</w:t>
            </w:r>
          </w:p>
        </w:tc>
      </w:tr>
      <w:tr>
        <w:trPr>
          <w:cantSplit/>
        </w:trPr>
        <w:tc>
          <w:tcPr>
            <w:tcW w:w="20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Defensible claim</w:t>
            </w:r>
          </w:p>
        </w:tc>
        <w:tc>
          <w:tcPr>
            <w:tcW w:w="736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A resource-bounded integration and ablation of NPO + Ssiuu-style attribution regularisation + FQ-QAT on a 1B LLM, evaluated across deployment precisions.</w:t>
            </w:r>
          </w:p>
        </w:tc>
      </w:tr>
      <w:tr>
        <w:trPr>
          <w:cantSplit/>
        </w:trPr>
        <w:tc>
          <w:tcPr>
            <w:tcW w:w="20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Defensible claim</w:t>
            </w:r>
          </w:p>
        </w:tc>
        <w:tc>
          <w:tcPr>
            <w:tcW w:w="736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An empirical durability protocol and reproducible toolkit for a clearly specified NF4/INT4 merge path.</w:t>
            </w:r>
          </w:p>
        </w:tc>
      </w:tr>
      <w:tr>
        <w:trPr>
          <w:cantSplit/>
        </w:trPr>
        <w:tc>
          <w:tcPr>
            <w:tcW w:w="20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Do not claim</w:t>
            </w:r>
          </w:p>
        </w:tc>
        <w:tc>
          <w:tcPr>
            <w:tcW w:w="736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Discovery of QRA, first quantisation-aware unlearning, formal certified unlearning, or proof of GDPR compliance.</w:t>
            </w:r>
          </w:p>
        </w:tc>
      </w:tr>
      <w:tr>
        <w:trPr>
          <w:cantSplit/>
        </w:trPr>
        <w:tc>
          <w:tcPr>
            <w:tcW w:w="20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Open technical question</w:t>
            </w:r>
          </w:p>
        </w:tc>
        <w:tc>
          <w:tcPr>
            <w:tcW w:w="736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Does the attribution regulariser improve INT4 durability, or does only the quantisation-aware term create the effect?</w:t>
            </w:r>
          </w:p>
        </w:tc>
      </w:tr>
      <w:tr>
        <w:trPr>
          <w:cantSplit/>
        </w:trPr>
        <w:tc>
          <w:tcPr>
            <w:tcW w:w="20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Open technical question</w:t>
            </w:r>
          </w:p>
        </w:tc>
        <w:tc>
          <w:tcPr>
            <w:tcW w:w="736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Does fake quantisation at adapter output transfer to the merged-weight deployment quantiser?</w:t>
            </w:r>
          </w:p>
        </w:tc>
      </w:tr>
      <w:tr>
        <w:trPr>
          <w:cantSplit/>
        </w:trPr>
        <w:tc>
          <w:tcPr>
            <w:tcW w:w="200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Open evaluation question</w:t>
            </w:r>
          </w:p>
        </w:tc>
        <w:tc>
          <w:tcPr>
            <w:tcW w:w="7360"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Does low post-4-bit forget accuracy (Q-INT4 in DurableUn's definition) coincide with retained utility, privacy, distributional alignment, and non-fabricating outputs?</w:t>
            </w:r>
          </w:p>
        </w:tc>
      </w:tr>
    </w:tbl>
    <w:p>
      <w:pPr>
        <w:pStyle w:val="Heading1"/>
        <w:keepNext w:val="true"/>
        <w:pageBreakBefore w:val="false"/>
        <w:rPr/>
      </w:pPr>
      <w:r>
        <w:rPr>
          <w:rFonts w:eastAsia="Times New Roman" w:ascii="Times New Roman" w:hAnsi="Times New Roman"/>
          <w:b/>
          <w:color w:val="111111"/>
          <w:sz w:val="32"/>
        </w:rPr>
        <w:t>2.12 Literature-derived requirements for Chapter 3</w:t>
      </w:r>
    </w:p>
    <w:p>
      <w:pPr>
        <w:pStyle w:val="Normal"/>
        <w:keepLines w:val="false"/>
        <w:spacing w:lineRule="auto" w:line="360" w:before="0" w:after="160"/>
        <w:jc w:val="both"/>
        <w:rPr/>
      </w:pPr>
      <w:r>
        <w:rPr>
          <w:rFonts w:eastAsia="Times New Roman"/>
          <w:color w:val="111111"/>
          <w:sz w:val="24"/>
        </w:rPr>
        <w:t>The literature leads to concrete methodology requirements. These requirements do not replace Chapter 3; they specify the minimum controls needed for the proposed method to answer the gap identified above.</w:t>
      </w:r>
    </w:p>
    <w:tbl>
      <w:tblPr>
        <w:tblW w:w="9360" w:type="dxa"/>
        <w:jc w:val="start"/>
        <w:tblInd w:w="120" w:type="dxa"/>
        <w:tblLayout w:type="fixed"/>
        <w:tblCellMar>
          <w:top w:w="80" w:type="dxa"/>
          <w:start w:w="120" w:type="dxa"/>
          <w:bottom w:w="80" w:type="dxa"/>
          <w:end w:w="120" w:type="dxa"/>
        </w:tblCellMar>
        <w:tblLook w:noHBand="0" w:noVBand="1" w:firstColumn="1" w:lastRow="0" w:lastColumn="0" w:firstRow="1" w:val="04a0"/>
      </w:tblPr>
      <w:tblGrid>
        <w:gridCol w:w="2049"/>
        <w:gridCol w:w="7311"/>
      </w:tblGrid>
      <w:tr>
        <w:trPr>
          <w:tblHeader w:val="true"/>
          <w:cantSplit/>
        </w:trPr>
        <w:tc>
          <w:tcPr>
            <w:tcW w:w="2049" w:type="dxa"/>
            <w:tcBorders>
              <w:top w:val="single" w:sz="4" w:space="0" w:color="E2E7ED"/>
              <w:start w:val="single" w:sz="4" w:space="0" w:color="E2E7ED"/>
              <w:bottom w:val="single" w:sz="4" w:space="0" w:color="E2E7ED"/>
              <w:end w:val="single" w:sz="4" w:space="0" w:color="E2E7ED"/>
            </w:tcBorders>
            <w:shd w:fill="F3F4F6" w:val="clear"/>
          </w:tcPr>
          <w:p>
            <w:pPr>
              <w:pStyle w:val="TableText"/>
              <w:spacing w:lineRule="auto" w:line="240" w:before="0" w:after="40"/>
              <w:jc w:val="start"/>
              <w:rPr/>
            </w:pPr>
            <w:r>
              <w:rPr>
                <w:rFonts w:eastAsia="Times New Roman"/>
                <w:b/>
                <w:color w:val="111111"/>
                <w:sz w:val="17"/>
              </w:rPr>
              <w:t>Requirement</w:t>
            </w:r>
          </w:p>
        </w:tc>
        <w:tc>
          <w:tcPr>
            <w:tcW w:w="7311" w:type="dxa"/>
            <w:tcBorders>
              <w:top w:val="single" w:sz="4" w:space="0" w:color="E2E7ED"/>
              <w:start w:val="single" w:sz="4" w:space="0" w:color="E2E7ED"/>
              <w:bottom w:val="single" w:sz="4" w:space="0" w:color="E2E7ED"/>
              <w:end w:val="single" w:sz="4" w:space="0" w:color="E2E7ED"/>
            </w:tcBorders>
            <w:shd w:fill="F3F4F6" w:val="clear"/>
          </w:tcPr>
          <w:p>
            <w:pPr>
              <w:pStyle w:val="TableText"/>
              <w:spacing w:lineRule="auto" w:line="240" w:before="0" w:after="40"/>
              <w:jc w:val="start"/>
              <w:rPr/>
            </w:pPr>
            <w:r>
              <w:rPr>
                <w:rFonts w:eastAsia="Times New Roman"/>
                <w:b/>
                <w:color w:val="111111"/>
                <w:sz w:val="17"/>
              </w:rPr>
              <w:t>Operational consequence</w:t>
            </w:r>
          </w:p>
        </w:tc>
      </w:tr>
      <w:tr>
        <w:trPr>
          <w:cantSplit/>
        </w:trPr>
        <w:tc>
          <w:tcPr>
            <w:tcW w:w="2049"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Define model states</w:t>
            </w:r>
          </w:p>
        </w:tc>
        <w:tc>
          <w:tcPr>
            <w:tcW w:w="7311"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Separate the original target model, the full-precision unlearned state, the merged effective checkpoint, and each quantised deployment state.</w:t>
            </w:r>
          </w:p>
        </w:tc>
      </w:tr>
      <w:tr>
        <w:trPr>
          <w:cantSplit/>
        </w:trPr>
        <w:tc>
          <w:tcPr>
            <w:tcW w:w="2049"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Match the deployment quantiser</w:t>
            </w:r>
          </w:p>
        </w:tc>
        <w:tc>
          <w:tcPr>
            <w:tcW w:w="7311"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Use the same NF4/INT4 codebook, grouping, scaling, and adapter merge order in training simulation and final audit; include a mismatch experiment if feasible.</w:t>
            </w:r>
          </w:p>
        </w:tc>
      </w:tr>
      <w:tr>
        <w:trPr>
          <w:cantSplit/>
        </w:trPr>
        <w:tc>
          <w:tcPr>
            <w:tcW w:w="2049"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Use component ablations</w:t>
            </w:r>
          </w:p>
        </w:tc>
        <w:tc>
          <w:tcPr>
            <w:tcW w:w="7311"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At minimum: NPO; NPO + attribution regularisation; NPO + FQ; full FQ-SSIUU. Add SURE/large-LR saliency and a published direct countermeasure where compute allows.</w:t>
            </w:r>
          </w:p>
        </w:tc>
      </w:tr>
      <w:tr>
        <w:trPr>
          <w:cantSplit/>
        </w:trPr>
        <w:tc>
          <w:tcPr>
            <w:tcW w:w="2049"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Preserve a gold reference</w:t>
            </w:r>
          </w:p>
        </w:tc>
        <w:tc>
          <w:tcPr>
            <w:tcW w:w="7311"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Use the TOFU retain-only/retrained reference supplied by the benchmark or a documented approximation; do not define success only relative to the target model.</w:t>
            </w:r>
          </w:p>
        </w:tc>
      </w:tr>
      <w:tr>
        <w:trPr>
          <w:cantSplit/>
        </w:trPr>
        <w:tc>
          <w:tcPr>
            <w:tcW w:w="2049"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Audit three precisions</w:t>
            </w:r>
          </w:p>
        </w:tc>
        <w:tc>
          <w:tcPr>
            <w:tcW w:w="7311"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Report the same forget, retain, privacy, and generation measures at BF16, INT8, and INT4. Report PTQ gaps rather than only post-INT4 values.</w:t>
            </w:r>
          </w:p>
        </w:tc>
      </w:tr>
      <w:tr>
        <w:trPr>
          <w:cantSplit/>
        </w:trPr>
        <w:tc>
          <w:tcPr>
            <w:tcW w:w="2049"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Use three seeds</w:t>
            </w:r>
          </w:p>
        </w:tc>
        <w:tc>
          <w:tcPr>
            <w:tcW w:w="7311"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Pre-register seeds, aggregate mean and dispersion, and bootstrap confidence intervals where metric distributions permit.</w:t>
            </w:r>
          </w:p>
        </w:tc>
      </w:tr>
      <w:tr>
        <w:trPr>
          <w:cantSplit/>
        </w:trPr>
        <w:tc>
          <w:tcPr>
            <w:tcW w:w="2049"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Separate forgetting from failure</w:t>
            </w:r>
          </w:p>
        </w:tc>
        <w:tc>
          <w:tcPr>
            <w:tcW w:w="7311"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Reject configurations that achieve low forget scores by collapsing retain/general utility, emitting gibberish, or refusing/fabricating indiscriminately.</w:t>
            </w:r>
          </w:p>
        </w:tc>
      </w:tr>
      <w:tr>
        <w:trPr>
          <w:cantSplit/>
        </w:trPr>
        <w:tc>
          <w:tcPr>
            <w:tcW w:w="2049"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Use multiple evidence layers</w:t>
            </w:r>
          </w:p>
        </w:tc>
        <w:tc>
          <w:tcPr>
            <w:tcW w:w="7311"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Combine TOFU forget quality, retain/general utility, Min-k% MIA, generation audit, FADE if feasible, and attribution-mask stability.</w:t>
            </w:r>
          </w:p>
        </w:tc>
      </w:tr>
      <w:tr>
        <w:trPr>
          <w:cantSplit/>
        </w:trPr>
        <w:tc>
          <w:tcPr>
            <w:tcW w:w="2049"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Name the certificate correctly</w:t>
            </w:r>
          </w:p>
        </w:tc>
        <w:tc>
          <w:tcPr>
            <w:tcW w:w="7311"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An empirical threshold across a finite precision set is a durability test certificate, not a mathematical or legal guarantee.</w:t>
            </w:r>
          </w:p>
        </w:tc>
      </w:tr>
      <w:tr>
        <w:trPr>
          <w:cantSplit/>
        </w:trPr>
        <w:tc>
          <w:tcPr>
            <w:tcW w:w="2049"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Report compute</w:t>
            </w:r>
          </w:p>
        </w:tc>
        <w:tc>
          <w:tcPr>
            <w:tcW w:w="7311" w:type="dxa"/>
            <w:tcBorders>
              <w:top w:val="single" w:sz="4" w:space="0" w:color="E2E7ED"/>
              <w:start w:val="single" w:sz="4" w:space="0" w:color="E2E7ED"/>
              <w:bottom w:val="single" w:sz="4" w:space="0" w:color="E2E7ED"/>
              <w:end w:val="single" w:sz="4" w:space="0" w:color="E2E7ED"/>
            </w:tcBorders>
          </w:tcPr>
          <w:p>
            <w:pPr>
              <w:pStyle w:val="TableText"/>
              <w:spacing w:lineRule="auto" w:line="240" w:before="0" w:after="40"/>
              <w:jc w:val="start"/>
              <w:rPr/>
            </w:pPr>
            <w:r>
              <w:rPr>
                <w:rFonts w:eastAsia="Times New Roman"/>
                <w:b w:val="false"/>
                <w:color w:val="111111"/>
                <w:sz w:val="17"/>
              </w:rPr>
              <w:t>Record peak VRAM, wall-clock time, sequence length, LoRA rank, trainable parameter count, and attribution cost so the resource-bounded contribution is verifiable.</w:t>
            </w:r>
          </w:p>
        </w:tc>
      </w:tr>
    </w:tbl>
    <w:p>
      <w:pPr>
        <w:pStyle w:val="Heading1"/>
        <w:keepNext w:val="true"/>
        <w:pageBreakBefore w:val="false"/>
        <w:rPr/>
      </w:pPr>
      <w:r>
        <w:rPr>
          <w:rFonts w:eastAsia="Times New Roman" w:ascii="Times New Roman" w:hAnsi="Times New Roman"/>
          <w:b/>
          <w:color w:val="111111"/>
          <w:sz w:val="32"/>
        </w:rPr>
        <w:t>2.13 Proposed research questions and hypotheses</w:t>
      </w:r>
    </w:p>
    <w:p>
      <w:pPr>
        <w:pStyle w:val="Normal"/>
        <w:keepLines w:val="false"/>
        <w:spacing w:lineRule="auto" w:line="360" w:before="0" w:after="160"/>
        <w:jc w:val="both"/>
        <w:rPr/>
      </w:pPr>
      <w:r>
        <w:rPr>
          <w:rFonts w:eastAsia="Times New Roman"/>
          <w:color w:val="111111"/>
          <w:sz w:val="24"/>
        </w:rPr>
        <w:t>The following thesis-level questions and testable hypotheses follow directly from the reviewed evidence and are consistent with Plan C.</w:t>
      </w:r>
    </w:p>
    <w:p>
      <w:pPr>
        <w:pStyle w:val="Normal"/>
        <w:numPr>
          <w:ilvl w:val="0"/>
          <w:numId w:val="7"/>
        </w:numPr>
        <w:spacing w:lineRule="auto" w:line="360" w:before="0" w:after="120"/>
        <w:rPr/>
      </w:pPr>
      <w:r>
        <w:rPr>
          <w:rFonts w:eastAsia="Times New Roman"/>
          <w:color w:val="111111"/>
          <w:sz w:val="24"/>
        </w:rPr>
        <w:t>Project RQ1: To what extent does deployment quantisation recover TOFU forget05 knowledge after NPO on Llama-3.2-1B-Instruct, using a directional memorisation measure rather than an unsigned change in Forget Quality?</w:t>
      </w:r>
    </w:p>
    <w:p>
      <w:pPr>
        <w:pStyle w:val="Normal"/>
        <w:numPr>
          <w:ilvl w:val="0"/>
          <w:numId w:val="7"/>
        </w:numPr>
        <w:spacing w:lineRule="auto" w:line="360" w:before="0" w:after="80"/>
        <w:rPr/>
      </w:pPr>
      <w:r>
        <w:rPr>
          <w:rFonts w:eastAsia="Times New Roman"/>
          <w:color w:val="111111"/>
          <w:sz w:val="24"/>
        </w:rPr>
        <w:t>Project RQ2: Does Ssiuu-style attribution regularisation reduce spurious suppression and improve robustness to benign/adversarial relearning?</w:t>
      </w:r>
    </w:p>
    <w:p>
      <w:pPr>
        <w:pStyle w:val="Normal"/>
        <w:numPr>
          <w:ilvl w:val="0"/>
          <w:numId w:val="7"/>
        </w:numPr>
        <w:spacing w:lineRule="auto" w:line="360" w:before="0" w:after="80"/>
        <w:rPr/>
      </w:pPr>
      <w:r>
        <w:rPr>
          <w:rFonts w:eastAsia="Times New Roman"/>
          <w:color w:val="111111"/>
          <w:sz w:val="24"/>
        </w:rPr>
        <w:t>Project RQ3: Does fake-quantisation-aware optimisation reduce the BF16-to-INT4 recovery gap without unacceptable retained-utility loss?</w:t>
      </w:r>
    </w:p>
    <w:p>
      <w:pPr>
        <w:pStyle w:val="Normal"/>
        <w:numPr>
          <w:ilvl w:val="0"/>
          <w:numId w:val="7"/>
        </w:numPr>
        <w:spacing w:lineRule="auto" w:line="360" w:before="0" w:after="80"/>
        <w:rPr/>
      </w:pPr>
      <w:r>
        <w:rPr>
          <w:rFonts w:eastAsia="Times New Roman"/>
          <w:color w:val="111111"/>
          <w:sz w:val="24"/>
        </w:rPr>
        <w:t>Project RQ4: Does the full combination outperform each component and direct quantisation-aware baselines on a multi-objective Pareto frontier?</w:t>
      </w:r>
    </w:p>
    <w:p>
      <w:pPr>
        <w:pStyle w:val="Normal"/>
        <w:numPr>
          <w:ilvl w:val="0"/>
          <w:numId w:val="7"/>
        </w:numPr>
        <w:spacing w:lineRule="auto" w:line="360" w:before="0" w:after="120"/>
        <w:rPr/>
      </w:pPr>
      <w:r>
        <w:rPr>
          <w:rFonts w:eastAsia="Times New Roman"/>
          <w:color w:val="111111"/>
          <w:sz w:val="24"/>
        </w:rPr>
        <w:t>H1: NPO plus deployment-matched FQ will produce less directional 4-bit recovery than NPO at matched retained utility.</w:t>
      </w:r>
    </w:p>
    <w:p>
      <w:pPr>
        <w:pStyle w:val="Normal"/>
        <w:numPr>
          <w:ilvl w:val="0"/>
          <w:numId w:val="7"/>
        </w:numPr>
        <w:spacing w:lineRule="auto" w:line="360" w:before="0" w:after="80"/>
        <w:rPr/>
      </w:pPr>
      <w:r>
        <w:rPr>
          <w:rFonts w:eastAsia="Times New Roman"/>
          <w:color w:val="111111"/>
          <w:sz w:val="24"/>
        </w:rPr>
        <w:t>H2: NPO + attribution regularisation will improve relearning robustness and generation faithfulness but will not necessarily improve QRA resistance.</w:t>
      </w:r>
    </w:p>
    <w:p>
      <w:pPr>
        <w:pStyle w:val="Normal"/>
        <w:numPr>
          <w:ilvl w:val="0"/>
          <w:numId w:val="7"/>
        </w:numPr>
        <w:spacing w:lineRule="auto" w:line="360" w:before="0" w:after="120"/>
        <w:rPr/>
      </w:pPr>
      <w:r>
        <w:rPr>
          <w:rFonts w:eastAsia="Times New Roman"/>
          <w:color w:val="111111"/>
          <w:sz w:val="24"/>
        </w:rPr>
        <w:t>H3: The full combination will outperform either pair only if the attribution penalty is differentiable and attribution selection and fake quantisation act on the deployed effective parameters.</w:t>
      </w:r>
    </w:p>
    <w:p>
      <w:pPr>
        <w:pStyle w:val="Normal"/>
        <w:numPr>
          <w:ilvl w:val="0"/>
          <w:numId w:val="7"/>
        </w:numPr>
        <w:spacing w:lineRule="auto" w:line="360" w:before="0" w:after="80"/>
        <w:rPr/>
      </w:pPr>
      <w:r>
        <w:rPr>
          <w:rFonts w:eastAsia="Times New Roman"/>
          <w:color w:val="111111"/>
          <w:sz w:val="24"/>
        </w:rPr>
        <w:t>H4: Any claimed gain will be quantiser-dependent; robustness to the training simulator will exceed transfer to an unseen quantiser.</w:t>
      </w:r>
    </w:p>
    <w:p>
      <w:pPr>
        <w:pStyle w:val="Heading1"/>
        <w:keepNext w:val="true"/>
        <w:pageBreakBefore w:val="false"/>
        <w:rPr/>
      </w:pPr>
      <w:r>
        <w:rPr>
          <w:rFonts w:eastAsia="Times New Roman" w:ascii="Times New Roman" w:hAnsi="Times New Roman"/>
          <w:b/>
          <w:color w:val="111111"/>
          <w:sz w:val="32"/>
        </w:rPr>
        <w:t>2.14 Chapter summary</w:t>
      </w:r>
    </w:p>
    <w:p>
      <w:pPr>
        <w:pStyle w:val="Normal"/>
        <w:keepLines w:val="false"/>
        <w:spacing w:lineRule="auto" w:line="360" w:before="0" w:after="160"/>
        <w:jc w:val="both"/>
        <w:rPr/>
      </w:pPr>
      <w:r>
        <w:rPr>
          <w:rFonts w:eastAsia="Times New Roman"/>
          <w:color w:val="111111"/>
          <w:sz w:val="24"/>
        </w:rPr>
        <w:t>The literature establishes quantisation recovery as a reproducible deployment failure: conservative, utility-preserving unlearning updates can disappear when mapped to 4-bit representations [1], [3]–[6]. Current remedies fall into five overlapping families: larger targeted updates, critical-layer or circuit localisation, explicit bin or logit margins, low-rank concentration, and QAT/STE optimisation. No single reviewed approach provides independently replicated evidence of strong forgetting, high retained utility, privacy protection, distributional faithfulness, and broad low-bit permanence on difficult real data.</w:t>
      </w:r>
    </w:p>
    <w:p>
      <w:pPr>
        <w:pStyle w:val="Normal"/>
        <w:keepLines w:val="false"/>
        <w:spacing w:lineRule="auto" w:line="360" w:before="0" w:after="160"/>
        <w:jc w:val="both"/>
        <w:rPr/>
      </w:pPr>
      <w:r>
        <w:rPr>
          <w:rFonts w:eastAsia="Times New Roman"/>
          <w:color w:val="111111"/>
          <w:sz w:val="24"/>
        </w:rPr>
        <w:t>NPO remains an appropriate base objective because it avoids the catastrophic collapse of simple gradient ascent [8]. Ssiuu contributes a distinct defence against shallow, relearnable suppression [9]. FQ-QAT contributes an explicit deployment-aware gradient path [3], [14], [20]. Their combination is therefore theoretically motivated, but the synergy is not established by prior work. The thesis contribution should be a rigorous, resource-bounded integration and ablation study, with exact quantisation semantics and a multi-layer verification protocol. This framing is current, defensible, and aligned with the project’s real constraints.</w:t>
      </w:r>
      <w:r>
        <w:br w:type="page"/>
      </w:r>
    </w:p>
    <w:p>
      <w:pPr>
        <w:pStyle w:val="Heading1"/>
        <w:keepNext w:val="true"/>
        <w:rPr/>
      </w:pPr>
      <w:r>
        <w:rPr>
          <w:rFonts w:eastAsia="Times New Roman" w:ascii="Times New Roman" w:hAnsi="Times New Roman"/>
          <w:b/>
          <w:color w:val="111111"/>
          <w:sz w:val="32"/>
        </w:rPr>
        <w:t>CHAPTER 3 — RESEARCH METHODOLOGY</w:t>
      </w:r>
    </w:p>
    <w:p>
      <w:pPr>
        <w:pStyle w:val="Heading2"/>
        <w:keepNext w:val="true"/>
        <w:pageBreakBefore w:val="false"/>
        <w:rPr/>
      </w:pPr>
      <w:r>
        <w:rPr>
          <w:rFonts w:eastAsia="Times New Roman" w:ascii="Times New Roman" w:hAnsi="Times New Roman"/>
          <w:b/>
          <w:color w:val="111111"/>
          <w:sz w:val="27"/>
        </w:rPr>
        <w:t>3.1 Chapter purpose and research design</w:t>
      </w:r>
    </w:p>
    <w:p>
      <w:pPr>
        <w:pStyle w:val="Normal"/>
        <w:keepLines w:val="false"/>
        <w:spacing w:lineRule="auto" w:line="360" w:before="0" w:after="120"/>
        <w:jc w:val="both"/>
        <w:rPr/>
      </w:pPr>
      <w:r>
        <w:rPr>
          <w:rFonts w:eastAsia="Times New Roman"/>
          <w:i w:val="false"/>
          <w:color w:val="111111"/>
          <w:sz w:val="24"/>
        </w:rPr>
        <w:t>This chapter defines the methodology that will be used for the corrected main experiment and records what the completed pilots do and do not establish. The study is a quantitative, controlled, staged experiment with component ablations. It uses an engineering-validation phase before hypothesis testing because the research claim depends on the fidelity of the attribution gradient, the location of fake quantisation, the adapter merge path, and the direction of each evaluation metric. Pilot observations are reported as feasibility and audit evidence; they are not pooled with the final experiment.</w:t>
      </w:r>
    </w:p>
    <w:p>
      <w:pPr>
        <w:pStyle w:val="Normal"/>
        <w:keepLines w:val="false"/>
        <w:spacing w:lineRule="auto" w:line="360" w:before="0" w:after="120"/>
        <w:jc w:val="both"/>
        <w:rPr/>
      </w:pPr>
      <w:r>
        <w:rPr>
          <w:rFonts w:eastAsia="Times New Roman"/>
          <w:i w:val="false"/>
          <w:color w:val="111111"/>
          <w:sz w:val="24"/>
        </w:rPr>
        <w:t>The unit of experimental comparison is a frozen combination of model checkpoint, dataset revision, condition, seed, optimiser configuration, quantisation path, and evaluator revision. Every reported result must be traceable to one such run record. The main analysis compares conditions within the same seed and evaluation split, then aggregates across at least three seeds. This paired design reduces variance caused by random initialisation and batch order.</w:t>
      </w:r>
    </w:p>
    <w:p>
      <w:pPr>
        <w:pStyle w:val="Heading2"/>
        <w:keepNext w:val="true"/>
        <w:pageBreakBefore w:val="false"/>
        <w:rPr/>
      </w:pPr>
      <w:r>
        <w:rPr>
          <w:rFonts w:eastAsia="Times New Roman" w:ascii="Times New Roman" w:hAnsi="Times New Roman"/>
          <w:b/>
          <w:color w:val="111111"/>
          <w:sz w:val="27"/>
        </w:rPr>
        <w:t>3.2 Threat model and operational definitions</w:t>
      </w:r>
    </w:p>
    <w:p>
      <w:pPr>
        <w:pStyle w:val="Heading3"/>
        <w:keepNext w:val="true"/>
        <w:pageBreakBefore w:val="false"/>
        <w:rPr/>
      </w:pPr>
      <w:r>
        <w:rPr>
          <w:rFonts w:eastAsia="Times New Roman" w:ascii="Times New Roman" w:hAnsi="Times New Roman"/>
          <w:b/>
          <w:color w:val="111111"/>
          <w:sz w:val="24"/>
        </w:rPr>
        <w:t>3.2.1 Adversary and deployment transformation</w:t>
      </w:r>
    </w:p>
    <w:p>
      <w:pPr>
        <w:pStyle w:val="Normal"/>
        <w:keepLines w:val="false"/>
        <w:spacing w:lineRule="auto" w:line="360" w:before="0" w:after="120"/>
        <w:jc w:val="both"/>
        <w:rPr/>
      </w:pPr>
      <w:r>
        <w:rPr>
          <w:rFonts w:eastAsia="Times New Roman"/>
          <w:i w:val="false"/>
          <w:color w:val="111111"/>
          <w:sz w:val="24"/>
        </w:rPr>
        <w:t>The adversary is assumed to possess or receive the unlearned checkpoint and to apply an ordinary, publicly available low-bit conversion. The attacker does not need the forget set, training gradients, or access to the original checkpoint. The core deployment transformation is a specified INT8 or 4-bit quantiser applied through a documented adapter merge order. An optional mismatch test uses a second quantiser not simulated during training. This threat model follows the practical concern raised by the direct QRA literature [1], [3]–[6].</w:t>
      </w:r>
    </w:p>
    <w:p>
      <w:pPr>
        <w:pStyle w:val="Heading3"/>
        <w:keepNext w:val="true"/>
        <w:pageBreakBefore w:val="false"/>
        <w:rPr/>
      </w:pPr>
      <w:r>
        <w:rPr>
          <w:rFonts w:eastAsia="Times New Roman" w:ascii="Times New Roman" w:hAnsi="Times New Roman"/>
          <w:b/>
          <w:color w:val="111111"/>
          <w:sz w:val="24"/>
        </w:rPr>
        <w:t>3.2.2 Required model states</w:t>
      </w:r>
    </w:p>
    <w:tbl>
      <w:tblPr>
        <w:tblW w:w="8600" w:type="dxa"/>
        <w:jc w:val="start"/>
        <w:tblInd w:w="95" w:type="dxa"/>
        <w:tblLayout w:type="fixed"/>
        <w:tblCellMar>
          <w:top w:w="70" w:type="dxa"/>
          <w:start w:w="100" w:type="dxa"/>
          <w:bottom w:w="70" w:type="dxa"/>
          <w:end w:w="100" w:type="dxa"/>
        </w:tblCellMar>
        <w:tblLook w:noHBand="0" w:noVBand="1" w:firstColumn="1" w:lastRow="0" w:lastColumn="0" w:firstRow="1" w:val="04a0"/>
      </w:tblPr>
      <w:tblGrid>
        <w:gridCol w:w="1050"/>
        <w:gridCol w:w="1849"/>
        <w:gridCol w:w="5701"/>
      </w:tblGrid>
      <w:tr>
        <w:trPr>
          <w:tblHeader w:val="true"/>
          <w:cantSplit/>
        </w:trPr>
        <w:tc>
          <w:tcPr>
            <w:tcW w:w="1050" w:type="dxa"/>
            <w:tcBorders>
              <w:top w:val="single" w:sz="4" w:space="0" w:color="C9CDD2"/>
              <w:start w:val="single" w:sz="4" w:space="0" w:color="C9CDD2"/>
              <w:bottom w:val="single" w:sz="4" w:space="0" w:color="C9CDD2"/>
              <w:end w:val="single" w:sz="4" w:space="0" w:color="C9CDD2"/>
            </w:tcBorders>
            <w:shd w:fill="F3F4F6" w:val="clear"/>
          </w:tcPr>
          <w:p>
            <w:pPr>
              <w:pStyle w:val="TableText"/>
              <w:spacing w:lineRule="auto" w:line="240" w:before="0" w:after="40"/>
              <w:jc w:val="start"/>
              <w:rPr/>
            </w:pPr>
            <w:r>
              <w:rPr>
                <w:rFonts w:eastAsia="Times New Roman"/>
                <w:b/>
                <w:color w:val="111111"/>
                <w:sz w:val="18"/>
              </w:rPr>
              <w:t>Symbol</w:t>
            </w:r>
          </w:p>
        </w:tc>
        <w:tc>
          <w:tcPr>
            <w:tcW w:w="1849" w:type="dxa"/>
            <w:tcBorders>
              <w:top w:val="single" w:sz="4" w:space="0" w:color="C9CDD2"/>
              <w:start w:val="single" w:sz="4" w:space="0" w:color="C9CDD2"/>
              <w:bottom w:val="single" w:sz="4" w:space="0" w:color="C9CDD2"/>
              <w:end w:val="single" w:sz="4" w:space="0" w:color="C9CDD2"/>
            </w:tcBorders>
            <w:shd w:fill="F3F4F6" w:val="clear"/>
          </w:tcPr>
          <w:p>
            <w:pPr>
              <w:pStyle w:val="TableText"/>
              <w:spacing w:lineRule="auto" w:line="240" w:before="0" w:after="40"/>
              <w:jc w:val="start"/>
              <w:rPr/>
            </w:pPr>
            <w:r>
              <w:rPr>
                <w:rFonts w:eastAsia="Times New Roman"/>
                <w:b/>
                <w:color w:val="111111"/>
                <w:sz w:val="18"/>
              </w:rPr>
              <w:t>State</w:t>
            </w:r>
          </w:p>
        </w:tc>
        <w:tc>
          <w:tcPr>
            <w:tcW w:w="5701" w:type="dxa"/>
            <w:tcBorders>
              <w:top w:val="single" w:sz="4" w:space="0" w:color="C9CDD2"/>
              <w:start w:val="single" w:sz="4" w:space="0" w:color="C9CDD2"/>
              <w:bottom w:val="single" w:sz="4" w:space="0" w:color="C9CDD2"/>
              <w:end w:val="single" w:sz="4" w:space="0" w:color="C9CDD2"/>
            </w:tcBorders>
            <w:shd w:fill="F3F4F6" w:val="clear"/>
          </w:tcPr>
          <w:p>
            <w:pPr>
              <w:pStyle w:val="TableText"/>
              <w:spacing w:lineRule="auto" w:line="240" w:before="0" w:after="40"/>
              <w:jc w:val="start"/>
              <w:rPr/>
            </w:pPr>
            <w:r>
              <w:rPr>
                <w:rFonts w:eastAsia="Times New Roman"/>
                <w:b/>
                <w:color w:val="111111"/>
                <w:sz w:val="18"/>
              </w:rPr>
              <w:t>Definition</w:t>
            </w:r>
          </w:p>
        </w:tc>
      </w:tr>
      <w:tr>
        <w:trPr>
          <w:cantSplit/>
        </w:trPr>
        <w:tc>
          <w:tcPr>
            <w:tcW w:w="105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M₀</w:t>
            </w:r>
          </w:p>
        </w:tc>
        <w:tc>
          <w:tcPr>
            <w:tcW w:w="184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Original target</w:t>
            </w:r>
          </w:p>
        </w:tc>
        <w:tc>
          <w:tcPr>
            <w:tcW w:w="570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The instruction-tuned model before unlearning.</w:t>
            </w:r>
          </w:p>
        </w:tc>
      </w:tr>
      <w:tr>
        <w:trPr>
          <w:cantSplit/>
        </w:trPr>
        <w:tc>
          <w:tcPr>
            <w:tcW w:w="105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Mᵣ</w:t>
            </w:r>
          </w:p>
        </w:tc>
        <w:tc>
          <w:tcPr>
            <w:tcW w:w="184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Retain-only oracle</w:t>
            </w:r>
          </w:p>
        </w:tc>
        <w:tc>
          <w:tcPr>
            <w:tcW w:w="570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The TOFU reference model/checkpoint or a documented approximation trained without the forget subset.</w:t>
            </w:r>
          </w:p>
        </w:tc>
      </w:tr>
      <w:tr>
        <w:trPr>
          <w:cantSplit/>
        </w:trPr>
        <w:tc>
          <w:tcPr>
            <w:tcW w:w="105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Mᵤ</w:t>
            </w:r>
          </w:p>
        </w:tc>
        <w:tc>
          <w:tcPr>
            <w:tcW w:w="184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Unlearned full precision</w:t>
            </w:r>
          </w:p>
        </w:tc>
        <w:tc>
          <w:tcPr>
            <w:tcW w:w="570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The condition-specific checkpoint before adapter merge and deployment conversion.</w:t>
            </w:r>
          </w:p>
        </w:tc>
      </w:tr>
      <w:tr>
        <w:trPr>
          <w:cantSplit/>
        </w:trPr>
        <w:tc>
          <w:tcPr>
            <w:tcW w:w="105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Mₘ</w:t>
            </w:r>
          </w:p>
        </w:tc>
        <w:tc>
          <w:tcPr>
            <w:tcW w:w="184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Merged effective model</w:t>
            </w:r>
          </w:p>
        </w:tc>
        <w:tc>
          <w:tcPr>
            <w:tcW w:w="570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Base plus adapter update in the exact form that will be deployed.</w:t>
            </w:r>
          </w:p>
        </w:tc>
      </w:tr>
      <w:tr>
        <w:trPr>
          <w:cantSplit/>
        </w:trPr>
        <w:tc>
          <w:tcPr>
            <w:tcW w:w="105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Q₈(Mₘ)</w:t>
            </w:r>
          </w:p>
        </w:tc>
        <w:tc>
          <w:tcPr>
            <w:tcW w:w="184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INT8 deployment</w:t>
            </w:r>
          </w:p>
        </w:tc>
        <w:tc>
          <w:tcPr>
            <w:tcW w:w="570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The merged model converted by the fixed INT8 path.</w:t>
            </w:r>
          </w:p>
        </w:tc>
      </w:tr>
      <w:tr>
        <w:trPr>
          <w:cantSplit/>
        </w:trPr>
        <w:tc>
          <w:tcPr>
            <w:tcW w:w="105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Q₄(Mₘ)</w:t>
            </w:r>
          </w:p>
        </w:tc>
        <w:tc>
          <w:tcPr>
            <w:tcW w:w="184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4-bit deployment</w:t>
            </w:r>
          </w:p>
        </w:tc>
        <w:tc>
          <w:tcPr>
            <w:tcW w:w="570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The merged model converted by the fixed NF4/INT4 path.</w:t>
            </w:r>
          </w:p>
        </w:tc>
      </w:tr>
    </w:tbl>
    <w:p>
      <w:pPr>
        <w:pStyle w:val="Normal"/>
        <w:keepLines w:val="false"/>
        <w:spacing w:lineRule="auto" w:line="360" w:before="0" w:after="120"/>
        <w:jc w:val="both"/>
        <w:rPr/>
      </w:pPr>
      <w:r>
        <w:rPr>
          <w:rFonts w:eastAsia="Times New Roman"/>
          <w:i w:val="false"/>
          <w:color w:val="111111"/>
          <w:sz w:val="24"/>
        </w:rPr>
        <w:t>A recovery claim compares a memorisation-oriented metric on Qₚ(Mₘ) with the same metric on Mₘ or Mᵤ. A mere difference in an unsigned aggregate does not identify recovery. Durability is conditional on the named transformation Qₚ; it does not imply resistance to arbitrary future quantisers or retraining.</w:t>
      </w:r>
    </w:p>
    <w:p>
      <w:pPr>
        <w:pStyle w:val="Heading2"/>
        <w:keepNext w:val="true"/>
        <w:pageBreakBefore w:val="false"/>
        <w:rPr/>
      </w:pPr>
      <w:r>
        <w:rPr>
          <w:rFonts w:eastAsia="Times New Roman" w:ascii="Times New Roman" w:hAnsi="Times New Roman"/>
          <w:b/>
          <w:color w:val="111111"/>
          <w:sz w:val="27"/>
        </w:rPr>
        <w:t>3.3 Experimental platform, model, and data</w:t>
      </w:r>
    </w:p>
    <w:tbl>
      <w:tblPr>
        <w:tblW w:w="8600" w:type="dxa"/>
        <w:jc w:val="start"/>
        <w:tblInd w:w="95" w:type="dxa"/>
        <w:tblLayout w:type="fixed"/>
        <w:tblCellMar>
          <w:top w:w="70" w:type="dxa"/>
          <w:start w:w="100" w:type="dxa"/>
          <w:bottom w:w="70" w:type="dxa"/>
          <w:end w:w="100" w:type="dxa"/>
        </w:tblCellMar>
        <w:tblLook w:noHBand="0" w:noVBand="1" w:firstColumn="1" w:lastRow="0" w:lastColumn="0" w:firstRow="1" w:val="04a0"/>
      </w:tblPr>
      <w:tblGrid>
        <w:gridCol w:w="1799"/>
        <w:gridCol w:w="6801"/>
      </w:tblGrid>
      <w:tr>
        <w:trPr>
          <w:tblHeader w:val="true"/>
          <w:cantSplit/>
        </w:trPr>
        <w:tc>
          <w:tcPr>
            <w:tcW w:w="1799" w:type="dxa"/>
            <w:tcBorders>
              <w:top w:val="single" w:sz="4" w:space="0" w:color="C9CDD2"/>
              <w:start w:val="single" w:sz="4" w:space="0" w:color="C9CDD2"/>
              <w:bottom w:val="single" w:sz="4" w:space="0" w:color="C9CDD2"/>
              <w:end w:val="single" w:sz="4" w:space="0" w:color="C9CDD2"/>
            </w:tcBorders>
            <w:shd w:fill="F3F4F6" w:val="clear"/>
          </w:tcPr>
          <w:p>
            <w:pPr>
              <w:pStyle w:val="TableText"/>
              <w:spacing w:lineRule="auto" w:line="240" w:before="0" w:after="40"/>
              <w:jc w:val="start"/>
              <w:rPr/>
            </w:pPr>
            <w:r>
              <w:rPr>
                <w:rFonts w:eastAsia="Times New Roman"/>
                <w:b/>
                <w:color w:val="111111"/>
                <w:sz w:val="18"/>
              </w:rPr>
              <w:t>Item</w:t>
            </w:r>
          </w:p>
        </w:tc>
        <w:tc>
          <w:tcPr>
            <w:tcW w:w="6801" w:type="dxa"/>
            <w:tcBorders>
              <w:top w:val="single" w:sz="4" w:space="0" w:color="C9CDD2"/>
              <w:start w:val="single" w:sz="4" w:space="0" w:color="C9CDD2"/>
              <w:bottom w:val="single" w:sz="4" w:space="0" w:color="C9CDD2"/>
              <w:end w:val="single" w:sz="4" w:space="0" w:color="C9CDD2"/>
            </w:tcBorders>
            <w:shd w:fill="F3F4F6" w:val="clear"/>
          </w:tcPr>
          <w:p>
            <w:pPr>
              <w:pStyle w:val="TableText"/>
              <w:spacing w:lineRule="auto" w:line="240" w:before="0" w:after="40"/>
              <w:jc w:val="start"/>
              <w:rPr/>
            </w:pPr>
            <w:r>
              <w:rPr>
                <w:rFonts w:eastAsia="Times New Roman"/>
                <w:b/>
                <w:color w:val="111111"/>
                <w:sz w:val="18"/>
              </w:rPr>
              <w:t>Specification</w:t>
            </w:r>
          </w:p>
        </w:tc>
      </w:tr>
      <w:tr>
        <w:trPr>
          <w:cantSplit/>
        </w:trPr>
        <w:tc>
          <w:tcPr>
            <w:tcW w:w="179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Base model</w:t>
            </w:r>
          </w:p>
        </w:tc>
        <w:tc>
          <w:tcPr>
            <w:tcW w:w="680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meta-llama/Llama-3.2-1B-Instruct; 16 transformer layers. Pilot layer 14 is therefore near-final, not a middle layer.</w:t>
            </w:r>
          </w:p>
        </w:tc>
      </w:tr>
      <w:tr>
        <w:trPr>
          <w:cantSplit/>
        </w:trPr>
        <w:tc>
          <w:tcPr>
            <w:tcW w:w="179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Primary benchmark</w:t>
            </w:r>
          </w:p>
        </w:tc>
        <w:tc>
          <w:tcPr>
            <w:tcW w:w="680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TOFU forget05 with its retain/forget/evaluation structure [10].</w:t>
            </w:r>
          </w:p>
        </w:tc>
      </w:tr>
      <w:tr>
        <w:trPr>
          <w:cantSplit/>
        </w:trPr>
        <w:tc>
          <w:tcPr>
            <w:tcW w:w="179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Secondary benchmark</w:t>
            </w:r>
          </w:p>
        </w:tc>
        <w:tc>
          <w:tcPr>
            <w:tcW w:w="680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MUSE-News [11], only after the primary pipeline passes all correctness gates.</w:t>
            </w:r>
          </w:p>
        </w:tc>
      </w:tr>
      <w:tr>
        <w:trPr>
          <w:cantSplit/>
        </w:trPr>
        <w:tc>
          <w:tcPr>
            <w:tcW w:w="179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Adaptation</w:t>
            </w:r>
          </w:p>
        </w:tc>
        <w:tc>
          <w:tcPr>
            <w:tcW w:w="680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LoRA/resource-efficient training. Rank, target modules, dropout, and merge state must be stored in every run record.</w:t>
            </w:r>
          </w:p>
        </w:tc>
      </w:tr>
      <w:tr>
        <w:trPr>
          <w:cantSplit/>
        </w:trPr>
        <w:tc>
          <w:tcPr>
            <w:tcW w:w="179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Hardware envelope</w:t>
            </w:r>
          </w:p>
        </w:tc>
        <w:tc>
          <w:tcPr>
            <w:tcW w:w="680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Target peak allocated VRAM below 16 GB. GATE1 was run in a Kaggle dual-T4 environment.</w:t>
            </w:r>
          </w:p>
        </w:tc>
      </w:tr>
      <w:tr>
        <w:trPr>
          <w:cantSplit/>
        </w:trPr>
        <w:tc>
          <w:tcPr>
            <w:tcW w:w="179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Code branch audited</w:t>
            </w:r>
          </w:p>
        </w:tc>
        <w:tc>
          <w:tcPr>
            <w:tcW w:w="680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GitHub repository ibn-e-Muhammad/fq-ssiuu, dev branch, audited at commit e395f7af… .</w:t>
            </w:r>
          </w:p>
        </w:tc>
      </w:tr>
      <w:tr>
        <w:trPr>
          <w:cantSplit/>
        </w:trPr>
        <w:tc>
          <w:tcPr>
            <w:tcW w:w="179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Evidence cutoff</w:t>
            </w:r>
          </w:p>
        </w:tc>
        <w:tc>
          <w:tcPr>
            <w:tcW w:w="680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1 September 2026 for this working draft.</w:t>
            </w:r>
          </w:p>
        </w:tc>
      </w:tr>
    </w:tbl>
    <w:p>
      <w:pPr>
        <w:pStyle w:val="Normal"/>
        <w:keepLines w:val="false"/>
        <w:spacing w:lineRule="auto" w:line="360" w:before="0" w:after="120"/>
        <w:jc w:val="both"/>
        <w:rPr/>
      </w:pPr>
      <w:r>
        <w:rPr>
          <w:rFonts w:eastAsia="Times New Roman"/>
          <w:i w:val="false"/>
          <w:color w:val="111111"/>
          <w:sz w:val="24"/>
        </w:rPr>
        <w:t>The dataset revision, Hugging Face model revision, tokenizer revision, and any local filtering must be pinned before the main run. The exact number of train, forget, retain, paraphrase, and holdout items must be exported directly from the frozen dataloader rather than transcribed manually. The raw prompts and outputs should be stored only where their licences permit redistribution.</w:t>
      </w:r>
    </w:p>
    <w:p>
      <w:pPr>
        <w:pStyle w:val="Heading2"/>
        <w:keepNext w:val="true"/>
        <w:pageBreakBefore w:val="false"/>
        <w:rPr/>
      </w:pPr>
      <w:r>
        <w:rPr>
          <w:rFonts w:eastAsia="Times New Roman" w:ascii="Times New Roman" w:hAnsi="Times New Roman"/>
          <w:b/>
          <w:color w:val="111111"/>
          <w:sz w:val="27"/>
        </w:rPr>
        <w:t>3.4 Proposed method</w:t>
      </w:r>
    </w:p>
    <w:p>
      <w:pPr>
        <w:pStyle w:val="Heading3"/>
        <w:keepNext w:val="true"/>
        <w:pageBreakBefore w:val="false"/>
        <w:rPr/>
      </w:pPr>
      <w:r>
        <w:rPr>
          <w:rFonts w:eastAsia="Times New Roman" w:ascii="Times New Roman" w:hAnsi="Times New Roman"/>
          <w:b/>
          <w:color w:val="111111"/>
          <w:sz w:val="24"/>
        </w:rPr>
        <w:t>3.4.1 Negative Preference Optimisation</w:t>
      </w:r>
    </w:p>
    <w:p>
      <w:pPr>
        <w:pStyle w:val="Normal"/>
        <w:keepLines w:val="false"/>
        <w:spacing w:lineRule="auto" w:line="360" w:before="0" w:after="120"/>
        <w:jc w:val="both"/>
        <w:rPr/>
      </w:pPr>
      <w:r>
        <w:rPr>
          <w:rFonts w:eastAsia="Times New Roman"/>
          <w:i w:val="false"/>
          <w:color w:val="111111"/>
          <w:sz w:val="24"/>
        </w:rPr>
        <w:t>NPO is the base forgetting objective [8]. For forget sequence y conditioned on x, current parameters θ, reference parameters θref, and inverse-temperature β, the per-example objective used in the main implementation should follow the published log-ratio form:</w:t>
      </w:r>
    </w:p>
    <w:p>
      <w:pPr>
        <w:pStyle w:val="Normal"/>
        <w:spacing w:before="100" w:after="120"/>
        <w:jc w:val="center"/>
        <w:rPr/>
      </w:pPr>
      <w:r>
        <w:rPr>
          <w:rFonts w:eastAsia="Cambria Math" w:ascii="Cambria Math" w:hAnsi="Cambria Math"/>
          <w:color w:val="111111"/>
          <w:sz w:val="23"/>
        </w:rPr>
        <w:t>L_NPO(θ) = −(2/β) log σ(−β[log pθ(y|x) − log pθref(y|x)])    (3.1)</w:t>
      </w:r>
    </w:p>
    <w:p>
      <w:pPr>
        <w:pStyle w:val="Normal"/>
        <w:keepLines w:val="false"/>
        <w:spacing w:lineRule="auto" w:line="360" w:before="0" w:after="120"/>
        <w:jc w:val="both"/>
        <w:rPr/>
      </w:pPr>
      <w:r>
        <w:rPr>
          <w:rFonts w:eastAsia="Times New Roman"/>
          <w:i w:val="false"/>
          <w:color w:val="111111"/>
          <w:sz w:val="24"/>
        </w:rPr>
        <w:t>At equal current and reference probabilities, the value is (2/β)log 2. As the current probability of the forget sequence decreases, the loss tends to zero. The softplus form is not globally upper-bounded; the previous repository docstring stating otherwise must be corrected. Token masking must restrict the sequence likelihood to intended response tokens.</w:t>
      </w:r>
    </w:p>
    <w:p>
      <w:pPr>
        <w:pStyle w:val="Heading3"/>
        <w:keepNext w:val="true"/>
        <w:pageBreakBefore w:val="false"/>
        <w:rPr/>
      </w:pPr>
      <w:r>
        <w:rPr>
          <w:rFonts w:eastAsia="Times New Roman" w:ascii="Times New Roman" w:hAnsi="Times New Roman"/>
          <w:b/>
          <w:color w:val="111111"/>
          <w:sz w:val="24"/>
        </w:rPr>
        <w:t>3.4.2 Retain regularisation</w:t>
      </w:r>
    </w:p>
    <w:p>
      <w:pPr>
        <w:pStyle w:val="Normal"/>
        <w:keepLines w:val="false"/>
        <w:spacing w:lineRule="auto" w:line="360" w:before="0" w:after="120"/>
        <w:jc w:val="both"/>
        <w:rPr/>
      </w:pPr>
      <w:r>
        <w:rPr>
          <w:rFonts w:eastAsia="Times New Roman"/>
          <w:i w:val="false"/>
          <w:color w:val="111111"/>
          <w:sz w:val="24"/>
        </w:rPr>
        <w:t>A retain term constrains drift on retain examples. With a frozen reference distribution, a token-level forward KL term is:</w:t>
      </w:r>
    </w:p>
    <w:p>
      <w:pPr>
        <w:pStyle w:val="Normal"/>
        <w:spacing w:before="100" w:after="120"/>
        <w:jc w:val="center"/>
        <w:rPr/>
      </w:pPr>
      <w:r>
        <w:rPr>
          <w:rFonts w:eastAsia="Cambria Math" w:ascii="Cambria Math" w:hAnsi="Cambria Math"/>
          <w:color w:val="111111"/>
          <w:sz w:val="23"/>
        </w:rPr>
        <w:t>L_retain(θ) = E(x∈Dᵣ) Σₜ KL[pθref(·|x,y&lt;ₜ) || pθ(·|x,y&lt;ₜ)]    (3.2)</w:t>
      </w:r>
    </w:p>
    <w:p>
      <w:pPr>
        <w:pStyle w:val="Normal"/>
        <w:keepLines w:val="false"/>
        <w:spacing w:lineRule="auto" w:line="360" w:before="0" w:after="120"/>
        <w:jc w:val="both"/>
        <w:rPr/>
      </w:pPr>
      <w:r>
        <w:rPr>
          <w:rFonts w:eastAsia="Times New Roman"/>
          <w:i w:val="false"/>
          <w:color w:val="111111"/>
          <w:sz w:val="24"/>
        </w:rPr>
        <w:t>The implementation must state direction, temperature, token mask, and whether the reference is the original target or retain-only oracle. Retained utility remains an evaluation outcome; it must not be inferred from the presence of this term.</w:t>
      </w:r>
    </w:p>
    <w:p>
      <w:pPr>
        <w:pStyle w:val="Heading3"/>
        <w:keepNext w:val="true"/>
        <w:pageBreakBefore w:val="false"/>
        <w:rPr/>
      </w:pPr>
      <w:r>
        <w:rPr>
          <w:rFonts w:eastAsia="Times New Roman" w:ascii="Times New Roman" w:hAnsi="Times New Roman"/>
          <w:b/>
          <w:color w:val="111111"/>
          <w:sz w:val="24"/>
        </w:rPr>
        <w:t>3.4.3 Attribution component: faithful Ssiuu versus proposed surrogate</w:t>
      </w:r>
    </w:p>
    <w:p>
      <w:pPr>
        <w:pStyle w:val="Normal"/>
        <w:keepLines w:val="false"/>
        <w:spacing w:lineRule="auto" w:line="360" w:before="0" w:after="120"/>
        <w:jc w:val="both"/>
        <w:rPr/>
      </w:pPr>
      <w:r>
        <w:rPr>
          <w:rFonts w:eastAsia="Times New Roman"/>
          <w:i w:val="false"/>
          <w:color w:val="111111"/>
          <w:sz w:val="24"/>
        </w:rPr>
        <w:t>The published Ssiuu method uses parameter-times-gradient attribution and compares current with previous-step behaviour to identify negatively influential parameters, followed by an L2 regulariser whose optimisation entails higher-order gradient information [9]. The present repository instead constructs a static initial baseline and Captum Layer Integrated Gradients. These are not equivalent methods. The thesis will therefore use one of two explicitly named paths before the main experiment:</w:t>
      </w:r>
    </w:p>
    <w:p>
      <w:pPr>
        <w:pStyle w:val="ListBullet"/>
        <w:numPr>
          <w:ilvl w:val="0"/>
          <w:numId w:val="1"/>
        </w:numPr>
        <w:spacing w:lineRule="auto" w:line="312" w:before="0" w:after="80"/>
        <w:contextualSpacing/>
        <w:rPr/>
      </w:pPr>
      <w:r>
        <w:rPr>
          <w:rFonts w:eastAsia="Times New Roman"/>
          <w:color w:val="111111"/>
          <w:sz w:val="24"/>
        </w:rPr>
        <w:t>Faithful path: reproduce the published parameter×gradient, previous-step, negative-attribution regulariser and verify the required higher-order gradient or Hessian–vector product.</w:t>
      </w:r>
    </w:p>
    <w:p>
      <w:pPr>
        <w:pStyle w:val="ListBullet"/>
        <w:numPr>
          <w:ilvl w:val="0"/>
          <w:numId w:val="1"/>
        </w:numPr>
        <w:spacing w:lineRule="auto" w:line="312" w:before="0" w:after="80"/>
        <w:contextualSpacing/>
        <w:rPr/>
      </w:pPr>
      <w:r>
        <w:rPr>
          <w:rFonts w:eastAsia="Times New Roman"/>
          <w:color w:val="111111"/>
          <w:sz w:val="24"/>
        </w:rPr>
        <w:t>Surrogate path: retain the Layer Integrated Gradients design but name it an SSIUU-inspired IG surrogate, define its target scalar and aggregation, and make no claim of reproducing Ssiuu.</w:t>
      </w:r>
    </w:p>
    <w:p>
      <w:pPr>
        <w:pStyle w:val="Normal"/>
        <w:spacing w:before="100" w:after="120"/>
        <w:jc w:val="center"/>
        <w:rPr/>
      </w:pPr>
      <w:r>
        <w:rPr>
          <w:rFonts w:eastAsia="Cambria Math" w:ascii="Cambria Math" w:hAnsi="Cambria Math"/>
          <w:color w:val="111111"/>
          <w:sz w:val="23"/>
        </w:rPr>
        <w:t>L_attr(θ) = || mask₋(Aθ − Aprev) ⊙ (Aθ − Aprev) ||₂²    (3.3, schematic)</w:t>
      </w:r>
    </w:p>
    <w:p>
      <w:pPr>
        <w:pStyle w:val="Normal"/>
        <w:keepLines w:val="false"/>
        <w:spacing w:lineRule="auto" w:line="360" w:before="0" w:after="120"/>
        <w:jc w:val="both"/>
        <w:rPr/>
      </w:pPr>
      <w:r>
        <w:rPr>
          <w:rFonts w:eastAsia="Times New Roman"/>
          <w:i w:val="false"/>
          <w:color w:val="111111"/>
          <w:sz w:val="24"/>
        </w:rPr>
        <w:t>Equation (3.3) is deliberately schematic because the final tensor A must be selected after the faithful-versus-surrogate decision. For either path, a unit test must show that ∂Lattr/∂θ is finite and non-zero for intended trainable parameters. The current code returns a detached attribution distance; consequently its attribution term cannot affect optimisation and must not be used in a hypothesis run. Attention masks, response-token masks, padding behaviour, layer choice, baseline choice, and the scalar target derived from logits must be explicit.</w:t>
      </w:r>
    </w:p>
    <w:p>
      <w:pPr>
        <w:pStyle w:val="Heading3"/>
        <w:keepNext w:val="true"/>
        <w:pageBreakBefore w:val="false"/>
        <w:rPr/>
      </w:pPr>
      <w:r>
        <w:rPr>
          <w:rFonts w:eastAsia="Times New Roman" w:ascii="Times New Roman" w:hAnsi="Times New Roman"/>
          <w:b/>
          <w:color w:val="111111"/>
          <w:sz w:val="24"/>
        </w:rPr>
        <w:t>3.4.4 Fake quantisation and straight-through gradient</w:t>
      </w:r>
    </w:p>
    <w:p>
      <w:pPr>
        <w:pStyle w:val="Normal"/>
        <w:keepLines w:val="false"/>
        <w:spacing w:lineRule="auto" w:line="360" w:before="0" w:after="120"/>
        <w:jc w:val="both"/>
        <w:rPr/>
      </w:pPr>
      <w:r>
        <w:rPr>
          <w:rFonts w:eastAsia="Times New Roman"/>
          <w:i w:val="false"/>
          <w:color w:val="111111"/>
          <w:sz w:val="24"/>
        </w:rPr>
        <w:t>For a uniform symmetric b-bit surrogate with clipping threshold α and qmax = 2^(b−1)−1, a scalar or tensor element w is fake-quantised by:</w:t>
      </w:r>
    </w:p>
    <w:p>
      <w:pPr>
        <w:pStyle w:val="Normal"/>
        <w:spacing w:before="100" w:after="120"/>
        <w:jc w:val="center"/>
        <w:rPr/>
      </w:pPr>
      <w:r>
        <w:rPr>
          <w:rFonts w:eastAsia="Cambria Math" w:ascii="Cambria Math" w:hAnsi="Cambria Math"/>
          <w:color w:val="111111"/>
          <w:sz w:val="23"/>
        </w:rPr>
        <w:t>s = α/qmax;   q = clip(round(w/s), −qmax, qmax);   w̃ = s q    (3.4)</w:t>
      </w:r>
    </w:p>
    <w:p>
      <w:pPr>
        <w:pStyle w:val="Normal"/>
        <w:keepLines w:val="false"/>
        <w:spacing w:lineRule="auto" w:line="360" w:before="0" w:after="120"/>
        <w:jc w:val="both"/>
        <w:rPr/>
      </w:pPr>
      <w:r>
        <w:rPr>
          <w:rFonts w:eastAsia="Times New Roman"/>
          <w:i w:val="false"/>
          <w:color w:val="111111"/>
          <w:sz w:val="24"/>
        </w:rPr>
        <w:t>The forward pass uses w̃ while the straight-through estimator approximates the derivative of rounding in the backward pass [20]. If deployment uses NF4, the training simulator must either implement the NF4 codebook and grouping or explicitly state that uniform INT4 is a mismatch condition. Scale policy (fixed, dynamic, or learned), granularity (per-tensor, per-channel, or groupwise), clipping, double quantisation, and calibration data must be recorded.</w:t>
      </w:r>
    </w:p>
    <w:p>
      <w:pPr>
        <w:pStyle w:val="Normal"/>
        <w:keepLines w:val="false"/>
        <w:spacing w:lineRule="auto" w:line="360" w:before="0" w:after="120"/>
        <w:jc w:val="both"/>
        <w:rPr/>
      </w:pPr>
      <w:r>
        <w:rPr>
          <w:rFonts w:eastAsia="Times New Roman"/>
          <w:i w:val="false"/>
          <w:color w:val="111111"/>
          <w:sz w:val="24"/>
        </w:rPr>
        <w:t>The pilot implementation fake-quantises the LoRA adapter output activation with a dynamic per-tensor uniform scale. It does not fake-quantise adapter weights or the merged effective weights and is not NF4. That pilot proves only that a quantise–dequantise operation can be inserted into a training loop. The main method must expose the deployed effective-weight path to the training surrogate, or the thesis must narrow its claim to adapter-output robustness.</w:t>
      </w:r>
    </w:p>
    <w:p>
      <w:pPr>
        <w:pStyle w:val="Heading3"/>
        <w:keepNext w:val="true"/>
        <w:pageBreakBefore w:val="false"/>
        <w:rPr/>
      </w:pPr>
      <w:r>
        <w:rPr>
          <w:rFonts w:eastAsia="Times New Roman" w:ascii="Times New Roman" w:hAnsi="Times New Roman"/>
          <w:b/>
          <w:color w:val="111111"/>
          <w:sz w:val="24"/>
        </w:rPr>
        <w:t>3.4.5 Combined objective</w:t>
      </w:r>
    </w:p>
    <w:p>
      <w:pPr>
        <w:pStyle w:val="Normal"/>
        <w:spacing w:before="100" w:after="120"/>
        <w:jc w:val="center"/>
        <w:rPr/>
      </w:pPr>
      <w:r>
        <w:rPr>
          <w:rFonts w:eastAsia="Cambria Math" w:ascii="Cambria Math" w:hAnsi="Cambria Math"/>
          <w:color w:val="111111"/>
          <w:sz w:val="23"/>
        </w:rPr>
        <w:t>L_total = L_NPO + λᵣ L_retain + λₐ L_attr    (3.5)</w:t>
      </w:r>
    </w:p>
    <w:p>
      <w:pPr>
        <w:pStyle w:val="Normal"/>
        <w:keepLines w:val="false"/>
        <w:spacing w:lineRule="auto" w:line="360" w:before="0" w:after="120"/>
        <w:jc w:val="both"/>
        <w:rPr/>
      </w:pPr>
      <w:r>
        <w:rPr>
          <w:rFonts w:eastAsia="Times New Roman"/>
          <w:i w:val="false"/>
          <w:color w:val="111111"/>
          <w:sz w:val="24"/>
        </w:rPr>
        <w:t>Fake quantisation changes the forward model used to compute the terms in Equation (3.5); it is not necessarily a separate additive loss. The primary ablation estimates the marginal effect of λa and the fake-quantised forward path. Hyperparameters must be selected on a validation rule that does not inspect final test outputs. A configuration that reduces forgetting by collapsing utility is rejected regardless of total loss.</w:t>
      </w:r>
    </w:p>
    <w:p>
      <w:pPr>
        <w:pStyle w:val="Heading2"/>
        <w:keepNext w:val="true"/>
        <w:pageBreakBefore w:val="false"/>
        <w:rPr/>
      </w:pPr>
      <w:r>
        <w:rPr>
          <w:rFonts w:eastAsia="Times New Roman" w:ascii="Times New Roman" w:hAnsi="Times New Roman"/>
          <w:b/>
          <w:color w:val="111111"/>
          <w:sz w:val="27"/>
        </w:rPr>
        <w:t>3.5 Experimental conditions and controls</w:t>
      </w:r>
    </w:p>
    <w:tbl>
      <w:tblPr>
        <w:tblW w:w="8600" w:type="dxa"/>
        <w:jc w:val="start"/>
        <w:tblInd w:w="95" w:type="dxa"/>
        <w:tblLayout w:type="fixed"/>
        <w:tblCellMar>
          <w:top w:w="70" w:type="dxa"/>
          <w:start w:w="100" w:type="dxa"/>
          <w:bottom w:w="70" w:type="dxa"/>
          <w:end w:w="100" w:type="dxa"/>
        </w:tblCellMar>
        <w:tblLook w:noHBand="0" w:noVBand="1" w:firstColumn="1" w:lastRow="0" w:lastColumn="0" w:firstRow="1" w:val="04a0"/>
      </w:tblPr>
      <w:tblGrid>
        <w:gridCol w:w="650"/>
        <w:gridCol w:w="1549"/>
        <w:gridCol w:w="3101"/>
        <w:gridCol w:w="3300"/>
      </w:tblGrid>
      <w:tr>
        <w:trPr>
          <w:tblHeader w:val="true"/>
          <w:cantSplit/>
        </w:trPr>
        <w:tc>
          <w:tcPr>
            <w:tcW w:w="650" w:type="dxa"/>
            <w:tcBorders>
              <w:top w:val="single" w:sz="4" w:space="0" w:color="C9CDD2"/>
              <w:start w:val="single" w:sz="4" w:space="0" w:color="C9CDD2"/>
              <w:bottom w:val="single" w:sz="4" w:space="0" w:color="C9CDD2"/>
              <w:end w:val="single" w:sz="4" w:space="0" w:color="C9CDD2"/>
            </w:tcBorders>
            <w:shd w:fill="F3F4F6" w:val="clear"/>
          </w:tcPr>
          <w:p>
            <w:pPr>
              <w:pStyle w:val="TableText"/>
              <w:spacing w:lineRule="auto" w:line="240" w:before="0" w:after="40"/>
              <w:jc w:val="start"/>
              <w:rPr/>
            </w:pPr>
            <w:r>
              <w:rPr>
                <w:rFonts w:eastAsia="Times New Roman"/>
                <w:b/>
                <w:color w:val="111111"/>
                <w:sz w:val="17"/>
              </w:rPr>
              <w:t>ID</w:t>
            </w:r>
          </w:p>
        </w:tc>
        <w:tc>
          <w:tcPr>
            <w:tcW w:w="1549" w:type="dxa"/>
            <w:tcBorders>
              <w:top w:val="single" w:sz="4" w:space="0" w:color="C9CDD2"/>
              <w:start w:val="single" w:sz="4" w:space="0" w:color="C9CDD2"/>
              <w:bottom w:val="single" w:sz="4" w:space="0" w:color="C9CDD2"/>
              <w:end w:val="single" w:sz="4" w:space="0" w:color="C9CDD2"/>
            </w:tcBorders>
            <w:shd w:fill="F3F4F6" w:val="clear"/>
          </w:tcPr>
          <w:p>
            <w:pPr>
              <w:pStyle w:val="TableText"/>
              <w:spacing w:lineRule="auto" w:line="240" w:before="0" w:after="40"/>
              <w:jc w:val="start"/>
              <w:rPr/>
            </w:pPr>
            <w:r>
              <w:rPr>
                <w:rFonts w:eastAsia="Times New Roman"/>
                <w:b/>
                <w:color w:val="111111"/>
                <w:sz w:val="17"/>
              </w:rPr>
              <w:t>Condition</w:t>
            </w:r>
          </w:p>
        </w:tc>
        <w:tc>
          <w:tcPr>
            <w:tcW w:w="3101" w:type="dxa"/>
            <w:tcBorders>
              <w:top w:val="single" w:sz="4" w:space="0" w:color="C9CDD2"/>
              <w:start w:val="single" w:sz="4" w:space="0" w:color="C9CDD2"/>
              <w:bottom w:val="single" w:sz="4" w:space="0" w:color="C9CDD2"/>
              <w:end w:val="single" w:sz="4" w:space="0" w:color="C9CDD2"/>
            </w:tcBorders>
            <w:shd w:fill="F3F4F6" w:val="clear"/>
          </w:tcPr>
          <w:p>
            <w:pPr>
              <w:pStyle w:val="TableText"/>
              <w:spacing w:lineRule="auto" w:line="240" w:before="0" w:after="40"/>
              <w:jc w:val="start"/>
              <w:rPr/>
            </w:pPr>
            <w:r>
              <w:rPr>
                <w:rFonts w:eastAsia="Times New Roman"/>
                <w:b/>
                <w:color w:val="111111"/>
                <w:sz w:val="17"/>
              </w:rPr>
              <w:t>Training definition</w:t>
            </w:r>
          </w:p>
        </w:tc>
        <w:tc>
          <w:tcPr>
            <w:tcW w:w="3300" w:type="dxa"/>
            <w:tcBorders>
              <w:top w:val="single" w:sz="4" w:space="0" w:color="C9CDD2"/>
              <w:start w:val="single" w:sz="4" w:space="0" w:color="C9CDD2"/>
              <w:bottom w:val="single" w:sz="4" w:space="0" w:color="C9CDD2"/>
              <w:end w:val="single" w:sz="4" w:space="0" w:color="C9CDD2"/>
            </w:tcBorders>
            <w:shd w:fill="F3F4F6" w:val="clear"/>
          </w:tcPr>
          <w:p>
            <w:pPr>
              <w:pStyle w:val="TableText"/>
              <w:spacing w:lineRule="auto" w:line="240" w:before="0" w:after="40"/>
              <w:jc w:val="start"/>
              <w:rPr/>
            </w:pPr>
            <w:r>
              <w:rPr>
                <w:rFonts w:eastAsia="Times New Roman"/>
                <w:b/>
                <w:color w:val="111111"/>
                <w:sz w:val="17"/>
              </w:rPr>
              <w:t>Purpose</w:t>
            </w:r>
          </w:p>
        </w:tc>
      </w:tr>
      <w:tr>
        <w:trPr>
          <w:cantSplit/>
        </w:trPr>
        <w:tc>
          <w:tcPr>
            <w:tcW w:w="65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C0</w:t>
            </w:r>
          </w:p>
        </w:tc>
        <w:tc>
          <w:tcPr>
            <w:tcW w:w="154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Original target</w:t>
            </w:r>
          </w:p>
        </w:tc>
        <w:tc>
          <w:tcPr>
            <w:tcW w:w="310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No unlearning</w:t>
            </w:r>
          </w:p>
        </w:tc>
        <w:tc>
          <w:tcPr>
            <w:tcW w:w="33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Upper reference for retained target knowledge; not a deletion baseline.</w:t>
            </w:r>
          </w:p>
        </w:tc>
      </w:tr>
      <w:tr>
        <w:trPr>
          <w:cantSplit/>
        </w:trPr>
        <w:tc>
          <w:tcPr>
            <w:tcW w:w="65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C1</w:t>
            </w:r>
          </w:p>
        </w:tc>
        <w:tc>
          <w:tcPr>
            <w:tcW w:w="154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Retain-only oracle</w:t>
            </w:r>
          </w:p>
        </w:tc>
        <w:tc>
          <w:tcPr>
            <w:tcW w:w="310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Benchmark-supplied or documented retraining reference</w:t>
            </w:r>
          </w:p>
        </w:tc>
        <w:tc>
          <w:tcPr>
            <w:tcW w:w="33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Gold behavioural reference where available.</w:t>
            </w:r>
          </w:p>
        </w:tc>
      </w:tr>
      <w:tr>
        <w:trPr>
          <w:cantSplit/>
        </w:trPr>
        <w:tc>
          <w:tcPr>
            <w:tcW w:w="65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C2</w:t>
            </w:r>
          </w:p>
        </w:tc>
        <w:tc>
          <w:tcPr>
            <w:tcW w:w="154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NPO</w:t>
            </w:r>
          </w:p>
        </w:tc>
        <w:tc>
          <w:tcPr>
            <w:tcW w:w="310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LNPO + retain term</w:t>
            </w:r>
          </w:p>
        </w:tc>
        <w:tc>
          <w:tcPr>
            <w:tcW w:w="33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Base unlearning comparison.</w:t>
            </w:r>
          </w:p>
        </w:tc>
      </w:tr>
      <w:tr>
        <w:trPr>
          <w:cantSplit/>
        </w:trPr>
        <w:tc>
          <w:tcPr>
            <w:tcW w:w="65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C4</w:t>
            </w:r>
          </w:p>
        </w:tc>
        <w:tc>
          <w:tcPr>
            <w:tcW w:w="154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NPO + attribution</w:t>
            </w:r>
          </w:p>
        </w:tc>
        <w:tc>
          <w:tcPr>
            <w:tcW w:w="310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C2 + faithful Ssiuu or explicitly named IG surrogate</w:t>
            </w:r>
          </w:p>
        </w:tc>
        <w:tc>
          <w:tcPr>
            <w:tcW w:w="33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Isolates attribution contribution.</w:t>
            </w:r>
          </w:p>
        </w:tc>
      </w:tr>
      <w:tr>
        <w:trPr>
          <w:cantSplit/>
        </w:trPr>
        <w:tc>
          <w:tcPr>
            <w:tcW w:w="65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C5</w:t>
            </w:r>
          </w:p>
        </w:tc>
        <w:tc>
          <w:tcPr>
            <w:tcW w:w="154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NPO + FQ</w:t>
            </w:r>
          </w:p>
        </w:tc>
        <w:tc>
          <w:tcPr>
            <w:tcW w:w="310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C2 through deployment-matched fake quantisation</w:t>
            </w:r>
          </w:p>
        </w:tc>
        <w:tc>
          <w:tcPr>
            <w:tcW w:w="33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Isolates quantisation-aware contribution.</w:t>
            </w:r>
          </w:p>
        </w:tc>
      </w:tr>
      <w:tr>
        <w:trPr>
          <w:cantSplit/>
        </w:trPr>
        <w:tc>
          <w:tcPr>
            <w:tcW w:w="65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C6</w:t>
            </w:r>
          </w:p>
        </w:tc>
        <w:tc>
          <w:tcPr>
            <w:tcW w:w="154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Full FQ-SSIUU</w:t>
            </w:r>
          </w:p>
        </w:tc>
        <w:tc>
          <w:tcPr>
            <w:tcW w:w="310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C2 + attribution + FQ</w:t>
            </w:r>
          </w:p>
        </w:tc>
        <w:tc>
          <w:tcPr>
            <w:tcW w:w="33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Tests complementarity.</w:t>
            </w:r>
          </w:p>
        </w:tc>
      </w:tr>
      <w:tr>
        <w:trPr>
          <w:cantSplit/>
        </w:trPr>
        <w:tc>
          <w:tcPr>
            <w:tcW w:w="65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C7</w:t>
            </w:r>
          </w:p>
        </w:tc>
        <w:tc>
          <w:tcPr>
            <w:tcW w:w="154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Direct durability baseline</w:t>
            </w:r>
          </w:p>
        </w:tc>
        <w:tc>
          <w:tcPr>
            <w:tcW w:w="310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SURE/SAF or closest faithfully reproducible published method</w:t>
            </w:r>
          </w:p>
        </w:tc>
        <w:tc>
          <w:tcPr>
            <w:tcW w:w="33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Positions the integration against prior QRA mitigation.</w:t>
            </w:r>
          </w:p>
        </w:tc>
      </w:tr>
      <w:tr>
        <w:trPr>
          <w:cantSplit/>
        </w:trPr>
        <w:tc>
          <w:tcPr>
            <w:tcW w:w="65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C8</w:t>
            </w:r>
          </w:p>
        </w:tc>
        <w:tc>
          <w:tcPr>
            <w:tcW w:w="154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Faithful QUAIL</w:t>
            </w:r>
          </w:p>
        </w:tc>
        <w:tc>
          <w:tcPr>
            <w:tcW w:w="310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Published αLforget +(1−α)Lretain + γLhinge, Δq=1.0</w:t>
            </w:r>
          </w:p>
        </w:tc>
        <w:tc>
          <w:tcPr>
            <w:tcW w:w="33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Optional direct objective comparator; not the failed P4 surrogate.</w:t>
            </w:r>
          </w:p>
        </w:tc>
      </w:tr>
    </w:tbl>
    <w:p>
      <w:pPr>
        <w:pStyle w:val="Normal"/>
        <w:spacing w:before="60" w:after="100"/>
        <w:rPr/>
      </w:pPr>
      <w:r>
        <w:rPr>
          <w:rFonts w:eastAsia="Times New Roman"/>
          <w:i/>
          <w:color w:val="61666D"/>
          <w:sz w:val="17"/>
        </w:rPr>
        <w:t>Condition identifiers preserve the project’s historical numbering. Unused C3 should remain reserved or be documented in the change log rather than silently reassigned.</w:t>
      </w:r>
    </w:p>
    <w:p>
      <w:pPr>
        <w:pStyle w:val="Normal"/>
        <w:keepLines w:val="false"/>
        <w:spacing w:lineRule="auto" w:line="360" w:before="0" w:after="120"/>
        <w:jc w:val="both"/>
        <w:rPr/>
      </w:pPr>
      <w:r>
        <w:rPr>
          <w:rFonts w:eastAsia="Times New Roman"/>
          <w:i w:val="false"/>
          <w:color w:val="111111"/>
          <w:sz w:val="24"/>
        </w:rPr>
        <w:t>The main confirmatory minimum is C2, C4, C5, and C6 over the same three seeds. C0 and C1 are reference states. C7 is strongly recommended; C8 is optional if it can be implemented faithfully and afforded. Pilot checkpoints must not be reused as final condition checkpoints after code corrections because they were trained under different objectives.</w:t>
      </w:r>
    </w:p>
    <w:p>
      <w:pPr>
        <w:pStyle w:val="Heading2"/>
        <w:keepNext w:val="true"/>
        <w:pageBreakBefore w:val="false"/>
        <w:rPr/>
      </w:pPr>
      <w:r>
        <w:rPr>
          <w:rFonts w:eastAsia="Times New Roman" w:ascii="Times New Roman" w:hAnsi="Times New Roman"/>
          <w:b/>
          <w:color w:val="111111"/>
          <w:sz w:val="27"/>
        </w:rPr>
        <w:t>3.6 Evaluation framework</w:t>
      </w:r>
    </w:p>
    <w:p>
      <w:pPr>
        <w:pStyle w:val="Heading3"/>
        <w:keepNext w:val="true"/>
        <w:pageBreakBefore w:val="false"/>
        <w:rPr/>
      </w:pPr>
      <w:r>
        <w:rPr>
          <w:rFonts w:eastAsia="Times New Roman" w:ascii="Times New Roman" w:hAnsi="Times New Roman"/>
          <w:b/>
          <w:color w:val="111111"/>
          <w:sz w:val="24"/>
        </w:rPr>
        <w:t>3.6.1 TOFU Forget Quality and model utility</w:t>
      </w:r>
    </w:p>
    <w:p>
      <w:pPr>
        <w:pStyle w:val="Normal"/>
        <w:keepLines w:val="false"/>
        <w:spacing w:lineRule="auto" w:line="360" w:before="0" w:after="120"/>
        <w:jc w:val="both"/>
        <w:rPr/>
      </w:pPr>
      <w:r>
        <w:rPr>
          <w:rFonts w:eastAsia="Times New Roman"/>
          <w:i w:val="false"/>
          <w:color w:val="111111"/>
          <w:sz w:val="24"/>
        </w:rPr>
        <w:t>In the current evaluator, TOFU Forget Quality is a Kolmogorov–Smirnov p-value comparing the truth-ratio distribution of the unlearned model with the retain-only oracle on forget examples [10]. Higher values indicate greater statistical compatibility with the oracle; extremely small values indicate that the distributions remain distinguishable. It is therefore incorrect to interpret a value near zero as ‘extreme forgetting’. Model Utility is an aggregate of retain, real-author, and world-fact performance in the project evaluator; its exact components and aggregation must be frozen and reported.</w:t>
      </w:r>
    </w:p>
    <w:p>
      <w:pPr>
        <w:pStyle w:val="Heading3"/>
        <w:keepNext w:val="true"/>
        <w:pageBreakBefore w:val="false"/>
        <w:rPr/>
      </w:pPr>
      <w:r>
        <w:rPr>
          <w:rFonts w:eastAsia="Times New Roman" w:ascii="Times New Roman" w:hAnsi="Times New Roman"/>
          <w:b/>
          <w:color w:val="111111"/>
          <w:sz w:val="24"/>
        </w:rPr>
        <w:t>3.6.2 Precision sensitivity and directional recovery</w:t>
      </w:r>
    </w:p>
    <w:p>
      <w:pPr>
        <w:pStyle w:val="Normal"/>
        <w:keepLines w:val="false"/>
        <w:spacing w:lineRule="auto" w:line="360" w:before="0" w:after="120"/>
        <w:jc w:val="both"/>
        <w:rPr/>
      </w:pPr>
      <w:r>
        <w:rPr>
          <w:rFonts w:eastAsia="Times New Roman"/>
          <w:i w:val="false"/>
          <w:color w:val="111111"/>
          <w:sz w:val="24"/>
        </w:rPr>
        <w:t>The pilot used an absolute relative change in Forget Quality. This is useful as a precision-sensitivity statistic but has no direction and becomes unstable when the FP16 denominator is near zero. It is retained under a new name:</w:t>
      </w:r>
    </w:p>
    <w:p>
      <w:pPr>
        <w:pStyle w:val="Normal"/>
        <w:spacing w:before="100" w:after="120"/>
        <w:jc w:val="center"/>
        <w:rPr/>
      </w:pPr>
      <w:r>
        <w:rPr>
          <w:rFonts w:eastAsia="Cambria Math" w:ascii="Cambria Math" w:hAnsi="Cambria Math"/>
          <w:color w:val="111111"/>
          <w:sz w:val="23"/>
        </w:rPr>
        <w:t>Sₚ(FQ) = |FQₚ − FQ_FP16| / (|FQ_FP16| + ε)    (3.6)</w:t>
      </w:r>
    </w:p>
    <w:p>
      <w:pPr>
        <w:pStyle w:val="Normal"/>
        <w:keepLines w:val="false"/>
        <w:spacing w:lineRule="auto" w:line="360" w:before="0" w:after="120"/>
        <w:jc w:val="both"/>
        <w:rPr/>
      </w:pPr>
      <w:r>
        <w:rPr>
          <w:rFonts w:eastAsia="Times New Roman"/>
          <w:i w:val="false"/>
          <w:color w:val="111111"/>
          <w:sz w:val="24"/>
        </w:rPr>
        <w:t>Sₚ must not be called Q-INT4. For a memorisation-oriented metric m where higher means more target knowledge, directional recovery is:</w:t>
      </w:r>
    </w:p>
    <w:p>
      <w:pPr>
        <w:pStyle w:val="Normal"/>
        <w:spacing w:before="100" w:after="120"/>
        <w:jc w:val="center"/>
        <w:rPr/>
      </w:pPr>
      <w:r>
        <w:rPr>
          <w:rFonts w:eastAsia="Cambria Math" w:ascii="Cambria Math" w:hAnsi="Cambria Math"/>
          <w:color w:val="111111"/>
          <w:sz w:val="23"/>
        </w:rPr>
        <w:t>Rₚ(m) = max(0, mₚ − m_FP16)    (3.7)</w:t>
      </w:r>
    </w:p>
    <w:p>
      <w:pPr>
        <w:pStyle w:val="Normal"/>
        <w:keepLines w:val="false"/>
        <w:spacing w:lineRule="auto" w:line="360" w:before="0" w:after="120"/>
        <w:jc w:val="both"/>
        <w:rPr/>
      </w:pPr>
      <w:r>
        <w:rPr>
          <w:rFonts w:eastAsia="Times New Roman"/>
          <w:i w:val="false"/>
          <w:color w:val="111111"/>
          <w:sz w:val="24"/>
        </w:rPr>
        <w:t>The published DurableUn notation Q-INTk refers to post-quantisation forget accuracy at k bits [3]. If that exact metric is implemented, the thesis will use the authors’ definition and cite it. Otherwise, the project will report metric-specific post-quantisation values and Equation (3.7) without borrowing the label. For FQ, higher is better but not a direct accuracy or memorisation rate; it should be reported descriptively and alongside underlying truth-ratio distributions.</w:t>
      </w:r>
    </w:p>
    <w:p>
      <w:pPr>
        <w:pStyle w:val="Heading3"/>
        <w:keepNext w:val="true"/>
        <w:pageBreakBefore w:val="false"/>
        <w:rPr/>
      </w:pPr>
      <w:r>
        <w:rPr>
          <w:rFonts w:eastAsia="Times New Roman" w:ascii="Times New Roman" w:hAnsi="Times New Roman"/>
          <w:b/>
          <w:color w:val="111111"/>
          <w:sz w:val="24"/>
        </w:rPr>
        <w:t>3.6.3 Multi-layer evidence bundle</w:t>
      </w:r>
    </w:p>
    <w:tbl>
      <w:tblPr>
        <w:tblW w:w="8600" w:type="dxa"/>
        <w:jc w:val="start"/>
        <w:tblInd w:w="95" w:type="dxa"/>
        <w:tblLayout w:type="fixed"/>
        <w:tblCellMar>
          <w:top w:w="70" w:type="dxa"/>
          <w:start w:w="100" w:type="dxa"/>
          <w:bottom w:w="70" w:type="dxa"/>
          <w:end w:w="100" w:type="dxa"/>
        </w:tblCellMar>
        <w:tblLook w:noHBand="0" w:noVBand="1" w:firstColumn="1" w:lastRow="0" w:lastColumn="0" w:firstRow="1" w:val="04a0"/>
      </w:tblPr>
      <w:tblGrid>
        <w:gridCol w:w="1199"/>
        <w:gridCol w:w="3351"/>
        <w:gridCol w:w="4050"/>
      </w:tblGrid>
      <w:tr>
        <w:trPr>
          <w:tblHeader w:val="true"/>
          <w:cantSplit/>
        </w:trPr>
        <w:tc>
          <w:tcPr>
            <w:tcW w:w="1199" w:type="dxa"/>
            <w:tcBorders>
              <w:top w:val="single" w:sz="4" w:space="0" w:color="C9CDD2"/>
              <w:start w:val="single" w:sz="4" w:space="0" w:color="C9CDD2"/>
              <w:bottom w:val="single" w:sz="4" w:space="0" w:color="C9CDD2"/>
              <w:end w:val="single" w:sz="4" w:space="0" w:color="C9CDD2"/>
            </w:tcBorders>
            <w:shd w:fill="F3F4F6" w:val="clear"/>
          </w:tcPr>
          <w:p>
            <w:pPr>
              <w:pStyle w:val="TableText"/>
              <w:spacing w:lineRule="auto" w:line="240" w:before="0" w:after="40"/>
              <w:jc w:val="start"/>
              <w:rPr/>
            </w:pPr>
            <w:r>
              <w:rPr>
                <w:rFonts w:eastAsia="Times New Roman"/>
                <w:b/>
                <w:color w:val="111111"/>
                <w:sz w:val="17"/>
              </w:rPr>
              <w:t>Layer</w:t>
            </w:r>
          </w:p>
        </w:tc>
        <w:tc>
          <w:tcPr>
            <w:tcW w:w="3351" w:type="dxa"/>
            <w:tcBorders>
              <w:top w:val="single" w:sz="4" w:space="0" w:color="C9CDD2"/>
              <w:start w:val="single" w:sz="4" w:space="0" w:color="C9CDD2"/>
              <w:bottom w:val="single" w:sz="4" w:space="0" w:color="C9CDD2"/>
              <w:end w:val="single" w:sz="4" w:space="0" w:color="C9CDD2"/>
            </w:tcBorders>
            <w:shd w:fill="F3F4F6" w:val="clear"/>
          </w:tcPr>
          <w:p>
            <w:pPr>
              <w:pStyle w:val="TableText"/>
              <w:spacing w:lineRule="auto" w:line="240" w:before="0" w:after="40"/>
              <w:jc w:val="start"/>
              <w:rPr/>
            </w:pPr>
            <w:r>
              <w:rPr>
                <w:rFonts w:eastAsia="Times New Roman"/>
                <w:b/>
                <w:color w:val="111111"/>
                <w:sz w:val="17"/>
              </w:rPr>
              <w:t>Measures</w:t>
            </w:r>
          </w:p>
        </w:tc>
        <w:tc>
          <w:tcPr>
            <w:tcW w:w="4050" w:type="dxa"/>
            <w:tcBorders>
              <w:top w:val="single" w:sz="4" w:space="0" w:color="C9CDD2"/>
              <w:start w:val="single" w:sz="4" w:space="0" w:color="C9CDD2"/>
              <w:bottom w:val="single" w:sz="4" w:space="0" w:color="C9CDD2"/>
              <w:end w:val="single" w:sz="4" w:space="0" w:color="C9CDD2"/>
            </w:tcBorders>
            <w:shd w:fill="F3F4F6" w:val="clear"/>
          </w:tcPr>
          <w:p>
            <w:pPr>
              <w:pStyle w:val="TableText"/>
              <w:spacing w:lineRule="auto" w:line="240" w:before="0" w:after="40"/>
              <w:jc w:val="start"/>
              <w:rPr/>
            </w:pPr>
            <w:r>
              <w:rPr>
                <w:rFonts w:eastAsia="Times New Roman"/>
                <w:b/>
                <w:color w:val="111111"/>
                <w:sz w:val="17"/>
              </w:rPr>
              <w:t>Interpretation</w:t>
            </w:r>
          </w:p>
        </w:tc>
      </w:tr>
      <w:tr>
        <w:trPr>
          <w:cantSplit/>
        </w:trPr>
        <w:tc>
          <w:tcPr>
            <w:tcW w:w="119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Forgetting</w:t>
            </w:r>
          </w:p>
        </w:tc>
        <w:tc>
          <w:tcPr>
            <w:tcW w:w="335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FQ, forget log-likelihood/truth ratio, exact match or ROUGE where appropriate</w:t>
            </w:r>
          </w:p>
        </w:tc>
        <w:tc>
          <w:tcPr>
            <w:tcW w:w="405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Establish behaviour on designated facts; report metric direction.</w:t>
            </w:r>
          </w:p>
        </w:tc>
      </w:tr>
      <w:tr>
        <w:trPr>
          <w:cantSplit/>
        </w:trPr>
        <w:tc>
          <w:tcPr>
            <w:tcW w:w="119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Retention</w:t>
            </w:r>
          </w:p>
        </w:tc>
        <w:tc>
          <w:tcPr>
            <w:tcW w:w="335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MU and disaggregated retain/world/real-author scores</w:t>
            </w:r>
          </w:p>
        </w:tc>
        <w:tc>
          <w:tcPr>
            <w:tcW w:w="405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Reject general collapse hidden by an aggregate.</w:t>
            </w:r>
          </w:p>
        </w:tc>
      </w:tr>
      <w:tr>
        <w:trPr>
          <w:cantSplit/>
        </w:trPr>
        <w:tc>
          <w:tcPr>
            <w:tcW w:w="119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Privacy</w:t>
            </w:r>
          </w:p>
        </w:tc>
        <w:tc>
          <w:tcPr>
            <w:tcW w:w="335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Min-k% MIA or compatible probe</w:t>
            </w:r>
          </w:p>
        </w:tc>
        <w:tc>
          <w:tcPr>
            <w:tcW w:w="405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Test whether membership evidence remains.</w:t>
            </w:r>
          </w:p>
        </w:tc>
      </w:tr>
      <w:tr>
        <w:trPr>
          <w:cantSplit/>
        </w:trPr>
        <w:tc>
          <w:tcPr>
            <w:tcW w:w="119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Generation</w:t>
            </w:r>
          </w:p>
        </w:tc>
        <w:tc>
          <w:tcPr>
            <w:tcW w:w="335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Fixed prompt audit with blind categories</w:t>
            </w:r>
          </w:p>
        </w:tc>
        <w:tc>
          <w:tcPr>
            <w:tcW w:w="405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Detect refusal, gibberish, fabrication, and semantic substitutes.</w:t>
            </w:r>
          </w:p>
        </w:tc>
      </w:tr>
      <w:tr>
        <w:trPr>
          <w:cantSplit/>
        </w:trPr>
        <w:tc>
          <w:tcPr>
            <w:tcW w:w="119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Distribution</w:t>
            </w:r>
          </w:p>
        </w:tc>
        <w:tc>
          <w:tcPr>
            <w:tcW w:w="335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FADE if feasible [12]</w:t>
            </w:r>
          </w:p>
        </w:tc>
        <w:tc>
          <w:tcPr>
            <w:tcW w:w="405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Compare samples with the retrained reference beyond one target answer.</w:t>
            </w:r>
          </w:p>
        </w:tc>
      </w:tr>
      <w:tr>
        <w:trPr>
          <w:cantSplit/>
        </w:trPr>
        <w:tc>
          <w:tcPr>
            <w:tcW w:w="119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Relearning</w:t>
            </w:r>
          </w:p>
        </w:tc>
        <w:tc>
          <w:tcPr>
            <w:tcW w:w="335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Fixed benign and adversarial reinjection protocol</w:t>
            </w:r>
          </w:p>
        </w:tc>
        <w:tc>
          <w:tcPr>
            <w:tcW w:w="405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Test the failure surface addressed by Ssiuu [9].</w:t>
            </w:r>
          </w:p>
        </w:tc>
      </w:tr>
      <w:tr>
        <w:trPr>
          <w:cantSplit/>
        </w:trPr>
        <w:tc>
          <w:tcPr>
            <w:tcW w:w="119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Durability</w:t>
            </w:r>
          </w:p>
        </w:tc>
        <w:tc>
          <w:tcPr>
            <w:tcW w:w="335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Same metrics on Mₘ, Q₈(Mₘ), Q₄(Mₘ), plus mismatch quantiser</w:t>
            </w:r>
          </w:p>
        </w:tc>
        <w:tc>
          <w:tcPr>
            <w:tcW w:w="405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Measure precision sensitivity and directional recovery.</w:t>
            </w:r>
          </w:p>
        </w:tc>
      </w:tr>
      <w:tr>
        <w:trPr>
          <w:cantSplit/>
        </w:trPr>
        <w:tc>
          <w:tcPr>
            <w:tcW w:w="119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Mechanism</w:t>
            </w:r>
          </w:p>
        </w:tc>
        <w:tc>
          <w:tcPr>
            <w:tcW w:w="335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Attribution-mask stability and gradient-connectivity checks</w:t>
            </w:r>
          </w:p>
        </w:tc>
        <w:tc>
          <w:tcPr>
            <w:tcW w:w="405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Verify that the claimed regulariser is operative and reproducible.</w:t>
            </w:r>
          </w:p>
        </w:tc>
      </w:tr>
    </w:tbl>
    <w:p>
      <w:pPr>
        <w:pStyle w:val="Heading2"/>
        <w:keepNext w:val="true"/>
        <w:pageBreakBefore w:val="false"/>
        <w:rPr/>
      </w:pPr>
      <w:r>
        <w:rPr>
          <w:rFonts w:eastAsia="Times New Roman" w:ascii="Times New Roman" w:hAnsi="Times New Roman"/>
          <w:b/>
          <w:color w:val="111111"/>
          <w:sz w:val="27"/>
        </w:rPr>
        <w:t>3.7 Statistical analysis plan</w:t>
      </w:r>
    </w:p>
    <w:p>
      <w:pPr>
        <w:pStyle w:val="ListBullet"/>
        <w:numPr>
          <w:ilvl w:val="0"/>
          <w:numId w:val="1"/>
        </w:numPr>
        <w:spacing w:lineRule="auto" w:line="312" w:before="0" w:after="80"/>
        <w:contextualSpacing/>
        <w:rPr/>
      </w:pPr>
      <w:r>
        <w:rPr>
          <w:rFonts w:eastAsia="Times New Roman"/>
          <w:color w:val="111111"/>
          <w:sz w:val="24"/>
        </w:rPr>
        <w:t>Use at least three fixed seeds, recommended 42, 123, and 456 unless an existing registered configuration already fixes another set.</w:t>
      </w:r>
    </w:p>
    <w:p>
      <w:pPr>
        <w:pStyle w:val="ListBullet"/>
        <w:numPr>
          <w:ilvl w:val="0"/>
          <w:numId w:val="1"/>
        </w:numPr>
        <w:spacing w:lineRule="auto" w:line="312" w:before="0" w:after="80"/>
        <w:contextualSpacing/>
        <w:rPr/>
      </w:pPr>
      <w:r>
        <w:rPr>
          <w:rFonts w:eastAsia="Times New Roman"/>
          <w:color w:val="111111"/>
          <w:sz w:val="24"/>
        </w:rPr>
        <w:t>Report every seed and the mean, standard deviation, median, and range; do not present only the best seed.</w:t>
      </w:r>
    </w:p>
    <w:p>
      <w:pPr>
        <w:pStyle w:val="ListBullet"/>
        <w:numPr>
          <w:ilvl w:val="0"/>
          <w:numId w:val="1"/>
        </w:numPr>
        <w:spacing w:lineRule="auto" w:line="312" w:before="0" w:after="80"/>
        <w:contextualSpacing/>
        <w:rPr/>
      </w:pPr>
      <w:r>
        <w:rPr>
          <w:rFonts w:eastAsia="Times New Roman"/>
          <w:color w:val="111111"/>
          <w:sz w:val="24"/>
        </w:rPr>
        <w:t>Use paired comparisons across conditions within each seed and identical evaluation examples.</w:t>
      </w:r>
    </w:p>
    <w:p>
      <w:pPr>
        <w:pStyle w:val="ListBullet"/>
        <w:numPr>
          <w:ilvl w:val="0"/>
          <w:numId w:val="1"/>
        </w:numPr>
        <w:spacing w:lineRule="auto" w:line="312" w:before="0" w:after="80"/>
        <w:contextualSpacing/>
        <w:rPr/>
      </w:pPr>
      <w:r>
        <w:rPr>
          <w:rFonts w:eastAsia="Times New Roman"/>
          <w:color w:val="111111"/>
          <w:sz w:val="24"/>
        </w:rPr>
        <w:t>Use bootstrap confidence intervals over evaluation examples when the metric supports resampling; document resampling unit and number of replicates.</w:t>
      </w:r>
    </w:p>
    <w:p>
      <w:pPr>
        <w:pStyle w:val="ListBullet"/>
        <w:numPr>
          <w:ilvl w:val="0"/>
          <w:numId w:val="1"/>
        </w:numPr>
        <w:spacing w:lineRule="auto" w:line="312" w:before="0" w:after="80"/>
        <w:contextualSpacing/>
        <w:rPr/>
      </w:pPr>
      <w:r>
        <w:rPr>
          <w:rFonts w:eastAsia="Times New Roman"/>
          <w:color w:val="111111"/>
          <w:sz w:val="24"/>
        </w:rPr>
        <w:t>Report effect sizes and confidence intervals. Treat p-values as descriptive unless assumptions, family of tests, and multiplicity correction are pre-specified.</w:t>
      </w:r>
    </w:p>
    <w:p>
      <w:pPr>
        <w:pStyle w:val="ListBullet"/>
        <w:numPr>
          <w:ilvl w:val="0"/>
          <w:numId w:val="1"/>
        </w:numPr>
        <w:spacing w:lineRule="auto" w:line="312" w:before="0" w:after="80"/>
        <w:contextualSpacing/>
        <w:rPr/>
      </w:pPr>
      <w:r>
        <w:rPr>
          <w:rFonts w:eastAsia="Times New Roman"/>
          <w:color w:val="111111"/>
          <w:sz w:val="24"/>
        </w:rPr>
        <w:t>Pre-specify a retained-utility floor and failure rules before inspecting the final condition results. A Pareto comparison is preferred to an arbitrary weighted rank.</w:t>
      </w:r>
    </w:p>
    <w:p>
      <w:pPr>
        <w:pStyle w:val="ListBullet"/>
        <w:numPr>
          <w:ilvl w:val="0"/>
          <w:numId w:val="1"/>
        </w:numPr>
        <w:spacing w:lineRule="auto" w:line="312" w:before="0" w:after="80"/>
        <w:contextualSpacing/>
        <w:rPr/>
      </w:pPr>
      <w:r>
        <w:rPr>
          <w:rFonts w:eastAsia="Times New Roman"/>
          <w:color w:val="111111"/>
          <w:sz w:val="24"/>
        </w:rPr>
        <w:t>Preserve negative and null results. Do not retune on the test split or remove failed seeds without a documented, implementation-based exclusion rule.</w:t>
      </w:r>
    </w:p>
    <w:p>
      <w:pPr>
        <w:pStyle w:val="Normal"/>
        <w:keepLines w:val="false"/>
        <w:spacing w:lineRule="auto" w:line="360" w:before="0" w:after="120"/>
        <w:jc w:val="both"/>
        <w:rPr/>
      </w:pPr>
      <w:r>
        <w:rPr>
          <w:rFonts w:eastAsia="Times New Roman"/>
          <w:i w:val="false"/>
          <w:color w:val="111111"/>
          <w:sz w:val="24"/>
        </w:rPr>
        <w:t>With only three seeds, inferential power across seeds is limited. Evaluation-example bootstrapping does not substitute for training-seed variability. The thesis should therefore emphasise uncertainty intervals, full seed disclosure, effect magnitude, and replicated direction rather than binary significance claims.</w:t>
      </w:r>
    </w:p>
    <w:p>
      <w:pPr>
        <w:pStyle w:val="Heading2"/>
        <w:keepNext w:val="true"/>
        <w:pageBreakBefore w:val="false"/>
        <w:rPr/>
      </w:pPr>
      <w:r>
        <w:rPr>
          <w:rFonts w:eastAsia="Times New Roman" w:ascii="Times New Roman" w:hAnsi="Times New Roman"/>
          <w:b/>
          <w:color w:val="111111"/>
          <w:sz w:val="27"/>
        </w:rPr>
        <w:t>3.8 Completed pilot programme</w:t>
      </w:r>
    </w:p>
    <w:p>
      <w:pPr>
        <w:pStyle w:val="Normal"/>
        <w:pBdr>
          <w:top w:val="single" w:sz="6" w:space="4" w:color="C9CDD2"/>
          <w:left w:val="single" w:sz="6" w:space="4" w:color="C9CDD2"/>
          <w:bottom w:val="single" w:sz="6" w:space="4" w:color="C9CDD2"/>
          <w:right w:val="single" w:sz="6" w:space="4" w:color="C9CDD2"/>
        </w:pBdr>
        <w:shd w:fill="FFF5D9" w:val="clear"/>
        <w:spacing w:lineRule="auto" w:line="276" w:before="120" w:after="160"/>
        <w:ind w:start="202" w:end="202"/>
        <w:jc w:val="start"/>
        <w:rPr/>
      </w:pPr>
      <w:r>
        <w:rPr>
          <w:rFonts w:eastAsia="Times New Roman"/>
          <w:b/>
          <w:color w:val="111111"/>
          <w:sz w:val="24"/>
        </w:rPr>
        <w:t>Interpretation boundary</w:t>
      </w:r>
      <w:r>
        <w:rPr>
          <w:rFonts w:eastAsia="Times New Roman"/>
          <w:color w:val="111111"/>
          <w:sz w:val="22"/>
        </w:rPr>
        <w:br/>
        <w:t>GATE1 and P1–P4 were engineering pilots performed before the full audit. They establish feasibility or reveal failure modes. They do not test the full FQ-SSIUU hypothesis and will not be mixed with final results.</w:t>
      </w:r>
    </w:p>
    <w:p>
      <w:pPr>
        <w:pStyle w:val="Heading3"/>
        <w:keepNext w:val="true"/>
        <w:pageBreakBefore w:val="false"/>
        <w:rPr/>
      </w:pPr>
      <w:r>
        <w:rPr>
          <w:rFonts w:eastAsia="Times New Roman" w:ascii="Times New Roman" w:hAnsi="Times New Roman"/>
          <w:b/>
          <w:color w:val="111111"/>
          <w:sz w:val="24"/>
        </w:rPr>
        <w:t>3.8.1 GATE1: NPO baseline feasibility</w:t>
      </w:r>
    </w:p>
    <w:p>
      <w:pPr>
        <w:pStyle w:val="Normal"/>
        <w:keepLines w:val="false"/>
        <w:spacing w:lineRule="auto" w:line="360" w:before="0" w:after="120"/>
        <w:jc w:val="both"/>
        <w:rPr/>
      </w:pPr>
      <w:r>
        <w:rPr>
          <w:rFonts w:eastAsia="Times New Roman"/>
          <w:i w:val="false"/>
          <w:color w:val="111111"/>
          <w:sz w:val="24"/>
        </w:rPr>
        <w:t>The GATE1 run trained full-model NPO for 60 steps on Kaggle dual T4 GPUs in approximately 12 minutes. The recorded evaluation was FQ = 0.3937182013 and MU = 0.5545008346. The run demonstrates that the base data, model, objective, checkpoint, and evaluation path execute within the available environment. It is a baseline feasibility result, not a multi-seed performance estimate.</w:t>
      </w:r>
    </w:p>
    <w:p>
      <w:pPr>
        <w:pStyle w:val="Heading3"/>
        <w:keepNext w:val="true"/>
        <w:pageBreakBefore w:val="false"/>
        <w:rPr/>
      </w:pPr>
      <w:r>
        <w:rPr>
          <w:rFonts w:eastAsia="Times New Roman" w:ascii="Times New Roman" w:hAnsi="Times New Roman"/>
          <w:b/>
          <w:color w:val="111111"/>
          <w:sz w:val="24"/>
        </w:rPr>
        <w:t>3.8.2 P1: three-precision evaluation</w:t>
      </w:r>
    </w:p>
    <w:tbl>
      <w:tblPr>
        <w:tblW w:w="8600" w:type="dxa"/>
        <w:jc w:val="start"/>
        <w:tblInd w:w="95" w:type="dxa"/>
        <w:tblLayout w:type="fixed"/>
        <w:tblCellMar>
          <w:top w:w="70" w:type="dxa"/>
          <w:start w:w="100" w:type="dxa"/>
          <w:bottom w:w="70" w:type="dxa"/>
          <w:end w:w="100" w:type="dxa"/>
        </w:tblCellMar>
        <w:tblLook w:noHBand="0" w:noVBand="1" w:firstColumn="1" w:lastRow="0" w:lastColumn="0" w:firstRow="1" w:val="04a0"/>
      </w:tblPr>
      <w:tblGrid>
        <w:gridCol w:w="1199"/>
        <w:gridCol w:w="1601"/>
        <w:gridCol w:w="1500"/>
        <w:gridCol w:w="4300"/>
      </w:tblGrid>
      <w:tr>
        <w:trPr>
          <w:tblHeader w:val="true"/>
          <w:cantSplit/>
        </w:trPr>
        <w:tc>
          <w:tcPr>
            <w:tcW w:w="1199" w:type="dxa"/>
            <w:tcBorders>
              <w:top w:val="single" w:sz="4" w:space="0" w:color="C9CDD2"/>
              <w:start w:val="single" w:sz="4" w:space="0" w:color="C9CDD2"/>
              <w:bottom w:val="single" w:sz="4" w:space="0" w:color="C9CDD2"/>
              <w:end w:val="single" w:sz="4" w:space="0" w:color="C9CDD2"/>
            </w:tcBorders>
            <w:shd w:fill="F3F4F6" w:val="clear"/>
          </w:tcPr>
          <w:p>
            <w:pPr>
              <w:pStyle w:val="TableText"/>
              <w:spacing w:lineRule="auto" w:line="240" w:before="0" w:after="40"/>
              <w:jc w:val="start"/>
              <w:rPr/>
            </w:pPr>
            <w:r>
              <w:rPr>
                <w:rFonts w:eastAsia="Times New Roman"/>
                <w:b/>
                <w:color w:val="111111"/>
                <w:sz w:val="18"/>
              </w:rPr>
              <w:t>Precision</w:t>
            </w:r>
          </w:p>
        </w:tc>
        <w:tc>
          <w:tcPr>
            <w:tcW w:w="1601" w:type="dxa"/>
            <w:tcBorders>
              <w:top w:val="single" w:sz="4" w:space="0" w:color="C9CDD2"/>
              <w:start w:val="single" w:sz="4" w:space="0" w:color="C9CDD2"/>
              <w:bottom w:val="single" w:sz="4" w:space="0" w:color="C9CDD2"/>
              <w:end w:val="single" w:sz="4" w:space="0" w:color="C9CDD2"/>
            </w:tcBorders>
            <w:shd w:fill="F3F4F6" w:val="clear"/>
          </w:tcPr>
          <w:p>
            <w:pPr>
              <w:pStyle w:val="TableText"/>
              <w:spacing w:lineRule="auto" w:line="240" w:before="0" w:after="40"/>
              <w:jc w:val="start"/>
              <w:rPr/>
            </w:pPr>
            <w:r>
              <w:rPr>
                <w:rFonts w:eastAsia="Times New Roman"/>
                <w:b/>
                <w:color w:val="111111"/>
                <w:sz w:val="18"/>
              </w:rPr>
              <w:t>Forget Quality</w:t>
            </w:r>
          </w:p>
        </w:tc>
        <w:tc>
          <w:tcPr>
            <w:tcW w:w="1500" w:type="dxa"/>
            <w:tcBorders>
              <w:top w:val="single" w:sz="4" w:space="0" w:color="C9CDD2"/>
              <w:start w:val="single" w:sz="4" w:space="0" w:color="C9CDD2"/>
              <w:bottom w:val="single" w:sz="4" w:space="0" w:color="C9CDD2"/>
              <w:end w:val="single" w:sz="4" w:space="0" w:color="C9CDD2"/>
            </w:tcBorders>
            <w:shd w:fill="F3F4F6" w:val="clear"/>
          </w:tcPr>
          <w:p>
            <w:pPr>
              <w:pStyle w:val="TableText"/>
              <w:spacing w:lineRule="auto" w:line="240" w:before="0" w:after="40"/>
              <w:jc w:val="start"/>
              <w:rPr/>
            </w:pPr>
            <w:r>
              <w:rPr>
                <w:rFonts w:eastAsia="Times New Roman"/>
                <w:b/>
                <w:color w:val="111111"/>
                <w:sz w:val="18"/>
              </w:rPr>
              <w:t>Model Utility</w:t>
            </w:r>
          </w:p>
        </w:tc>
        <w:tc>
          <w:tcPr>
            <w:tcW w:w="4300" w:type="dxa"/>
            <w:tcBorders>
              <w:top w:val="single" w:sz="4" w:space="0" w:color="C9CDD2"/>
              <w:start w:val="single" w:sz="4" w:space="0" w:color="C9CDD2"/>
              <w:bottom w:val="single" w:sz="4" w:space="0" w:color="C9CDD2"/>
              <w:end w:val="single" w:sz="4" w:space="0" w:color="C9CDD2"/>
            </w:tcBorders>
            <w:shd w:fill="F3F4F6" w:val="clear"/>
          </w:tcPr>
          <w:p>
            <w:pPr>
              <w:pStyle w:val="TableText"/>
              <w:spacing w:lineRule="auto" w:line="240" w:before="0" w:after="40"/>
              <w:jc w:val="start"/>
              <w:rPr/>
            </w:pPr>
            <w:r>
              <w:rPr>
                <w:rFonts w:eastAsia="Times New Roman"/>
                <w:b/>
                <w:color w:val="111111"/>
                <w:sz w:val="18"/>
              </w:rPr>
              <w:t>Observed direction</w:t>
            </w:r>
          </w:p>
        </w:tc>
      </w:tr>
      <w:tr>
        <w:trPr>
          <w:cantSplit/>
        </w:trPr>
        <w:tc>
          <w:tcPr>
            <w:tcW w:w="119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FP16</w:t>
            </w:r>
          </w:p>
        </w:tc>
        <w:tc>
          <w:tcPr>
            <w:tcW w:w="160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0.393718</w:t>
            </w:r>
          </w:p>
        </w:tc>
        <w:tc>
          <w:tcPr>
            <w:tcW w:w="15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0.554501</w:t>
            </w:r>
          </w:p>
        </w:tc>
        <w:tc>
          <w:tcPr>
            <w:tcW w:w="43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Reference pilot state</w:t>
            </w:r>
          </w:p>
        </w:tc>
      </w:tr>
      <w:tr>
        <w:trPr>
          <w:cantSplit/>
        </w:trPr>
        <w:tc>
          <w:tcPr>
            <w:tcW w:w="119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INT8</w:t>
            </w:r>
          </w:p>
        </w:tc>
        <w:tc>
          <w:tcPr>
            <w:tcW w:w="160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0.225985</w:t>
            </w:r>
          </w:p>
        </w:tc>
        <w:tc>
          <w:tcPr>
            <w:tcW w:w="15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0.548289</w:t>
            </w:r>
          </w:p>
        </w:tc>
        <w:tc>
          <w:tcPr>
            <w:tcW w:w="43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FQ decreases; MU is similar</w:t>
            </w:r>
          </w:p>
        </w:tc>
      </w:tr>
      <w:tr>
        <w:trPr>
          <w:cantSplit/>
        </w:trPr>
        <w:tc>
          <w:tcPr>
            <w:tcW w:w="119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NF4</w:t>
            </w:r>
          </w:p>
        </w:tc>
        <w:tc>
          <w:tcPr>
            <w:tcW w:w="160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0.478330</w:t>
            </w:r>
          </w:p>
        </w:tc>
        <w:tc>
          <w:tcPr>
            <w:tcW w:w="15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0.509014</w:t>
            </w:r>
          </w:p>
        </w:tc>
        <w:tc>
          <w:tcPr>
            <w:tcW w:w="43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FQ increases; MU decreases</w:t>
            </w:r>
          </w:p>
        </w:tc>
      </w:tr>
    </w:tbl>
    <w:p>
      <w:pPr>
        <w:pStyle w:val="Normal"/>
        <w:keepLines w:val="false"/>
        <w:spacing w:lineRule="auto" w:line="360" w:before="0" w:after="120"/>
        <w:jc w:val="both"/>
        <w:rPr/>
      </w:pPr>
      <w:r>
        <w:rPr>
          <w:rFonts w:eastAsia="Times New Roman"/>
          <w:i w:val="false"/>
          <w:color w:val="111111"/>
          <w:sz w:val="24"/>
        </w:rPr>
        <w:t>The internal value 0.214906 is the absolute relative FQ change between FP16 and NF4. The original label ‘Q-INT4’ is withdrawn because the statistic is unsigned and differs from the published metric. The mixed metric directions mean P1 establishes that quantisation changes the evaluator outcomes, but it does not demonstrate recovery. A directional memorisation metric and repeated seeds are required.</w:t>
      </w:r>
    </w:p>
    <w:p>
      <w:pPr>
        <w:pStyle w:val="Heading3"/>
        <w:keepNext w:val="true"/>
        <w:pageBreakBefore w:val="false"/>
        <w:rPr/>
      </w:pPr>
      <w:r>
        <w:rPr>
          <w:rFonts w:eastAsia="Times New Roman" w:ascii="Times New Roman" w:hAnsi="Times New Roman"/>
          <w:b/>
          <w:color w:val="111111"/>
          <w:sz w:val="24"/>
        </w:rPr>
        <w:t>3.8.3 P2: offline attribution feasibility</w:t>
      </w:r>
    </w:p>
    <w:tbl>
      <w:tblPr>
        <w:tblW w:w="8600" w:type="dxa"/>
        <w:jc w:val="start"/>
        <w:tblInd w:w="95" w:type="dxa"/>
        <w:tblLayout w:type="fixed"/>
        <w:tblCellMar>
          <w:top w:w="70" w:type="dxa"/>
          <w:start w:w="100" w:type="dxa"/>
          <w:bottom w:w="70" w:type="dxa"/>
          <w:end w:w="100" w:type="dxa"/>
        </w:tblCellMar>
        <w:tblLook w:noHBand="0" w:noVBand="1" w:firstColumn="1" w:lastRow="0" w:lastColumn="0" w:firstRow="1" w:val="04a0"/>
      </w:tblPr>
      <w:tblGrid>
        <w:gridCol w:w="1849"/>
        <w:gridCol w:w="6751"/>
      </w:tblGrid>
      <w:tr>
        <w:trPr>
          <w:tblHeader w:val="true"/>
          <w:cantSplit/>
        </w:trPr>
        <w:tc>
          <w:tcPr>
            <w:tcW w:w="1849" w:type="dxa"/>
            <w:tcBorders>
              <w:top w:val="single" w:sz="4" w:space="0" w:color="C9CDD2"/>
              <w:start w:val="single" w:sz="4" w:space="0" w:color="C9CDD2"/>
              <w:bottom w:val="single" w:sz="4" w:space="0" w:color="C9CDD2"/>
              <w:end w:val="single" w:sz="4" w:space="0" w:color="C9CDD2"/>
            </w:tcBorders>
            <w:shd w:fill="F3F4F6" w:val="clear"/>
          </w:tcPr>
          <w:p>
            <w:pPr>
              <w:pStyle w:val="TableText"/>
              <w:spacing w:lineRule="auto" w:line="240" w:before="0" w:after="40"/>
              <w:jc w:val="start"/>
              <w:rPr/>
            </w:pPr>
            <w:r>
              <w:rPr>
                <w:rFonts w:eastAsia="Times New Roman"/>
                <w:b/>
                <w:color w:val="111111"/>
                <w:sz w:val="18"/>
              </w:rPr>
              <w:t>Item</w:t>
            </w:r>
          </w:p>
        </w:tc>
        <w:tc>
          <w:tcPr>
            <w:tcW w:w="6751" w:type="dxa"/>
            <w:tcBorders>
              <w:top w:val="single" w:sz="4" w:space="0" w:color="C9CDD2"/>
              <w:start w:val="single" w:sz="4" w:space="0" w:color="C9CDD2"/>
              <w:bottom w:val="single" w:sz="4" w:space="0" w:color="C9CDD2"/>
              <w:end w:val="single" w:sz="4" w:space="0" w:color="C9CDD2"/>
            </w:tcBorders>
            <w:shd w:fill="F3F4F6" w:val="clear"/>
          </w:tcPr>
          <w:p>
            <w:pPr>
              <w:pStyle w:val="TableText"/>
              <w:spacing w:lineRule="auto" w:line="240" w:before="0" w:after="40"/>
              <w:jc w:val="start"/>
              <w:rPr/>
            </w:pPr>
            <w:r>
              <w:rPr>
                <w:rFonts w:eastAsia="Times New Roman"/>
                <w:b/>
                <w:color w:val="111111"/>
                <w:sz w:val="18"/>
              </w:rPr>
              <w:t>Recorded result</w:t>
            </w:r>
          </w:p>
        </w:tc>
      </w:tr>
      <w:tr>
        <w:trPr>
          <w:cantSplit/>
        </w:trPr>
        <w:tc>
          <w:tcPr>
            <w:tcW w:w="184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Method</w:t>
            </w:r>
          </w:p>
        </w:tc>
        <w:tc>
          <w:tcPr>
            <w:tcW w:w="675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Captum LayerIntegratedGradients</w:t>
            </w:r>
          </w:p>
        </w:tc>
      </w:tr>
      <w:tr>
        <w:trPr>
          <w:cantSplit/>
        </w:trPr>
        <w:tc>
          <w:tcPr>
            <w:tcW w:w="184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Layer</w:t>
            </w:r>
          </w:p>
        </w:tc>
        <w:tc>
          <w:tcPr>
            <w:tcW w:w="675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Transformer layer 14 of 16; near-final</w:t>
            </w:r>
          </w:p>
        </w:tc>
      </w:tr>
      <w:tr>
        <w:trPr>
          <w:cantSplit/>
        </w:trPr>
        <w:tc>
          <w:tcPr>
            <w:tcW w:w="184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Batch</w:t>
            </w:r>
          </w:p>
        </w:tc>
        <w:tc>
          <w:tcPr>
            <w:tcW w:w="675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2 examples; 20 integration steps</w:t>
            </w:r>
          </w:p>
        </w:tc>
      </w:tr>
      <w:tr>
        <w:trPr>
          <w:cantSplit/>
        </w:trPr>
        <w:tc>
          <w:tcPr>
            <w:tcW w:w="184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Tensor</w:t>
            </w:r>
          </w:p>
        </w:tc>
        <w:tc>
          <w:tcPr>
            <w:tcW w:w="675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[2, 40, 2048]; non-zero fraction 0.974908</w:t>
            </w:r>
          </w:p>
        </w:tc>
      </w:tr>
      <w:tr>
        <w:trPr>
          <w:cantSplit/>
        </w:trPr>
        <w:tc>
          <w:tcPr>
            <w:tcW w:w="184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Resources</w:t>
            </w:r>
          </w:p>
        </w:tc>
        <w:tc>
          <w:tcPr>
            <w:tcW w:w="675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VRAM 2.302→2.511 GB; approximately 1.1 seconds</w:t>
            </w:r>
          </w:p>
        </w:tc>
      </w:tr>
    </w:tbl>
    <w:p>
      <w:pPr>
        <w:pStyle w:val="Normal"/>
        <w:keepLines w:val="false"/>
        <w:spacing w:lineRule="auto" w:line="360" w:before="0" w:after="120"/>
        <w:jc w:val="both"/>
        <w:rPr/>
      </w:pPr>
      <w:r>
        <w:rPr>
          <w:rFonts w:eastAsia="Times New Roman"/>
          <w:i w:val="false"/>
          <w:color w:val="111111"/>
          <w:sz w:val="24"/>
        </w:rPr>
        <w:t>P2 demonstrates that offline Layer Integrated Gradients can be computed for one small batch. It does not establish that per-step attribution is affordable, stable, equivalent to Ssiuu, or differentiable through the training objective. The layer was previously described as middle; the model has 16 layers, so layer 14 is near-final.</w:t>
      </w:r>
    </w:p>
    <w:p>
      <w:pPr>
        <w:pStyle w:val="Heading3"/>
        <w:keepNext w:val="true"/>
        <w:pageBreakBefore w:val="false"/>
        <w:rPr/>
      </w:pPr>
      <w:r>
        <w:rPr>
          <w:rFonts w:eastAsia="Times New Roman" w:ascii="Times New Roman" w:hAnsi="Times New Roman"/>
          <w:b/>
          <w:color w:val="111111"/>
          <w:sz w:val="24"/>
        </w:rPr>
        <w:t>3.8.4 P3: reduced fake-quant training loop</w:t>
      </w:r>
    </w:p>
    <w:p>
      <w:pPr>
        <w:pStyle w:val="Normal"/>
        <w:keepLines w:val="false"/>
        <w:spacing w:lineRule="auto" w:line="360" w:before="0" w:after="120"/>
        <w:jc w:val="both"/>
        <w:rPr/>
      </w:pPr>
      <w:r>
        <w:rPr>
          <w:rFonts w:eastAsia="Times New Roman"/>
          <w:i w:val="false"/>
          <w:color w:val="111111"/>
          <w:sz w:val="24"/>
        </w:rPr>
        <w:t>P3 ran a reduced NPO plus adapter-output fake-quant loop on TOFU forget01 for 5 epochs and 200 optimiser steps. Training loss decreased from 13.723871 to 8.647639, peak VRAM was 3.593 GB, and a basic coherence prompt passed. This demonstrates loop stability and low memory use. It does not test SSIUU, forget05, a deployed NF4 weight path, or post-training durability. The recorded post-clip norm criterion is tautological because clipping itself enforces the bound and should be removed as an independent success criterion.</w:t>
      </w:r>
    </w:p>
    <w:p>
      <w:pPr>
        <w:pStyle w:val="Heading3"/>
        <w:keepNext w:val="true"/>
        <w:pageBreakBefore w:val="false"/>
        <w:rPr/>
      </w:pPr>
      <w:r>
        <w:rPr>
          <w:rFonts w:eastAsia="Times New Roman" w:ascii="Times New Roman" w:hAnsi="Times New Roman"/>
          <w:b/>
          <w:color w:val="111111"/>
          <w:sz w:val="24"/>
        </w:rPr>
        <w:t>3.8.5 P4: failed incomplete QUAIL-like surrogate</w:t>
      </w:r>
    </w:p>
    <w:tbl>
      <w:tblPr>
        <w:tblW w:w="6600" w:type="dxa"/>
        <w:jc w:val="start"/>
        <w:tblInd w:w="95" w:type="dxa"/>
        <w:tblLayout w:type="fixed"/>
        <w:tblCellMar>
          <w:top w:w="70" w:type="dxa"/>
          <w:start w:w="100" w:type="dxa"/>
          <w:bottom w:w="70" w:type="dxa"/>
          <w:end w:w="100" w:type="dxa"/>
        </w:tblCellMar>
        <w:tblLook w:noHBand="0" w:noVBand="1" w:firstColumn="1" w:lastRow="0" w:lastColumn="0" w:firstRow="1" w:val="04a0"/>
      </w:tblPr>
      <w:tblGrid>
        <w:gridCol w:w="1700"/>
        <w:gridCol w:w="2500"/>
        <w:gridCol w:w="2400"/>
      </w:tblGrid>
      <w:tr>
        <w:trPr>
          <w:tblHeader w:val="true"/>
          <w:cantSplit/>
        </w:trPr>
        <w:tc>
          <w:tcPr>
            <w:tcW w:w="1700" w:type="dxa"/>
            <w:tcBorders>
              <w:top w:val="single" w:sz="4" w:space="0" w:color="C9CDD2"/>
              <w:start w:val="single" w:sz="4" w:space="0" w:color="C9CDD2"/>
              <w:bottom w:val="single" w:sz="4" w:space="0" w:color="C9CDD2"/>
              <w:end w:val="single" w:sz="4" w:space="0" w:color="C9CDD2"/>
            </w:tcBorders>
            <w:shd w:fill="F3F4F6" w:val="clear"/>
          </w:tcPr>
          <w:p>
            <w:pPr>
              <w:pStyle w:val="TableText"/>
              <w:spacing w:lineRule="auto" w:line="240" w:before="0" w:after="40"/>
              <w:jc w:val="start"/>
              <w:rPr/>
            </w:pPr>
            <w:r>
              <w:rPr>
                <w:rFonts w:eastAsia="Times New Roman"/>
                <w:b/>
                <w:color w:val="111111"/>
                <w:sz w:val="18"/>
              </w:rPr>
              <w:t>Precision</w:t>
            </w:r>
          </w:p>
        </w:tc>
        <w:tc>
          <w:tcPr>
            <w:tcW w:w="2500" w:type="dxa"/>
            <w:tcBorders>
              <w:top w:val="single" w:sz="4" w:space="0" w:color="C9CDD2"/>
              <w:start w:val="single" w:sz="4" w:space="0" w:color="C9CDD2"/>
              <w:bottom w:val="single" w:sz="4" w:space="0" w:color="C9CDD2"/>
              <w:end w:val="single" w:sz="4" w:space="0" w:color="C9CDD2"/>
            </w:tcBorders>
            <w:shd w:fill="F3F4F6" w:val="clear"/>
          </w:tcPr>
          <w:p>
            <w:pPr>
              <w:pStyle w:val="TableText"/>
              <w:spacing w:lineRule="auto" w:line="240" w:before="0" w:after="40"/>
              <w:jc w:val="start"/>
              <w:rPr/>
            </w:pPr>
            <w:r>
              <w:rPr>
                <w:rFonts w:eastAsia="Times New Roman"/>
                <w:b/>
                <w:color w:val="111111"/>
                <w:sz w:val="18"/>
              </w:rPr>
              <w:t>Forget Quality</w:t>
            </w:r>
          </w:p>
        </w:tc>
        <w:tc>
          <w:tcPr>
            <w:tcW w:w="2400" w:type="dxa"/>
            <w:tcBorders>
              <w:top w:val="single" w:sz="4" w:space="0" w:color="C9CDD2"/>
              <w:start w:val="single" w:sz="4" w:space="0" w:color="C9CDD2"/>
              <w:bottom w:val="single" w:sz="4" w:space="0" w:color="C9CDD2"/>
              <w:end w:val="single" w:sz="4" w:space="0" w:color="C9CDD2"/>
            </w:tcBorders>
            <w:shd w:fill="F3F4F6" w:val="clear"/>
          </w:tcPr>
          <w:p>
            <w:pPr>
              <w:pStyle w:val="TableText"/>
              <w:spacing w:lineRule="auto" w:line="240" w:before="0" w:after="40"/>
              <w:jc w:val="start"/>
              <w:rPr/>
            </w:pPr>
            <w:r>
              <w:rPr>
                <w:rFonts w:eastAsia="Times New Roman"/>
                <w:b/>
                <w:color w:val="111111"/>
                <w:sz w:val="18"/>
              </w:rPr>
              <w:t>Model Utility</w:t>
            </w:r>
          </w:p>
        </w:tc>
      </w:tr>
      <w:tr>
        <w:trPr>
          <w:cantSplit/>
        </w:trPr>
        <w:tc>
          <w:tcPr>
            <w:tcW w:w="17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FP16</w:t>
            </w:r>
          </w:p>
        </w:tc>
        <w:tc>
          <w:tcPr>
            <w:tcW w:w="25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0.000121104</w:t>
            </w:r>
          </w:p>
        </w:tc>
        <w:tc>
          <w:tcPr>
            <w:tcW w:w="24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0.280369</w:t>
            </w:r>
          </w:p>
        </w:tc>
      </w:tr>
      <w:tr>
        <w:trPr>
          <w:cantSplit/>
        </w:trPr>
        <w:tc>
          <w:tcPr>
            <w:tcW w:w="17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INT8</w:t>
            </w:r>
          </w:p>
        </w:tc>
        <w:tc>
          <w:tcPr>
            <w:tcW w:w="25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0.000328860</w:t>
            </w:r>
          </w:p>
        </w:tc>
        <w:tc>
          <w:tcPr>
            <w:tcW w:w="24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0.282002</w:t>
            </w:r>
          </w:p>
        </w:tc>
      </w:tr>
      <w:tr>
        <w:trPr>
          <w:cantSplit/>
        </w:trPr>
        <w:tc>
          <w:tcPr>
            <w:tcW w:w="17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NF4</w:t>
            </w:r>
          </w:p>
        </w:tc>
        <w:tc>
          <w:tcPr>
            <w:tcW w:w="25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0.000093529</w:t>
            </w:r>
          </w:p>
        </w:tc>
        <w:tc>
          <w:tcPr>
            <w:tcW w:w="24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0.282432</w:t>
            </w:r>
          </w:p>
        </w:tc>
      </w:tr>
    </w:tbl>
    <w:p>
      <w:pPr>
        <w:pStyle w:val="Normal"/>
        <w:keepLines w:val="false"/>
        <w:spacing w:lineRule="auto" w:line="360" w:before="0" w:after="120"/>
        <w:jc w:val="both"/>
        <w:rPr/>
      </w:pPr>
      <w:r>
        <w:rPr>
          <w:rFonts w:eastAsia="Times New Roman"/>
          <w:i w:val="false"/>
          <w:color w:val="111111"/>
          <w:sz w:val="24"/>
        </w:rPr>
        <w:t>P4 used one seed on forget05 for 10 epochs and 70 optimiser steps, with approximately 4,741 seconds training and 1,255 seconds evaluation. The extremely small FQ values indicate a large difference from the retain-only oracle and therefore failed forgetting under the TOFU interpretation; MU around 0.28 indicates severe utility loss.</w:t>
      </w:r>
    </w:p>
    <w:p>
      <w:pPr>
        <w:pStyle w:val="Normal"/>
        <w:keepLines w:val="false"/>
        <w:spacing w:lineRule="auto" w:line="360" w:before="0" w:after="120"/>
        <w:jc w:val="both"/>
        <w:rPr/>
      </w:pPr>
      <w:r>
        <w:rPr>
          <w:rFonts w:eastAsia="Times New Roman"/>
          <w:i w:val="false"/>
          <w:color w:val="111111"/>
          <w:sz w:val="24"/>
        </w:rPr>
        <w:t>The implementation is also not a faithful QUAIL baseline. It uses a target-token hinge with margin 4.2×10⁻⁴ and omits the published forget and retain losses. The published objective averages across logit dimensions, uses a logit margin Δq = 1.0, and combines αLforget + (1−α)Lretain + γLhinge [5]. P4 must be retained in the failure log as an incomplete surrogate, not cited as evidence about QUAIL itself.</w:t>
      </w:r>
    </w:p>
    <w:p>
      <w:pPr>
        <w:pStyle w:val="Heading2"/>
        <w:keepNext w:val="true"/>
        <w:pageBreakBefore w:val="false"/>
        <w:rPr/>
      </w:pPr>
      <w:r>
        <w:rPr>
          <w:rFonts w:eastAsia="Times New Roman" w:ascii="Times New Roman" w:hAnsi="Times New Roman"/>
          <w:b/>
          <w:color w:val="111111"/>
          <w:sz w:val="27"/>
        </w:rPr>
        <w:t>3.9 Implementation audit and required corrections</w:t>
      </w:r>
    </w:p>
    <w:tbl>
      <w:tblPr>
        <w:tblW w:w="8600" w:type="dxa"/>
        <w:jc w:val="start"/>
        <w:tblInd w:w="95" w:type="dxa"/>
        <w:tblLayout w:type="fixed"/>
        <w:tblCellMar>
          <w:top w:w="70" w:type="dxa"/>
          <w:start w:w="100" w:type="dxa"/>
          <w:bottom w:w="70" w:type="dxa"/>
          <w:end w:w="100" w:type="dxa"/>
        </w:tblCellMar>
        <w:tblLook w:noHBand="0" w:noVBand="1" w:firstColumn="1" w:lastRow="0" w:lastColumn="0" w:firstRow="1" w:val="04a0"/>
      </w:tblPr>
      <w:tblGrid>
        <w:gridCol w:w="700"/>
        <w:gridCol w:w="1899"/>
        <w:gridCol w:w="2850"/>
        <w:gridCol w:w="3151"/>
      </w:tblGrid>
      <w:tr>
        <w:trPr>
          <w:tblHeader w:val="true"/>
          <w:cantSplit/>
        </w:trPr>
        <w:tc>
          <w:tcPr>
            <w:tcW w:w="700" w:type="dxa"/>
            <w:tcBorders>
              <w:top w:val="single" w:sz="4" w:space="0" w:color="C9CDD2"/>
              <w:start w:val="single" w:sz="4" w:space="0" w:color="C9CDD2"/>
              <w:bottom w:val="single" w:sz="4" w:space="0" w:color="C9CDD2"/>
              <w:end w:val="single" w:sz="4" w:space="0" w:color="C9CDD2"/>
            </w:tcBorders>
            <w:shd w:fill="F3F4F6" w:val="clear"/>
          </w:tcPr>
          <w:p>
            <w:pPr>
              <w:pStyle w:val="TableText"/>
              <w:spacing w:lineRule="auto" w:line="240" w:before="0" w:after="40"/>
              <w:jc w:val="start"/>
              <w:rPr/>
            </w:pPr>
            <w:r>
              <w:rPr>
                <w:rFonts w:eastAsia="Times New Roman"/>
                <w:b/>
                <w:color w:val="111111"/>
                <w:sz w:val="16"/>
              </w:rPr>
              <w:t>Priority</w:t>
            </w:r>
          </w:p>
        </w:tc>
        <w:tc>
          <w:tcPr>
            <w:tcW w:w="1899" w:type="dxa"/>
            <w:tcBorders>
              <w:top w:val="single" w:sz="4" w:space="0" w:color="C9CDD2"/>
              <w:start w:val="single" w:sz="4" w:space="0" w:color="C9CDD2"/>
              <w:bottom w:val="single" w:sz="4" w:space="0" w:color="C9CDD2"/>
              <w:end w:val="single" w:sz="4" w:space="0" w:color="C9CDD2"/>
            </w:tcBorders>
            <w:shd w:fill="F3F4F6" w:val="clear"/>
          </w:tcPr>
          <w:p>
            <w:pPr>
              <w:pStyle w:val="TableText"/>
              <w:spacing w:lineRule="auto" w:line="240" w:before="0" w:after="40"/>
              <w:jc w:val="start"/>
              <w:rPr/>
            </w:pPr>
            <w:r>
              <w:rPr>
                <w:rFonts w:eastAsia="Times New Roman"/>
                <w:b/>
                <w:color w:val="111111"/>
                <w:sz w:val="16"/>
              </w:rPr>
              <w:t>Issue</w:t>
            </w:r>
          </w:p>
        </w:tc>
        <w:tc>
          <w:tcPr>
            <w:tcW w:w="2850" w:type="dxa"/>
            <w:tcBorders>
              <w:top w:val="single" w:sz="4" w:space="0" w:color="C9CDD2"/>
              <w:start w:val="single" w:sz="4" w:space="0" w:color="C9CDD2"/>
              <w:bottom w:val="single" w:sz="4" w:space="0" w:color="C9CDD2"/>
              <w:end w:val="single" w:sz="4" w:space="0" w:color="C9CDD2"/>
            </w:tcBorders>
            <w:shd w:fill="F3F4F6" w:val="clear"/>
          </w:tcPr>
          <w:p>
            <w:pPr>
              <w:pStyle w:val="TableText"/>
              <w:spacing w:lineRule="auto" w:line="240" w:before="0" w:after="40"/>
              <w:jc w:val="start"/>
              <w:rPr/>
            </w:pPr>
            <w:r>
              <w:rPr>
                <w:rFonts w:eastAsia="Times New Roman"/>
                <w:b/>
                <w:color w:val="111111"/>
                <w:sz w:val="16"/>
              </w:rPr>
              <w:t>Evidence</w:t>
            </w:r>
          </w:p>
        </w:tc>
        <w:tc>
          <w:tcPr>
            <w:tcW w:w="3151" w:type="dxa"/>
            <w:tcBorders>
              <w:top w:val="single" w:sz="4" w:space="0" w:color="C9CDD2"/>
              <w:start w:val="single" w:sz="4" w:space="0" w:color="C9CDD2"/>
              <w:bottom w:val="single" w:sz="4" w:space="0" w:color="C9CDD2"/>
              <w:end w:val="single" w:sz="4" w:space="0" w:color="C9CDD2"/>
            </w:tcBorders>
            <w:shd w:fill="F3F4F6" w:val="clear"/>
          </w:tcPr>
          <w:p>
            <w:pPr>
              <w:pStyle w:val="TableText"/>
              <w:spacing w:lineRule="auto" w:line="240" w:before="0" w:after="40"/>
              <w:jc w:val="start"/>
              <w:rPr/>
            </w:pPr>
            <w:r>
              <w:rPr>
                <w:rFonts w:eastAsia="Times New Roman"/>
                <w:b/>
                <w:color w:val="111111"/>
                <w:sz w:val="16"/>
              </w:rPr>
              <w:t>Required action</w:t>
            </w:r>
          </w:p>
        </w:tc>
      </w:tr>
      <w:tr>
        <w:trPr>
          <w:cantSplit/>
        </w:trPr>
        <w:tc>
          <w:tcPr>
            <w:tcW w:w="7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6"/>
              </w:rPr>
              <w:t>P0</w:t>
            </w:r>
          </w:p>
        </w:tc>
        <w:tc>
          <w:tcPr>
            <w:tcW w:w="189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6"/>
              </w:rPr>
              <w:t>Attribution loss is detached</w:t>
            </w:r>
          </w:p>
        </w:tc>
        <w:tc>
          <w:tcPr>
            <w:tcW w:w="285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6"/>
              </w:rPr>
              <w:t>`return d_neg.detach()` prevents Lattr from changing trainable parameters.</w:t>
            </w:r>
          </w:p>
        </w:tc>
        <w:tc>
          <w:tcPr>
            <w:tcW w:w="315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6"/>
              </w:rPr>
              <w:t>Remove detach or implement faithful higher-order path; add non-zero gradient unit test.</w:t>
            </w:r>
          </w:p>
        </w:tc>
      </w:tr>
      <w:tr>
        <w:trPr>
          <w:cantSplit/>
        </w:trPr>
        <w:tc>
          <w:tcPr>
            <w:tcW w:w="7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6"/>
              </w:rPr>
              <w:t>P0</w:t>
            </w:r>
          </w:p>
        </w:tc>
        <w:tc>
          <w:tcPr>
            <w:tcW w:w="189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6"/>
              </w:rPr>
              <w:t>Quantisation location mismatch</w:t>
            </w:r>
          </w:p>
        </w:tc>
        <w:tc>
          <w:tcPr>
            <w:tcW w:w="285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6"/>
              </w:rPr>
              <w:t>Pilot quantises adapter-output activations with dynamic uniform scale, not merged effective weights or NF4.</w:t>
            </w:r>
          </w:p>
        </w:tc>
        <w:tc>
          <w:tcPr>
            <w:tcW w:w="315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6"/>
              </w:rPr>
              <w:t>Implement deployment-matched weight fake quantisation and a mismatch ablation.</w:t>
            </w:r>
          </w:p>
        </w:tc>
      </w:tr>
      <w:tr>
        <w:trPr>
          <w:cantSplit/>
        </w:trPr>
        <w:tc>
          <w:tcPr>
            <w:tcW w:w="7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6"/>
              </w:rPr>
              <w:t>P0</w:t>
            </w:r>
          </w:p>
        </w:tc>
        <w:tc>
          <w:tcPr>
            <w:tcW w:w="189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6"/>
              </w:rPr>
              <w:t>Metric misuse</w:t>
            </w:r>
          </w:p>
        </w:tc>
        <w:tc>
          <w:tcPr>
            <w:tcW w:w="285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6"/>
              </w:rPr>
              <w:t>0.214906 was called Q-INT4 although it is an unsigned relative FQ change.</w:t>
            </w:r>
          </w:p>
        </w:tc>
        <w:tc>
          <w:tcPr>
            <w:tcW w:w="315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6"/>
              </w:rPr>
              <w:t>Rename Sₚ(FQ); add directional memorisation recovery; preserve raw values.</w:t>
            </w:r>
          </w:p>
        </w:tc>
      </w:tr>
      <w:tr>
        <w:trPr>
          <w:cantSplit/>
        </w:trPr>
        <w:tc>
          <w:tcPr>
            <w:tcW w:w="7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6"/>
              </w:rPr>
              <w:t>P0</w:t>
            </w:r>
          </w:p>
        </w:tc>
        <w:tc>
          <w:tcPr>
            <w:tcW w:w="189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6"/>
              </w:rPr>
              <w:t>P4 not faithful QUAIL</w:t>
            </w:r>
          </w:p>
        </w:tc>
        <w:tc>
          <w:tcPr>
            <w:tcW w:w="285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6"/>
              </w:rPr>
              <w:t>Forget/retain terms omitted; hinge target and margin differ.</w:t>
            </w:r>
          </w:p>
        </w:tc>
        <w:tc>
          <w:tcPr>
            <w:tcW w:w="315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6"/>
              </w:rPr>
              <w:t>Reimplement the published objective or remove C8 from the confirmatory set.</w:t>
            </w:r>
          </w:p>
        </w:tc>
      </w:tr>
      <w:tr>
        <w:trPr>
          <w:cantSplit/>
        </w:trPr>
        <w:tc>
          <w:tcPr>
            <w:tcW w:w="7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6"/>
              </w:rPr>
              <w:t>P1</w:t>
            </w:r>
          </w:p>
        </w:tc>
        <w:tc>
          <w:tcPr>
            <w:tcW w:w="189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6"/>
              </w:rPr>
              <w:t>Attribution target incomplete</w:t>
            </w:r>
          </w:p>
        </w:tc>
        <w:tc>
          <w:tcPr>
            <w:tcW w:w="285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6"/>
              </w:rPr>
              <w:t>Attention mask ignored; scalar formed by summing all logits; static initial baseline.</w:t>
            </w:r>
          </w:p>
        </w:tc>
        <w:tc>
          <w:tcPr>
            <w:tcW w:w="315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6"/>
              </w:rPr>
              <w:t>Define response-token scalar, masks, baseline, aggregation, and stability tests.</w:t>
            </w:r>
          </w:p>
        </w:tc>
      </w:tr>
      <w:tr>
        <w:trPr>
          <w:cantSplit/>
        </w:trPr>
        <w:tc>
          <w:tcPr>
            <w:tcW w:w="7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6"/>
              </w:rPr>
              <w:t>P1</w:t>
            </w:r>
          </w:p>
        </w:tc>
        <w:tc>
          <w:tcPr>
            <w:tcW w:w="189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6"/>
              </w:rPr>
              <w:t>Architecture description</w:t>
            </w:r>
          </w:p>
        </w:tc>
        <w:tc>
          <w:tcPr>
            <w:tcW w:w="285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6"/>
              </w:rPr>
              <w:t>Layer 14 called middle in a 16-layer model.</w:t>
            </w:r>
          </w:p>
        </w:tc>
        <w:tc>
          <w:tcPr>
            <w:tcW w:w="315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6"/>
              </w:rPr>
              <w:t>Correct all records and justify selected layers.</w:t>
            </w:r>
          </w:p>
        </w:tc>
      </w:tr>
      <w:tr>
        <w:trPr>
          <w:cantSplit/>
        </w:trPr>
        <w:tc>
          <w:tcPr>
            <w:tcW w:w="7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6"/>
              </w:rPr>
              <w:t>P1</w:t>
            </w:r>
          </w:p>
        </w:tc>
        <w:tc>
          <w:tcPr>
            <w:tcW w:w="189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6"/>
              </w:rPr>
              <w:t>NPO documentation</w:t>
            </w:r>
          </w:p>
        </w:tc>
        <w:tc>
          <w:tcPr>
            <w:tcW w:w="285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6"/>
              </w:rPr>
              <w:t>Docstring states an incorrect limiting value and upper bound.</w:t>
            </w:r>
          </w:p>
        </w:tc>
        <w:tc>
          <w:tcPr>
            <w:tcW w:w="315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6"/>
              </w:rPr>
              <w:t>Correct the mathematical description and test token masking.</w:t>
            </w:r>
          </w:p>
        </w:tc>
      </w:tr>
      <w:tr>
        <w:trPr>
          <w:cantSplit/>
        </w:trPr>
        <w:tc>
          <w:tcPr>
            <w:tcW w:w="7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6"/>
              </w:rPr>
              <w:t>P1</w:t>
            </w:r>
          </w:p>
        </w:tc>
        <w:tc>
          <w:tcPr>
            <w:tcW w:w="189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6"/>
              </w:rPr>
              <w:t>Certificate path broken</w:t>
            </w:r>
          </w:p>
        </w:tc>
        <w:tc>
          <w:tcPr>
            <w:tcW w:w="285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6"/>
              </w:rPr>
              <w:t>Precision keys and a required threshold field do not match the pipeline/config.</w:t>
            </w:r>
          </w:p>
        </w:tc>
        <w:tc>
          <w:tcPr>
            <w:tcW w:w="315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6"/>
              </w:rPr>
              <w:t>Repair schema; label output empirical durability report, not formal certificate.</w:t>
            </w:r>
          </w:p>
        </w:tc>
      </w:tr>
      <w:tr>
        <w:trPr>
          <w:cantSplit/>
        </w:trPr>
        <w:tc>
          <w:tcPr>
            <w:tcW w:w="7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6"/>
              </w:rPr>
              <w:t>P1</w:t>
            </w:r>
          </w:p>
        </w:tc>
        <w:tc>
          <w:tcPr>
            <w:tcW w:w="189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6"/>
              </w:rPr>
              <w:t>Environment not locked</w:t>
            </w:r>
          </w:p>
        </w:tc>
        <w:tc>
          <w:tcPr>
            <w:tcW w:w="285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6"/>
              </w:rPr>
              <w:t>`requirements_locked.txt` is a placeholder.</w:t>
            </w:r>
          </w:p>
        </w:tc>
        <w:tc>
          <w:tcPr>
            <w:tcW w:w="315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6"/>
              </w:rPr>
              <w:t>Export exact package versions, CUDA/PyTorch stack, model/dataset revisions.</w:t>
            </w:r>
          </w:p>
        </w:tc>
      </w:tr>
      <w:tr>
        <w:trPr>
          <w:cantSplit/>
        </w:trPr>
        <w:tc>
          <w:tcPr>
            <w:tcW w:w="7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6"/>
              </w:rPr>
              <w:t>P2</w:t>
            </w:r>
          </w:p>
        </w:tc>
        <w:tc>
          <w:tcPr>
            <w:tcW w:w="189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6"/>
              </w:rPr>
              <w:t>Advertised UDT path absent</w:t>
            </w:r>
          </w:p>
        </w:tc>
        <w:tc>
          <w:tcPr>
            <w:tcW w:w="285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6"/>
              </w:rPr>
              <w:t>The referenced UDT package is empty.</w:t>
            </w:r>
          </w:p>
        </w:tc>
        <w:tc>
          <w:tcPr>
            <w:tcW w:w="315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6"/>
              </w:rPr>
              <w:t>Implement, remove, or mark unavailable before release.</w:t>
            </w:r>
          </w:p>
        </w:tc>
      </w:tr>
      <w:tr>
        <w:trPr>
          <w:cantSplit/>
        </w:trPr>
        <w:tc>
          <w:tcPr>
            <w:tcW w:w="7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6"/>
              </w:rPr>
              <w:t>P2</w:t>
            </w:r>
          </w:p>
        </w:tc>
        <w:tc>
          <w:tcPr>
            <w:tcW w:w="189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6"/>
              </w:rPr>
              <w:t>Tests do not exercise integrations</w:t>
            </w:r>
          </w:p>
        </w:tc>
        <w:tc>
          <w:tcPr>
            <w:tcW w:w="285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6"/>
              </w:rPr>
              <w:t>QRA and QUAIL tests are skipped; attribution tests are hand tensor arithmetic.</w:t>
            </w:r>
          </w:p>
        </w:tc>
        <w:tc>
          <w:tcPr>
            <w:tcW w:w="315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6"/>
              </w:rPr>
              <w:t>Add end-to-end smoke tests and evaluator regression fixtures.</w:t>
            </w:r>
          </w:p>
        </w:tc>
      </w:tr>
    </w:tbl>
    <w:p>
      <w:pPr>
        <w:pStyle w:val="Normal"/>
        <w:spacing w:before="60" w:after="100"/>
        <w:rPr/>
      </w:pPr>
      <w:r>
        <w:rPr>
          <w:rFonts w:eastAsia="Times New Roman"/>
          <w:i/>
          <w:color w:val="61666D"/>
          <w:sz w:val="17"/>
        </w:rPr>
        <w:t>Audit evidence: repository dev branch plus Research Audit.docx, experimentalValidation.docx, PROJECT_STATUS.md, and pilot records dated 4–15 August 2026.</w:t>
      </w:r>
    </w:p>
    <w:p>
      <w:pPr>
        <w:pStyle w:val="Heading2"/>
        <w:keepNext w:val="true"/>
        <w:pageBreakBefore w:val="false"/>
        <w:rPr/>
      </w:pPr>
      <w:r>
        <w:rPr>
          <w:rFonts w:eastAsia="Times New Roman" w:ascii="Times New Roman" w:hAnsi="Times New Roman"/>
          <w:b/>
          <w:color w:val="111111"/>
          <w:sz w:val="27"/>
        </w:rPr>
        <w:t>3.10 Correctness gates before the main experiment</w:t>
      </w:r>
    </w:p>
    <w:tbl>
      <w:tblPr>
        <w:tblW w:w="8600" w:type="dxa"/>
        <w:jc w:val="start"/>
        <w:tblInd w:w="95" w:type="dxa"/>
        <w:tblLayout w:type="fixed"/>
        <w:tblCellMar>
          <w:top w:w="70" w:type="dxa"/>
          <w:start w:w="100" w:type="dxa"/>
          <w:bottom w:w="70" w:type="dxa"/>
          <w:end w:w="100" w:type="dxa"/>
        </w:tblCellMar>
        <w:tblLook w:noHBand="0" w:noVBand="1" w:firstColumn="1" w:lastRow="0" w:lastColumn="0" w:firstRow="1" w:val="04a0"/>
      </w:tblPr>
      <w:tblGrid>
        <w:gridCol w:w="1700"/>
        <w:gridCol w:w="6900"/>
      </w:tblGrid>
      <w:tr>
        <w:trPr>
          <w:tblHeader w:val="true"/>
          <w:cantSplit/>
        </w:trPr>
        <w:tc>
          <w:tcPr>
            <w:tcW w:w="1700" w:type="dxa"/>
            <w:tcBorders>
              <w:top w:val="single" w:sz="4" w:space="0" w:color="C9CDD2"/>
              <w:start w:val="single" w:sz="4" w:space="0" w:color="C9CDD2"/>
              <w:bottom w:val="single" w:sz="4" w:space="0" w:color="C9CDD2"/>
              <w:end w:val="single" w:sz="4" w:space="0" w:color="C9CDD2"/>
            </w:tcBorders>
            <w:shd w:fill="F3F4F6" w:val="clear"/>
          </w:tcPr>
          <w:p>
            <w:pPr>
              <w:pStyle w:val="TableText"/>
              <w:spacing w:lineRule="auto" w:line="240" w:before="0" w:after="40"/>
              <w:jc w:val="start"/>
              <w:rPr/>
            </w:pPr>
            <w:r>
              <w:rPr>
                <w:rFonts w:eastAsia="Times New Roman"/>
                <w:b/>
                <w:color w:val="111111"/>
                <w:sz w:val="18"/>
              </w:rPr>
              <w:t>Gate</w:t>
            </w:r>
          </w:p>
        </w:tc>
        <w:tc>
          <w:tcPr>
            <w:tcW w:w="6900" w:type="dxa"/>
            <w:tcBorders>
              <w:top w:val="single" w:sz="4" w:space="0" w:color="C9CDD2"/>
              <w:start w:val="single" w:sz="4" w:space="0" w:color="C9CDD2"/>
              <w:bottom w:val="single" w:sz="4" w:space="0" w:color="C9CDD2"/>
              <w:end w:val="single" w:sz="4" w:space="0" w:color="C9CDD2"/>
            </w:tcBorders>
            <w:shd w:fill="F3F4F6" w:val="clear"/>
          </w:tcPr>
          <w:p>
            <w:pPr>
              <w:pStyle w:val="TableText"/>
              <w:spacing w:lineRule="auto" w:line="240" w:before="0" w:after="40"/>
              <w:jc w:val="start"/>
              <w:rPr/>
            </w:pPr>
            <w:r>
              <w:rPr>
                <w:rFonts w:eastAsia="Times New Roman"/>
                <w:b/>
                <w:color w:val="111111"/>
                <w:sz w:val="18"/>
              </w:rPr>
              <w:t>Pass condition</w:t>
            </w:r>
          </w:p>
        </w:tc>
      </w:tr>
      <w:tr>
        <w:trPr>
          <w:cantSplit/>
        </w:trPr>
        <w:tc>
          <w:tcPr>
            <w:tcW w:w="17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G1 — Environment</w:t>
            </w:r>
          </w:p>
        </w:tc>
        <w:tc>
          <w:tcPr>
            <w:tcW w:w="69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A clean session installs from the lockfile; versions, CUDA, hardware, model and dataset revisions are logged.</w:t>
            </w:r>
          </w:p>
        </w:tc>
      </w:tr>
      <w:tr>
        <w:trPr>
          <w:cantSplit/>
        </w:trPr>
        <w:tc>
          <w:tcPr>
            <w:tcW w:w="17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G2 — Objective</w:t>
            </w:r>
          </w:p>
        </w:tc>
        <w:tc>
          <w:tcPr>
            <w:tcW w:w="69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NPO reproduces a fixed regression fixture; response-token masking and loss direction are verified.</w:t>
            </w:r>
          </w:p>
        </w:tc>
      </w:tr>
      <w:tr>
        <w:trPr>
          <w:cantSplit/>
        </w:trPr>
        <w:tc>
          <w:tcPr>
            <w:tcW w:w="17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G3 — Attribution</w:t>
            </w:r>
          </w:p>
        </w:tc>
        <w:tc>
          <w:tcPr>
            <w:tcW w:w="69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Lattr has finite, non-zero gradients on intended trainable parameters; faithful or surrogate status is frozen.</w:t>
            </w:r>
          </w:p>
        </w:tc>
      </w:tr>
      <w:tr>
        <w:trPr>
          <w:cantSplit/>
        </w:trPr>
        <w:tc>
          <w:tcPr>
            <w:tcW w:w="17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G4 — Quantiser</w:t>
            </w:r>
          </w:p>
        </w:tc>
        <w:tc>
          <w:tcPr>
            <w:tcW w:w="69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Training simulator and deployment quantiser are specified; effective-weight fake quantisation matches merge order.</w:t>
            </w:r>
          </w:p>
        </w:tc>
      </w:tr>
      <w:tr>
        <w:trPr>
          <w:cantSplit/>
        </w:trPr>
        <w:tc>
          <w:tcPr>
            <w:tcW w:w="17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G5 — Metrics</w:t>
            </w:r>
          </w:p>
        </w:tc>
        <w:tc>
          <w:tcPr>
            <w:tcW w:w="69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FQ direction, MU components, Sₚ, directional recovery, and any published Q-INTk implementation pass fixtures.</w:t>
            </w:r>
          </w:p>
        </w:tc>
      </w:tr>
      <w:tr>
        <w:trPr>
          <w:cantSplit/>
        </w:trPr>
        <w:tc>
          <w:tcPr>
            <w:tcW w:w="17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G6 — Baselines</w:t>
            </w:r>
          </w:p>
        </w:tc>
        <w:tc>
          <w:tcPr>
            <w:tcW w:w="69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C2/C4/C5/C6 configs differ only in intended components; C7/C8 are faithful or excluded.</w:t>
            </w:r>
          </w:p>
        </w:tc>
      </w:tr>
      <w:tr>
        <w:trPr>
          <w:cantSplit/>
        </w:trPr>
        <w:tc>
          <w:tcPr>
            <w:tcW w:w="17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G7 — Dry run</w:t>
            </w:r>
          </w:p>
        </w:tc>
        <w:tc>
          <w:tcPr>
            <w:tcW w:w="69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One seed completes training, merge, all precision evaluations, raw-output export, and checksum validation.</w:t>
            </w:r>
          </w:p>
        </w:tc>
      </w:tr>
      <w:tr>
        <w:trPr>
          <w:cantSplit/>
        </w:trPr>
        <w:tc>
          <w:tcPr>
            <w:tcW w:w="17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G8 — Freeze</w:t>
            </w:r>
          </w:p>
        </w:tc>
        <w:tc>
          <w:tcPr>
            <w:tcW w:w="69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8"/>
              </w:rPr>
              <w:t>Configs, seeds, exclusions, utility floor, evaluation split, and analysis script are frozen before final runs.</w:t>
            </w:r>
          </w:p>
        </w:tc>
      </w:tr>
    </w:tbl>
    <w:p>
      <w:pPr>
        <w:pStyle w:val="Normal"/>
        <w:keepLines w:val="false"/>
        <w:spacing w:lineRule="auto" w:line="360" w:before="0" w:after="120"/>
        <w:jc w:val="both"/>
        <w:rPr/>
      </w:pPr>
      <w:r>
        <w:rPr>
          <w:rFonts w:eastAsia="Times New Roman"/>
          <w:i w:val="false"/>
          <w:color w:val="111111"/>
          <w:sz w:val="24"/>
        </w:rPr>
        <w:t>A failed gate stops hypothesis testing. The failure is logged with run ID, code revision, symptoms, diagnosis, and corrective action. After a code correction that can affect outcomes, all impacted conditions are rerun from the same upstream reference state.</w:t>
      </w:r>
    </w:p>
    <w:p>
      <w:pPr>
        <w:pStyle w:val="Heading2"/>
        <w:keepNext w:val="true"/>
        <w:pageBreakBefore w:val="false"/>
        <w:rPr/>
      </w:pPr>
      <w:r>
        <w:rPr>
          <w:rFonts w:eastAsia="Times New Roman" w:ascii="Times New Roman" w:hAnsi="Times New Roman"/>
          <w:b/>
          <w:color w:val="111111"/>
          <w:sz w:val="27"/>
        </w:rPr>
        <w:t>3.11 Reproducibility and data provenance</w:t>
      </w:r>
    </w:p>
    <w:p>
      <w:pPr>
        <w:pStyle w:val="ListBullet"/>
        <w:numPr>
          <w:ilvl w:val="0"/>
          <w:numId w:val="1"/>
        </w:numPr>
        <w:spacing w:lineRule="auto" w:line="312" w:before="0" w:after="80"/>
        <w:contextualSpacing/>
        <w:rPr/>
      </w:pPr>
      <w:r>
        <w:rPr>
          <w:rFonts w:eastAsia="Times New Roman"/>
          <w:color w:val="111111"/>
          <w:sz w:val="24"/>
        </w:rPr>
        <w:t>Assign an immutable run ID before training and store UTC start/end times, operator, purpose, and status.</w:t>
      </w:r>
    </w:p>
    <w:p>
      <w:pPr>
        <w:pStyle w:val="ListBullet"/>
        <w:numPr>
          <w:ilvl w:val="0"/>
          <w:numId w:val="1"/>
        </w:numPr>
        <w:spacing w:lineRule="auto" w:line="312" w:before="0" w:after="80"/>
        <w:contextualSpacing/>
        <w:rPr/>
      </w:pPr>
      <w:r>
        <w:rPr>
          <w:rFonts w:eastAsia="Times New Roman"/>
          <w:color w:val="111111"/>
          <w:sz w:val="24"/>
        </w:rPr>
        <w:t>Record git commit SHA, dirty-worktree diff or patch, configuration file, configuration hash, command line, random seeds, and environment lock.</w:t>
      </w:r>
    </w:p>
    <w:p>
      <w:pPr>
        <w:pStyle w:val="ListBullet"/>
        <w:numPr>
          <w:ilvl w:val="0"/>
          <w:numId w:val="1"/>
        </w:numPr>
        <w:spacing w:lineRule="auto" w:line="312" w:before="0" w:after="80"/>
        <w:contextualSpacing/>
        <w:rPr/>
      </w:pPr>
      <w:r>
        <w:rPr>
          <w:rFonts w:eastAsia="Times New Roman"/>
          <w:color w:val="111111"/>
          <w:sz w:val="24"/>
        </w:rPr>
        <w:t>Pin model, tokenizer, dataset, evaluator, and quantiser revisions; record licences and access constraints.</w:t>
      </w:r>
    </w:p>
    <w:p>
      <w:pPr>
        <w:pStyle w:val="ListBullet"/>
        <w:numPr>
          <w:ilvl w:val="0"/>
          <w:numId w:val="1"/>
        </w:numPr>
        <w:spacing w:lineRule="auto" w:line="312" w:before="0" w:after="80"/>
        <w:contextualSpacing/>
        <w:rPr/>
      </w:pPr>
      <w:r>
        <w:rPr>
          <w:rFonts w:eastAsia="Times New Roman"/>
          <w:color w:val="111111"/>
          <w:sz w:val="24"/>
        </w:rPr>
        <w:t>Store raw per-example metrics, aggregate metrics, prompts/outputs where permitted, checkpoints, adapter weights, merge logs, memory traces, and failure logs.</w:t>
      </w:r>
    </w:p>
    <w:p>
      <w:pPr>
        <w:pStyle w:val="ListBullet"/>
        <w:numPr>
          <w:ilvl w:val="0"/>
          <w:numId w:val="1"/>
        </w:numPr>
        <w:spacing w:lineRule="auto" w:line="312" w:before="0" w:after="80"/>
        <w:contextualSpacing/>
        <w:rPr/>
      </w:pPr>
      <w:r>
        <w:rPr>
          <w:rFonts w:eastAsia="Times New Roman"/>
          <w:color w:val="111111"/>
          <w:sz w:val="24"/>
        </w:rPr>
        <w:t>Compute checksums for published artefacts and keep a machine-readable manifest that maps every table and figure to its source files.</w:t>
      </w:r>
    </w:p>
    <w:p>
      <w:pPr>
        <w:pStyle w:val="ListBullet"/>
        <w:numPr>
          <w:ilvl w:val="0"/>
          <w:numId w:val="1"/>
        </w:numPr>
        <w:spacing w:lineRule="auto" w:line="312" w:before="0" w:after="80"/>
        <w:contextualSpacing/>
        <w:rPr/>
      </w:pPr>
      <w:r>
        <w:rPr>
          <w:rFonts w:eastAsia="Times New Roman"/>
          <w:color w:val="111111"/>
          <w:sz w:val="24"/>
        </w:rPr>
        <w:t>Use a result-state vocabulary: planned, implemented, pilot, main, verified, superseded, retracted. Never overwrite a superseded result without retaining its provenance.</w:t>
      </w:r>
    </w:p>
    <w:p>
      <w:pPr>
        <w:pStyle w:val="Heading2"/>
        <w:keepNext w:val="true"/>
        <w:pageBreakBefore w:val="false"/>
        <w:rPr/>
      </w:pPr>
      <w:r>
        <w:rPr>
          <w:rFonts w:eastAsia="Times New Roman" w:ascii="Times New Roman" w:hAnsi="Times New Roman"/>
          <w:b/>
          <w:color w:val="111111"/>
          <w:sz w:val="27"/>
        </w:rPr>
        <w:t>3.12 Ethical, legal, and responsible-reporting considerations</w:t>
      </w:r>
    </w:p>
    <w:p>
      <w:pPr>
        <w:pStyle w:val="Normal"/>
        <w:keepLines w:val="false"/>
        <w:spacing w:lineRule="auto" w:line="360" w:before="0" w:after="120"/>
        <w:jc w:val="both"/>
        <w:rPr/>
      </w:pPr>
      <w:r>
        <w:rPr>
          <w:rFonts w:eastAsia="Times New Roman"/>
          <w:i w:val="false"/>
          <w:color w:val="111111"/>
          <w:sz w:val="24"/>
        </w:rPr>
        <w:t>TOFU uses fictitious profiles, reducing direct personal-data risk, but model and dataset licences still govern use and redistribution. MUSE-News may involve copyrighted news content; the project should publish derived metrics and scripts without redistributing restricted data. Authentication tokens, private repository information, and service credentials must never be included in logs or artefacts.</w:t>
      </w:r>
    </w:p>
    <w:p>
      <w:pPr>
        <w:pStyle w:val="Normal"/>
        <w:keepLines w:val="false"/>
        <w:spacing w:lineRule="auto" w:line="360" w:before="0" w:after="120"/>
        <w:jc w:val="both"/>
        <w:rPr/>
      </w:pPr>
      <w:r>
        <w:rPr>
          <w:rFonts w:eastAsia="Times New Roman"/>
          <w:i w:val="false"/>
          <w:color w:val="111111"/>
          <w:sz w:val="24"/>
        </w:rPr>
        <w:t>Machine-unlearning performance is not proof of compliance with the GDPR, copyright law, or any deletion regulation. The term ‘verifiable’ in the title denotes an empirical, reproducible test protocol over named data, metrics, seeds, and model transformations. It does not denote a cryptographic proof, exact retraining equivalence, or a legal certification. Generated examples used in qualitative audits should be reviewed for privacy and harmful content before public release.</w:t>
      </w:r>
    </w:p>
    <w:p>
      <w:pPr>
        <w:pStyle w:val="Heading2"/>
        <w:keepNext w:val="true"/>
        <w:pageBreakBefore w:val="false"/>
        <w:rPr/>
      </w:pPr>
      <w:r>
        <w:rPr>
          <w:rFonts w:eastAsia="Times New Roman" w:ascii="Times New Roman" w:hAnsi="Times New Roman"/>
          <w:b/>
          <w:color w:val="111111"/>
          <w:sz w:val="27"/>
        </w:rPr>
        <w:t>3.13 Threats to validity</w:t>
      </w:r>
    </w:p>
    <w:tbl>
      <w:tblPr>
        <w:tblW w:w="8600" w:type="dxa"/>
        <w:jc w:val="start"/>
        <w:tblInd w:w="95" w:type="dxa"/>
        <w:tblLayout w:type="fixed"/>
        <w:tblCellMar>
          <w:top w:w="70" w:type="dxa"/>
          <w:start w:w="100" w:type="dxa"/>
          <w:bottom w:w="70" w:type="dxa"/>
          <w:end w:w="100" w:type="dxa"/>
        </w:tblCellMar>
        <w:tblLook w:noHBand="0" w:noVBand="1" w:firstColumn="1" w:lastRow="0" w:lastColumn="0" w:firstRow="1" w:val="04a0"/>
      </w:tblPr>
      <w:tblGrid>
        <w:gridCol w:w="1199"/>
        <w:gridCol w:w="3401"/>
        <w:gridCol w:w="4000"/>
      </w:tblGrid>
      <w:tr>
        <w:trPr>
          <w:tblHeader w:val="true"/>
          <w:cantSplit/>
        </w:trPr>
        <w:tc>
          <w:tcPr>
            <w:tcW w:w="1199" w:type="dxa"/>
            <w:tcBorders>
              <w:top w:val="single" w:sz="4" w:space="0" w:color="C9CDD2"/>
              <w:start w:val="single" w:sz="4" w:space="0" w:color="C9CDD2"/>
              <w:bottom w:val="single" w:sz="4" w:space="0" w:color="C9CDD2"/>
              <w:end w:val="single" w:sz="4" w:space="0" w:color="C9CDD2"/>
            </w:tcBorders>
            <w:shd w:fill="F3F4F6" w:val="clear"/>
          </w:tcPr>
          <w:p>
            <w:pPr>
              <w:pStyle w:val="TableText"/>
              <w:spacing w:lineRule="auto" w:line="240" w:before="0" w:after="40"/>
              <w:jc w:val="start"/>
              <w:rPr/>
            </w:pPr>
            <w:r>
              <w:rPr>
                <w:rFonts w:eastAsia="Times New Roman"/>
                <w:b/>
                <w:color w:val="111111"/>
                <w:sz w:val="17"/>
              </w:rPr>
              <w:t>Validity type</w:t>
            </w:r>
          </w:p>
        </w:tc>
        <w:tc>
          <w:tcPr>
            <w:tcW w:w="3401" w:type="dxa"/>
            <w:tcBorders>
              <w:top w:val="single" w:sz="4" w:space="0" w:color="C9CDD2"/>
              <w:start w:val="single" w:sz="4" w:space="0" w:color="C9CDD2"/>
              <w:bottom w:val="single" w:sz="4" w:space="0" w:color="C9CDD2"/>
              <w:end w:val="single" w:sz="4" w:space="0" w:color="C9CDD2"/>
            </w:tcBorders>
            <w:shd w:fill="F3F4F6" w:val="clear"/>
          </w:tcPr>
          <w:p>
            <w:pPr>
              <w:pStyle w:val="TableText"/>
              <w:spacing w:lineRule="auto" w:line="240" w:before="0" w:after="40"/>
              <w:jc w:val="start"/>
              <w:rPr/>
            </w:pPr>
            <w:r>
              <w:rPr>
                <w:rFonts w:eastAsia="Times New Roman"/>
                <w:b/>
                <w:color w:val="111111"/>
                <w:sz w:val="17"/>
              </w:rPr>
              <w:t>Risk</w:t>
            </w:r>
          </w:p>
        </w:tc>
        <w:tc>
          <w:tcPr>
            <w:tcW w:w="4000" w:type="dxa"/>
            <w:tcBorders>
              <w:top w:val="single" w:sz="4" w:space="0" w:color="C9CDD2"/>
              <w:start w:val="single" w:sz="4" w:space="0" w:color="C9CDD2"/>
              <w:bottom w:val="single" w:sz="4" w:space="0" w:color="C9CDD2"/>
              <w:end w:val="single" w:sz="4" w:space="0" w:color="C9CDD2"/>
            </w:tcBorders>
            <w:shd w:fill="F3F4F6" w:val="clear"/>
          </w:tcPr>
          <w:p>
            <w:pPr>
              <w:pStyle w:val="TableText"/>
              <w:spacing w:lineRule="auto" w:line="240" w:before="0" w:after="40"/>
              <w:jc w:val="start"/>
              <w:rPr/>
            </w:pPr>
            <w:r>
              <w:rPr>
                <w:rFonts w:eastAsia="Times New Roman"/>
                <w:b/>
                <w:color w:val="111111"/>
                <w:sz w:val="17"/>
              </w:rPr>
              <w:t>Mitigation</w:t>
            </w:r>
          </w:p>
        </w:tc>
      </w:tr>
      <w:tr>
        <w:trPr>
          <w:cantSplit/>
        </w:trPr>
        <w:tc>
          <w:tcPr>
            <w:tcW w:w="119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Construct</w:t>
            </w:r>
          </w:p>
        </w:tc>
        <w:tc>
          <w:tcPr>
            <w:tcW w:w="340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FQ can be misread; output suppression can mimic deletion; QRA depends on metric direction.</w:t>
            </w:r>
          </w:p>
        </w:tc>
        <w:tc>
          <w:tcPr>
            <w:tcW w:w="40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Use disaggregated likelihood, privacy, generation, distributional, and directional recovery evidence.</w:t>
            </w:r>
          </w:p>
        </w:tc>
      </w:tr>
      <w:tr>
        <w:trPr>
          <w:cantSplit/>
        </w:trPr>
        <w:tc>
          <w:tcPr>
            <w:tcW w:w="119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Internal</w:t>
            </w:r>
          </w:p>
        </w:tc>
        <w:tc>
          <w:tcPr>
            <w:tcW w:w="340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Condition differences may arise from seeds, data order, code path, or broken gradients.</w:t>
            </w:r>
          </w:p>
        </w:tc>
        <w:tc>
          <w:tcPr>
            <w:tcW w:w="40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Paired seeds, frozen configs, gradient tests, evaluator fixtures, and code-revision provenance.</w:t>
            </w:r>
          </w:p>
        </w:tc>
      </w:tr>
      <w:tr>
        <w:trPr>
          <w:cantSplit/>
        </w:trPr>
        <w:tc>
          <w:tcPr>
            <w:tcW w:w="119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External</w:t>
            </w:r>
          </w:p>
        </w:tc>
        <w:tc>
          <w:tcPr>
            <w:tcW w:w="340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A 1B model and synthetic TOFU facts may not generalise to larger LLMs or real data.</w:t>
            </w:r>
          </w:p>
        </w:tc>
        <w:tc>
          <w:tcPr>
            <w:tcW w:w="40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Bound claims; validate MUSE-News if feasible; publish exact scope.</w:t>
            </w:r>
          </w:p>
        </w:tc>
      </w:tr>
      <w:tr>
        <w:trPr>
          <w:cantSplit/>
        </w:trPr>
        <w:tc>
          <w:tcPr>
            <w:tcW w:w="119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Conclusion</w:t>
            </w:r>
          </w:p>
        </w:tc>
        <w:tc>
          <w:tcPr>
            <w:tcW w:w="340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Three seeds provide limited training-level power and many metrics invite selective reporting.</w:t>
            </w:r>
          </w:p>
        </w:tc>
        <w:tc>
          <w:tcPr>
            <w:tcW w:w="40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Report all seeds, effect sizes, intervals, utility floors, and pre-specified analysis.</w:t>
            </w:r>
          </w:p>
        </w:tc>
      </w:tr>
      <w:tr>
        <w:trPr>
          <w:cantSplit/>
        </w:trPr>
        <w:tc>
          <w:tcPr>
            <w:tcW w:w="119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Deployment</w:t>
            </w:r>
          </w:p>
        </w:tc>
        <w:tc>
          <w:tcPr>
            <w:tcW w:w="340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Uniform fake INT4 may not transfer to NF4, GPTQ, AWQ, or different merge orders.</w:t>
            </w:r>
          </w:p>
        </w:tc>
        <w:tc>
          <w:tcPr>
            <w:tcW w:w="40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Match one deployment path and test at least one deliberately mismatched path.</w:t>
            </w:r>
          </w:p>
        </w:tc>
      </w:tr>
      <w:tr>
        <w:trPr>
          <w:cantSplit/>
        </w:trPr>
        <w:tc>
          <w:tcPr>
            <w:tcW w:w="1199"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Implementation</w:t>
            </w:r>
          </w:p>
        </w:tc>
        <w:tc>
          <w:tcPr>
            <w:tcW w:w="3401"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A nominal regulariser or baseline may not reproduce the cited paper.</w:t>
            </w:r>
          </w:p>
        </w:tc>
        <w:tc>
          <w:tcPr>
            <w:tcW w:w="4000" w:type="dxa"/>
            <w:tcBorders>
              <w:top w:val="single" w:sz="4" w:space="0" w:color="C9CDD2"/>
              <w:start w:val="single" w:sz="4" w:space="0" w:color="C9CDD2"/>
              <w:bottom w:val="single" w:sz="4" w:space="0" w:color="C9CDD2"/>
              <w:end w:val="single" w:sz="4" w:space="0" w:color="C9CDD2"/>
            </w:tcBorders>
          </w:tcPr>
          <w:p>
            <w:pPr>
              <w:pStyle w:val="TableText"/>
              <w:spacing w:lineRule="auto" w:line="240" w:before="0" w:after="40"/>
              <w:jc w:val="start"/>
              <w:rPr/>
            </w:pPr>
            <w:r>
              <w:rPr>
                <w:rFonts w:eastAsia="Times New Roman"/>
                <w:b w:val="false"/>
                <w:color w:val="111111"/>
                <w:sz w:val="17"/>
              </w:rPr>
              <w:t>Use method-faithfulness checklist and name deviations as surrogates.</w:t>
            </w:r>
          </w:p>
        </w:tc>
      </w:tr>
    </w:tbl>
    <w:p>
      <w:pPr>
        <w:pStyle w:val="Heading2"/>
        <w:keepNext w:val="true"/>
        <w:pageBreakBefore w:val="false"/>
        <w:rPr/>
      </w:pPr>
      <w:r>
        <w:rPr>
          <w:rFonts w:eastAsia="Times New Roman" w:ascii="Times New Roman" w:hAnsi="Times New Roman"/>
          <w:b/>
          <w:color w:val="111111"/>
          <w:sz w:val="27"/>
        </w:rPr>
        <w:t>3.14 Chapter summary</w:t>
      </w:r>
    </w:p>
    <w:p>
      <w:pPr>
        <w:pStyle w:val="Normal"/>
        <w:keepLines w:val="false"/>
        <w:spacing w:lineRule="auto" w:line="360" w:before="0" w:after="120"/>
        <w:jc w:val="both"/>
        <w:rPr/>
      </w:pPr>
      <w:r>
        <w:rPr>
          <w:rFonts w:eastAsia="Times New Roman"/>
          <w:i w:val="false"/>
          <w:color w:val="111111"/>
          <w:sz w:val="24"/>
        </w:rPr>
        <w:t>The methodology is designed to make a negative or null outcome as informative as a positive one. The completed pilots show that NPO, three-precision evaluation, offline attribution, and a reduced fake-quant loop are computationally feasible. The audit simultaneously shows that the present attribution gradient, quantisation location, metric naming, and QUAIL surrogate are not ready for hypothesis testing. The main experiment will begin only after the correctness gates pass, then compare frozen component ablations across at least three seeds with a multi-layer evidence bundle. This sequence keeps the thesis concrete: claims follow the implemented computation and recorded data, not the intended label of a method.</w:t>
      </w:r>
      <w:r>
        <w:br w:type="page"/>
      </w:r>
    </w:p>
    <w:p>
      <w:pPr>
        <w:pStyle w:val="Heading1"/>
        <w:keepNext w:val="true"/>
        <w:rPr/>
      </w:pPr>
      <w:r>
        <w:rPr>
          <w:rFonts w:eastAsia="Times New Roman" w:ascii="Times New Roman" w:hAnsi="Times New Roman"/>
          <w:b/>
          <w:color w:val="111111"/>
          <w:sz w:val="32"/>
        </w:rPr>
        <w:t>References</w:t>
      </w:r>
    </w:p>
    <w:p>
      <w:pPr>
        <w:pStyle w:val="Normal"/>
        <w:spacing w:lineRule="auto" w:line="240" w:before="0" w:after="40"/>
        <w:ind w:hanging="403" w:start="403"/>
        <w:jc w:val="start"/>
        <w:rPr/>
      </w:pPr>
      <w:r>
        <w:rPr>
          <w:rFonts w:eastAsia="Times New Roman"/>
          <w:color w:val="202124"/>
          <w:sz w:val="20"/>
        </w:rPr>
        <w:t xml:space="preserve">[1] Z. Zhang et al., </w:t>
      </w:r>
      <w:hyperlink r:id="rId25">
        <w:r>
          <w:rPr>
            <w:rStyle w:val="Style"/>
            <w:color w:val="2E74B5"/>
            <w:sz w:val="19"/>
            <w:szCs w:val="19"/>
            <w:u w:val="single"/>
          </w:rPr>
          <w:t>“Catastrophic Failure of LLM Unlearning via Quantization”</w:t>
        </w:r>
      </w:hyperlink>
      <w:r>
        <w:rPr>
          <w:rFonts w:eastAsia="Times New Roman"/>
          <w:color w:val="202124"/>
          <w:sz w:val="20"/>
        </w:rPr>
        <w:t>, 2025; ICLR; international.</w:t>
      </w:r>
    </w:p>
    <w:p>
      <w:pPr>
        <w:pStyle w:val="Normal"/>
        <w:spacing w:lineRule="auto" w:line="240" w:before="0" w:after="40"/>
        <w:ind w:hanging="403" w:start="403"/>
        <w:jc w:val="start"/>
        <w:rPr/>
      </w:pPr>
      <w:r>
        <w:rPr>
          <w:rFonts w:eastAsia="Times New Roman"/>
          <w:color w:val="202124"/>
          <w:sz w:val="20"/>
        </w:rPr>
        <w:t xml:space="preserve">[2] J. Wang et al., </w:t>
      </w:r>
      <w:hyperlink r:id="rId26">
        <w:r>
          <w:rPr>
            <w:rStyle w:val="Style"/>
            <w:color w:val="2E74B5"/>
            <w:sz w:val="19"/>
            <w:szCs w:val="19"/>
            <w:u w:val="single"/>
          </w:rPr>
          <w:t>“Quantization-Robust Unlearning through the Lens of Retain-Forget Loss Landscapes Interaction”</w:t>
        </w:r>
      </w:hyperlink>
      <w:r>
        <w:rPr>
          <w:rFonts w:eastAsia="Times New Roman"/>
          <w:color w:val="202124"/>
          <w:sz w:val="20"/>
        </w:rPr>
        <w:t>, 2026; COLM accepted; international.</w:t>
      </w:r>
    </w:p>
    <w:p>
      <w:pPr>
        <w:pStyle w:val="Normal"/>
        <w:spacing w:lineRule="auto" w:line="240" w:before="0" w:after="40"/>
        <w:ind w:hanging="403" w:start="403"/>
        <w:jc w:val="start"/>
        <w:rPr/>
      </w:pPr>
      <w:r>
        <w:rPr>
          <w:rFonts w:eastAsia="Times New Roman"/>
          <w:color w:val="202124"/>
          <w:sz w:val="20"/>
        </w:rPr>
        <w:t xml:space="preserve">[3] A. A. Khan &amp; F. Sohel, </w:t>
      </w:r>
      <w:hyperlink r:id="rId27">
        <w:r>
          <w:rPr>
            <w:rStyle w:val="Style"/>
            <w:color w:val="2E74B5"/>
            <w:sz w:val="19"/>
            <w:szCs w:val="19"/>
            <w:u w:val="single"/>
          </w:rPr>
          <w:t>“DurableUn: Quantization-Induced Recovery Attacks in Machine Unlearning”</w:t>
        </w:r>
      </w:hyperlink>
      <w:r>
        <w:rPr>
          <w:rFonts w:eastAsia="Times New Roman"/>
          <w:color w:val="202124"/>
          <w:sz w:val="20"/>
        </w:rPr>
        <w:t>, 2026; arXiv preprint; international.</w:t>
      </w:r>
    </w:p>
    <w:p>
      <w:pPr>
        <w:pStyle w:val="Normal"/>
        <w:spacing w:lineRule="auto" w:line="240" w:before="0" w:after="40"/>
        <w:ind w:hanging="403" w:start="403"/>
        <w:jc w:val="start"/>
        <w:rPr/>
      </w:pPr>
      <w:r>
        <w:rPr>
          <w:rFonts w:eastAsia="Times New Roman"/>
          <w:color w:val="202124"/>
          <w:sz w:val="20"/>
        </w:rPr>
        <w:t xml:space="preserve">[4] S. Sadhu et al., </w:t>
      </w:r>
      <w:hyperlink r:id="rId28">
        <w:r>
          <w:rPr>
            <w:rStyle w:val="Style"/>
            <w:color w:val="2E74B5"/>
            <w:sz w:val="19"/>
            <w:szCs w:val="19"/>
            <w:u w:val="single"/>
          </w:rPr>
          <w:t>“Forgetting That Sticks: Quantization-Permanent Unlearning via Circuit Attribution”</w:t>
        </w:r>
      </w:hyperlink>
      <w:r>
        <w:rPr>
          <w:rFonts w:eastAsia="Times New Roman"/>
          <w:color w:val="202124"/>
          <w:sz w:val="20"/>
        </w:rPr>
        <w:t>, 2026; arXiv preprint; international.</w:t>
      </w:r>
    </w:p>
    <w:p>
      <w:pPr>
        <w:pStyle w:val="Normal"/>
        <w:spacing w:lineRule="auto" w:line="240" w:before="0" w:after="40"/>
        <w:ind w:hanging="403" w:start="403"/>
        <w:jc w:val="start"/>
        <w:rPr/>
      </w:pPr>
      <w:r>
        <w:rPr>
          <w:rFonts w:eastAsia="Times New Roman"/>
          <w:color w:val="202124"/>
          <w:sz w:val="20"/>
        </w:rPr>
        <w:t xml:space="preserve">[5] H. Mishra &amp; K. Mehreen, </w:t>
      </w:r>
      <w:hyperlink r:id="rId29">
        <w:r>
          <w:rPr>
            <w:rStyle w:val="Style"/>
            <w:color w:val="2E74B5"/>
            <w:sz w:val="19"/>
            <w:szCs w:val="19"/>
            <w:u w:val="single"/>
          </w:rPr>
          <w:t>“QUAIL: Quantization Aware Unlearning for Mitigating Misinformation in LLMs”</w:t>
        </w:r>
      </w:hyperlink>
      <w:r>
        <w:rPr>
          <w:rFonts w:eastAsia="Times New Roman"/>
          <w:color w:val="202124"/>
          <w:sz w:val="20"/>
        </w:rPr>
        <w:t>, 2026; arXiv preprint; international.</w:t>
      </w:r>
    </w:p>
    <w:p>
      <w:pPr>
        <w:pStyle w:val="Normal"/>
        <w:spacing w:lineRule="auto" w:line="240" w:before="0" w:after="40"/>
        <w:ind w:hanging="403" w:start="403"/>
        <w:jc w:val="start"/>
        <w:rPr/>
      </w:pPr>
      <w:r>
        <w:rPr>
          <w:rFonts w:eastAsia="Times New Roman"/>
          <w:color w:val="202124"/>
          <w:sz w:val="20"/>
        </w:rPr>
        <w:t xml:space="preserve">[6] J. V. B. Abitante et al., </w:t>
      </w:r>
      <w:hyperlink r:id="rId30">
        <w:r>
          <w:rPr>
            <w:rStyle w:val="Style"/>
            <w:color w:val="2E74B5"/>
            <w:sz w:val="19"/>
            <w:szCs w:val="19"/>
            <w:u w:val="single"/>
          </w:rPr>
          <w:t>“Quantization-Robust LLM Unlearning via Low-Rank Adaptation”</w:t>
        </w:r>
      </w:hyperlink>
      <w:r>
        <w:rPr>
          <w:rFonts w:eastAsia="Times New Roman"/>
          <w:color w:val="202124"/>
          <w:sz w:val="20"/>
        </w:rPr>
        <w:t>, 2026; accepted to IJCNN; international.</w:t>
      </w:r>
    </w:p>
    <w:p>
      <w:pPr>
        <w:pStyle w:val="Normal"/>
        <w:spacing w:lineRule="auto" w:line="240" w:before="0" w:after="40"/>
        <w:ind w:hanging="403" w:start="403"/>
        <w:jc w:val="start"/>
        <w:rPr/>
      </w:pPr>
      <w:r>
        <w:rPr>
          <w:rFonts w:eastAsia="Times New Roman"/>
          <w:color w:val="202124"/>
          <w:sz w:val="20"/>
        </w:rPr>
        <w:t xml:space="preserve">[7] S. A. Ali, </w:t>
      </w:r>
      <w:hyperlink r:id="rId31">
        <w:r>
          <w:rPr>
            <w:rStyle w:val="Style"/>
            <w:color w:val="2E74B5"/>
            <w:sz w:val="19"/>
            <w:szCs w:val="19"/>
            <w:u w:val="single"/>
          </w:rPr>
          <w:t>“On the Reliability of Targeted Unlearning in 4-Bit Quantized LLMs”</w:t>
        </w:r>
      </w:hyperlink>
      <w:r>
        <w:rPr>
          <w:rFonts w:eastAsia="Times New Roman"/>
          <w:color w:val="202124"/>
          <w:sz w:val="20"/>
        </w:rPr>
        <w:t>, 2026; IEEE DSN Workshops; Pakistan.</w:t>
      </w:r>
    </w:p>
    <w:p>
      <w:pPr>
        <w:pStyle w:val="Normal"/>
        <w:spacing w:lineRule="auto" w:line="240" w:before="0" w:after="40"/>
        <w:ind w:hanging="403" w:start="403"/>
        <w:jc w:val="start"/>
        <w:rPr/>
      </w:pPr>
      <w:r>
        <w:rPr>
          <w:rFonts w:eastAsia="Times New Roman"/>
          <w:color w:val="202124"/>
          <w:sz w:val="20"/>
        </w:rPr>
        <w:t xml:space="preserve">[8] R. Zhang et al., </w:t>
      </w:r>
      <w:hyperlink r:id="rId32">
        <w:r>
          <w:rPr>
            <w:rStyle w:val="Style"/>
            <w:color w:val="2E74B5"/>
            <w:sz w:val="19"/>
            <w:szCs w:val="19"/>
            <w:u w:val="single"/>
          </w:rPr>
          <w:t>“Negative Preference Optimization: From Catastrophic Collapse to Effective Unlearning”</w:t>
        </w:r>
      </w:hyperlink>
      <w:r>
        <w:rPr>
          <w:rFonts w:eastAsia="Times New Roman"/>
          <w:color w:val="202124"/>
          <w:sz w:val="20"/>
        </w:rPr>
        <w:t>, 2024; COLM; international.</w:t>
      </w:r>
    </w:p>
    <w:p>
      <w:pPr>
        <w:pStyle w:val="Normal"/>
        <w:spacing w:lineRule="auto" w:line="240" w:before="0" w:after="40"/>
        <w:ind w:hanging="403" w:start="403"/>
        <w:jc w:val="start"/>
        <w:rPr/>
      </w:pPr>
      <w:r>
        <w:rPr>
          <w:rFonts w:eastAsia="Times New Roman"/>
          <w:color w:val="202124"/>
          <w:sz w:val="20"/>
        </w:rPr>
        <w:t xml:space="preserve">[9] N. Yang et al., </w:t>
      </w:r>
      <w:hyperlink r:id="rId33">
        <w:r>
          <w:rPr>
            <w:rStyle w:val="Style"/>
            <w:color w:val="2E74B5"/>
            <w:sz w:val="19"/>
            <w:szCs w:val="19"/>
            <w:u w:val="single"/>
          </w:rPr>
          <w:t>“Erase or Hide? Suppressing Spurious Unlearning Neurons for Robust Unlearning”</w:t>
        </w:r>
      </w:hyperlink>
      <w:r>
        <w:rPr>
          <w:rFonts w:eastAsia="Times New Roman"/>
          <w:color w:val="202124"/>
          <w:sz w:val="20"/>
        </w:rPr>
        <w:t>, 2026; ICLR; international.</w:t>
      </w:r>
    </w:p>
    <w:p>
      <w:pPr>
        <w:pStyle w:val="Normal"/>
        <w:spacing w:lineRule="auto" w:line="240" w:before="0" w:after="40"/>
        <w:ind w:hanging="403" w:start="403"/>
        <w:jc w:val="start"/>
        <w:rPr/>
      </w:pPr>
      <w:r>
        <w:rPr>
          <w:rFonts w:eastAsia="Times New Roman"/>
          <w:color w:val="202124"/>
          <w:sz w:val="20"/>
        </w:rPr>
        <w:t xml:space="preserve">[10] P. Maini et al., </w:t>
      </w:r>
      <w:hyperlink r:id="rId34">
        <w:r>
          <w:rPr>
            <w:rStyle w:val="Style"/>
            <w:color w:val="2E74B5"/>
            <w:sz w:val="19"/>
            <w:szCs w:val="19"/>
            <w:u w:val="single"/>
          </w:rPr>
          <w:t>“TOFU: A Task of Fictitious Unlearning for LLMs”</w:t>
        </w:r>
      </w:hyperlink>
      <w:r>
        <w:rPr>
          <w:rFonts w:eastAsia="Times New Roman"/>
          <w:color w:val="202124"/>
          <w:sz w:val="20"/>
        </w:rPr>
        <w:t>, 2024; COLM; international.</w:t>
      </w:r>
    </w:p>
    <w:p>
      <w:pPr>
        <w:pStyle w:val="Normal"/>
        <w:spacing w:lineRule="auto" w:line="240" w:before="0" w:after="40"/>
        <w:ind w:hanging="403" w:start="403"/>
        <w:jc w:val="start"/>
        <w:rPr/>
      </w:pPr>
      <w:r>
        <w:rPr>
          <w:rFonts w:eastAsia="Times New Roman"/>
          <w:color w:val="202124"/>
          <w:sz w:val="20"/>
        </w:rPr>
        <w:t xml:space="preserve">[11] W. Shi et al., </w:t>
      </w:r>
      <w:hyperlink r:id="rId35">
        <w:r>
          <w:rPr>
            <w:rStyle w:val="Style"/>
            <w:color w:val="2E74B5"/>
            <w:sz w:val="19"/>
            <w:szCs w:val="19"/>
            <w:u w:val="single"/>
          </w:rPr>
          <w:t>“MUSE: Machine Unlearning Six-Way Evaluation for Language Models”</w:t>
        </w:r>
      </w:hyperlink>
      <w:r>
        <w:rPr>
          <w:rFonts w:eastAsia="Times New Roman"/>
          <w:color w:val="202124"/>
          <w:sz w:val="20"/>
        </w:rPr>
        <w:t>, 2025; ICLR; international.</w:t>
      </w:r>
    </w:p>
    <w:p>
      <w:pPr>
        <w:pStyle w:val="Normal"/>
        <w:spacing w:lineRule="auto" w:line="240" w:before="0" w:after="40"/>
        <w:ind w:hanging="403" w:start="403"/>
        <w:jc w:val="start"/>
        <w:rPr/>
      </w:pPr>
      <w:r>
        <w:rPr>
          <w:rFonts w:eastAsia="Times New Roman"/>
          <w:color w:val="202124"/>
          <w:sz w:val="20"/>
        </w:rPr>
        <w:t xml:space="preserve">[12] S. Cho et al., </w:t>
      </w:r>
      <w:hyperlink r:id="rId36">
        <w:r>
          <w:rPr>
            <w:rStyle w:val="Style"/>
            <w:color w:val="2E74B5"/>
            <w:sz w:val="19"/>
            <w:szCs w:val="19"/>
            <w:u w:val="single"/>
          </w:rPr>
          <w:t>“Reference-Specific Unlearning Metrics Can Hide the Truth: A Reality Check”</w:t>
        </w:r>
      </w:hyperlink>
      <w:r>
        <w:rPr>
          <w:rFonts w:eastAsia="Times New Roman"/>
          <w:color w:val="202124"/>
          <w:sz w:val="20"/>
        </w:rPr>
        <w:t>, 2025; arXiv preprint; international.</w:t>
      </w:r>
    </w:p>
    <w:p>
      <w:pPr>
        <w:pStyle w:val="Normal"/>
        <w:spacing w:lineRule="auto" w:line="240" w:before="0" w:after="40"/>
        <w:ind w:hanging="403" w:start="403"/>
        <w:jc w:val="start"/>
        <w:rPr/>
      </w:pPr>
      <w:r>
        <w:rPr>
          <w:rFonts w:eastAsia="Times New Roman"/>
          <w:color w:val="202124"/>
          <w:sz w:val="20"/>
        </w:rPr>
        <w:t xml:space="preserve">[13] K. Li et al., </w:t>
      </w:r>
      <w:hyperlink r:id="rId37">
        <w:r>
          <w:rPr>
            <w:rStyle w:val="Style"/>
            <w:color w:val="2E74B5"/>
            <w:sz w:val="19"/>
            <w:szCs w:val="19"/>
            <w:u w:val="single"/>
          </w:rPr>
          <w:t>“LLM Unlearning with LLM Beliefs”</w:t>
        </w:r>
      </w:hyperlink>
      <w:r>
        <w:rPr>
          <w:rFonts w:eastAsia="Times New Roman"/>
          <w:color w:val="202124"/>
          <w:sz w:val="20"/>
        </w:rPr>
        <w:t>, 2026; ICLR; international.</w:t>
      </w:r>
    </w:p>
    <w:p>
      <w:pPr>
        <w:pStyle w:val="Normal"/>
        <w:spacing w:lineRule="auto" w:line="240" w:before="0" w:after="40"/>
        <w:ind w:hanging="403" w:start="403"/>
        <w:jc w:val="start"/>
        <w:rPr/>
      </w:pPr>
      <w:r>
        <w:rPr>
          <w:rFonts w:eastAsia="Times New Roman"/>
          <w:color w:val="202124"/>
          <w:sz w:val="20"/>
        </w:rPr>
        <w:t xml:space="preserve">[14] Z. Liu et al., </w:t>
      </w:r>
      <w:hyperlink r:id="rId38">
        <w:r>
          <w:rPr>
            <w:rStyle w:val="Style"/>
            <w:color w:val="2E74B5"/>
            <w:sz w:val="19"/>
            <w:szCs w:val="19"/>
            <w:u w:val="single"/>
          </w:rPr>
          <w:t>“LLM-QAT: Data-Free Quantization Aware Training for Large Language Models”</w:t>
        </w:r>
      </w:hyperlink>
      <w:r>
        <w:rPr>
          <w:rFonts w:eastAsia="Times New Roman"/>
          <w:color w:val="202124"/>
          <w:sz w:val="20"/>
        </w:rPr>
        <w:t>, 2024; Findings of ACL; international.</w:t>
      </w:r>
    </w:p>
    <w:p>
      <w:pPr>
        <w:pStyle w:val="Normal"/>
        <w:spacing w:lineRule="auto" w:line="240" w:before="0" w:after="40"/>
        <w:ind w:hanging="403" w:start="403"/>
        <w:jc w:val="start"/>
        <w:rPr/>
      </w:pPr>
      <w:r>
        <w:rPr>
          <w:rFonts w:eastAsia="Times New Roman"/>
          <w:color w:val="202124"/>
          <w:sz w:val="20"/>
        </w:rPr>
        <w:t xml:space="preserve">[15] T. Dettmers et al., </w:t>
      </w:r>
      <w:hyperlink r:id="rId39">
        <w:r>
          <w:rPr>
            <w:rStyle w:val="Style"/>
            <w:color w:val="2E74B5"/>
            <w:sz w:val="19"/>
            <w:szCs w:val="19"/>
            <w:u w:val="single"/>
          </w:rPr>
          <w:t>“QLoRA: Efficient Finetuning of Quantized LLMs”</w:t>
        </w:r>
      </w:hyperlink>
      <w:r>
        <w:rPr>
          <w:rFonts w:eastAsia="Times New Roman"/>
          <w:color w:val="202124"/>
          <w:sz w:val="20"/>
        </w:rPr>
        <w:t>, 2023; NeurIPS; international.</w:t>
      </w:r>
    </w:p>
    <w:p>
      <w:pPr>
        <w:pStyle w:val="Normal"/>
        <w:spacing w:lineRule="auto" w:line="240" w:before="0" w:after="40"/>
        <w:ind w:hanging="403" w:start="403"/>
        <w:jc w:val="start"/>
        <w:rPr/>
      </w:pPr>
      <w:r>
        <w:rPr>
          <w:rFonts w:eastAsia="Times New Roman"/>
          <w:color w:val="202124"/>
          <w:sz w:val="20"/>
        </w:rPr>
        <w:t xml:space="preserve">[16] D. Huu-Tien et al., </w:t>
      </w:r>
      <w:hyperlink r:id="rId40">
        <w:r>
          <w:rPr>
            <w:rStyle w:val="Style"/>
            <w:color w:val="2E74B5"/>
            <w:sz w:val="19"/>
            <w:szCs w:val="19"/>
            <w:u w:val="single"/>
          </w:rPr>
          <w:t>“Beyond Forgetting: Machine Unlearning Elicits Controllable Side Behaviors and Capabilities”</w:t>
        </w:r>
      </w:hyperlink>
      <w:r>
        <w:rPr>
          <w:rFonts w:eastAsia="Times New Roman"/>
          <w:color w:val="202124"/>
          <w:sz w:val="20"/>
        </w:rPr>
        <w:t>, 2026; arXiv preprint; Japan/JAIST.</w:t>
      </w:r>
    </w:p>
    <w:p>
      <w:pPr>
        <w:pStyle w:val="Normal"/>
        <w:spacing w:lineRule="auto" w:line="240" w:before="0" w:after="40"/>
        <w:ind w:hanging="403" w:start="403"/>
        <w:jc w:val="start"/>
        <w:rPr/>
      </w:pPr>
      <w:r>
        <w:rPr>
          <w:rFonts w:eastAsia="Times New Roman"/>
          <w:color w:val="202124"/>
          <w:sz w:val="20"/>
        </w:rPr>
        <w:t xml:space="preserve">[17] V. Dorna et al., </w:t>
      </w:r>
      <w:hyperlink r:id="rId41">
        <w:r>
          <w:rPr>
            <w:rStyle w:val="Style"/>
            <w:color w:val="2E74B5"/>
            <w:sz w:val="19"/>
            <w:szCs w:val="19"/>
            <w:u w:val="single"/>
          </w:rPr>
          <w:t>“OpenUnlearning: Accelerating LLM Unlearning via Unified Benchmarking of Methods and Metrics”</w:t>
        </w:r>
      </w:hyperlink>
      <w:r>
        <w:rPr>
          <w:rFonts w:eastAsia="Times New Roman"/>
          <w:color w:val="202124"/>
          <w:sz w:val="20"/>
        </w:rPr>
        <w:t>, 2025; arXiv preprint.</w:t>
      </w:r>
    </w:p>
    <w:p>
      <w:pPr>
        <w:pStyle w:val="Normal"/>
        <w:spacing w:lineRule="auto" w:line="240" w:before="0" w:after="40"/>
        <w:ind w:hanging="403" w:start="403"/>
        <w:jc w:val="start"/>
        <w:rPr/>
      </w:pPr>
      <w:r>
        <w:rPr>
          <w:rFonts w:eastAsia="Times New Roman"/>
          <w:color w:val="202124"/>
          <w:sz w:val="20"/>
        </w:rPr>
        <w:t xml:space="preserve">[18] M. Isonuma &amp; I. Titov, </w:t>
      </w:r>
      <w:hyperlink r:id="rId42">
        <w:r>
          <w:rPr>
            <w:rStyle w:val="Style"/>
            <w:color w:val="2E74B5"/>
            <w:sz w:val="19"/>
            <w:szCs w:val="19"/>
            <w:u w:val="single"/>
          </w:rPr>
          <w:t>“Unlearning Traces the Influential Training Data of Language Models”</w:t>
        </w:r>
      </w:hyperlink>
      <w:r>
        <w:rPr>
          <w:rFonts w:eastAsia="Times New Roman"/>
          <w:color w:val="202124"/>
          <w:sz w:val="20"/>
        </w:rPr>
        <w:t>, 2024; ACL; Japan/University of Tokyo.</w:t>
      </w:r>
    </w:p>
    <w:p>
      <w:pPr>
        <w:pStyle w:val="Normal"/>
        <w:spacing w:lineRule="auto" w:line="240" w:before="0" w:after="40"/>
        <w:ind w:hanging="403" w:start="403"/>
        <w:jc w:val="start"/>
        <w:rPr/>
      </w:pPr>
      <w:r>
        <w:rPr>
          <w:rFonts w:eastAsia="Times New Roman"/>
          <w:color w:val="202124"/>
          <w:sz w:val="20"/>
        </w:rPr>
        <w:t xml:space="preserve">[19] M. Sundararajan et al., </w:t>
      </w:r>
      <w:hyperlink r:id="rId43">
        <w:r>
          <w:rPr>
            <w:rStyle w:val="Style"/>
            <w:color w:val="2E74B5"/>
            <w:sz w:val="19"/>
            <w:szCs w:val="19"/>
            <w:u w:val="single"/>
          </w:rPr>
          <w:t>“Axiomatic Attribution for Deep Networks”</w:t>
        </w:r>
      </w:hyperlink>
      <w:r>
        <w:rPr>
          <w:rFonts w:eastAsia="Times New Roman"/>
          <w:color w:val="202124"/>
          <w:sz w:val="20"/>
        </w:rPr>
        <w:t>, 2017; ICML; foundational exception.</w:t>
      </w:r>
    </w:p>
    <w:p>
      <w:pPr>
        <w:pStyle w:val="Normal"/>
        <w:spacing w:lineRule="auto" w:line="240" w:before="0" w:after="40"/>
        <w:ind w:hanging="403" w:start="403"/>
        <w:jc w:val="start"/>
        <w:rPr/>
      </w:pPr>
      <w:r>
        <w:rPr>
          <w:rFonts w:eastAsia="Times New Roman"/>
          <w:color w:val="202124"/>
          <w:sz w:val="20"/>
        </w:rPr>
        <w:t xml:space="preserve">[20] Y. Bengio et al., </w:t>
      </w:r>
      <w:hyperlink r:id="rId44">
        <w:r>
          <w:rPr>
            <w:rStyle w:val="Style"/>
            <w:color w:val="2E74B5"/>
            <w:sz w:val="19"/>
            <w:szCs w:val="19"/>
            <w:u w:val="single"/>
          </w:rPr>
          <w:t>“Estimating or Propagating Gradients Through Stochastic Neurons for Conditional Computation”</w:t>
        </w:r>
      </w:hyperlink>
      <w:r>
        <w:rPr>
          <w:rFonts w:eastAsia="Times New Roman"/>
          <w:color w:val="202124"/>
          <w:sz w:val="20"/>
        </w:rPr>
        <w:t>, 2013; foundational exception.</w:t>
      </w:r>
    </w:p>
    <w:p>
      <w:pPr>
        <w:pStyle w:val="Normal"/>
        <w:spacing w:lineRule="auto" w:line="240" w:before="0" w:after="40"/>
        <w:ind w:hanging="403" w:start="403"/>
        <w:jc w:val="start"/>
        <w:rPr/>
      </w:pPr>
      <w:r>
        <w:rPr>
          <w:rFonts w:eastAsia="Times New Roman"/>
          <w:color w:val="202124"/>
          <w:sz w:val="20"/>
        </w:rPr>
        <w:t xml:space="preserve">[21] F. Ahmad, </w:t>
      </w:r>
      <w:hyperlink r:id="rId45">
        <w:r>
          <w:rPr>
            <w:rStyle w:val="Style"/>
            <w:color w:val="2E74B5"/>
            <w:sz w:val="19"/>
            <w:szCs w:val="19"/>
            <w:u w:val="single"/>
          </w:rPr>
          <w:t>“Unlearning under Siege: Robustness Risks of Certified Machine Unlearning”</w:t>
        </w:r>
      </w:hyperlink>
      <w:r>
        <w:rPr>
          <w:rFonts w:eastAsia="Times New Roman"/>
          <w:color w:val="202124"/>
          <w:sz w:val="20"/>
        </w:rPr>
        <w:t>, 2026; Neurocomputing; Pakistan/LUMS.</w:t>
      </w:r>
    </w:p>
    <w:p>
      <w:pPr>
        <w:pStyle w:val="Normal"/>
        <w:spacing w:lineRule="auto" w:line="240" w:before="0" w:after="40"/>
        <w:ind w:hanging="403" w:start="403"/>
        <w:jc w:val="start"/>
        <w:rPr/>
      </w:pPr>
      <w:r>
        <w:rPr>
          <w:rFonts w:eastAsia="Times New Roman"/>
          <w:color w:val="202124"/>
          <w:sz w:val="20"/>
        </w:rPr>
        <w:t xml:space="preserve">[22] Z. Ali et al., </w:t>
      </w:r>
      <w:hyperlink r:id="rId46">
        <w:r>
          <w:rPr>
            <w:rStyle w:val="Style"/>
            <w:color w:val="2E74B5"/>
            <w:sz w:val="19"/>
            <w:szCs w:val="19"/>
            <w:u w:val="single"/>
          </w:rPr>
          <w:t>“Evaluating Machine Unlearning: Applications, Approaches, and Accuracy”</w:t>
        </w:r>
      </w:hyperlink>
      <w:r>
        <w:rPr>
          <w:rFonts w:eastAsia="Times New Roman"/>
          <w:color w:val="202124"/>
          <w:sz w:val="20"/>
        </w:rPr>
        <w:t>, 2025; Engineering Reports; Pakistan/COMSATS–FAST.</w:t>
      </w:r>
    </w:p>
    <w:p>
      <w:pPr>
        <w:pStyle w:val="Normal"/>
        <w:spacing w:lineRule="auto" w:line="240" w:before="0" w:after="40"/>
        <w:ind w:hanging="403" w:start="403"/>
        <w:jc w:val="start"/>
        <w:rPr/>
      </w:pPr>
      <w:r>
        <w:rPr>
          <w:rFonts w:eastAsia="Times New Roman"/>
          <w:color w:val="202124"/>
          <w:sz w:val="20"/>
        </w:rPr>
        <w:t xml:space="preserve">[23] M. J. Page et al., </w:t>
      </w:r>
      <w:hyperlink r:id="rId47">
        <w:r>
          <w:rPr>
            <w:rStyle w:val="Style"/>
            <w:color w:val="2E74B5"/>
            <w:sz w:val="19"/>
            <w:szCs w:val="19"/>
            <w:u w:val="single"/>
          </w:rPr>
          <w:t>“The PRISMA 2020 Statement: An Updated Guideline for Reporting Systematic Reviews”</w:t>
        </w:r>
      </w:hyperlink>
      <w:r>
        <w:rPr>
          <w:rFonts w:eastAsia="Times New Roman"/>
          <w:color w:val="202124"/>
          <w:sz w:val="20"/>
        </w:rPr>
        <w:t>, 2021; BMJ; review-method exception.</w:t>
      </w:r>
      <w:r>
        <w:br w:type="page"/>
      </w:r>
    </w:p>
    <w:p>
      <w:pPr>
        <w:pStyle w:val="Heading1"/>
        <w:keepNext w:val="true"/>
        <w:rPr/>
      </w:pPr>
      <w:r>
        <w:rPr>
          <w:rFonts w:eastAsia="Times New Roman" w:ascii="Times New Roman" w:hAnsi="Times New Roman"/>
          <w:b/>
          <w:color w:val="111111"/>
          <w:sz w:val="32"/>
        </w:rPr>
        <w:t>Appendix A — Evidence interpretation rules</w:t>
      </w:r>
    </w:p>
    <w:p>
      <w:pPr>
        <w:pStyle w:val="Normal"/>
        <w:numPr>
          <w:ilvl w:val="0"/>
          <w:numId w:val="7"/>
        </w:numPr>
        <w:spacing w:lineRule="auto" w:line="360" w:before="0" w:after="80"/>
        <w:rPr/>
      </w:pPr>
      <w:r>
        <w:rPr>
          <w:rFonts w:eastAsia="Times New Roman"/>
          <w:color w:val="111111"/>
          <w:sz w:val="24"/>
        </w:rPr>
        <w:t>Numerical outcomes from different papers are not directly ranked unless the model, dataset, metric, and quantiser are aligned.</w:t>
      </w:r>
    </w:p>
    <w:p>
      <w:pPr>
        <w:pStyle w:val="Normal"/>
        <w:numPr>
          <w:ilvl w:val="0"/>
          <w:numId w:val="7"/>
        </w:numPr>
        <w:spacing w:lineRule="auto" w:line="360" w:before="0" w:after="80"/>
        <w:rPr/>
      </w:pPr>
      <w:r>
        <w:rPr>
          <w:rFonts w:eastAsia="Times New Roman"/>
          <w:color w:val="111111"/>
          <w:sz w:val="24"/>
        </w:rPr>
        <w:t>Claims from arXiv papers are attributed to the authors and treated as provisional until peer review or independent replication.</w:t>
      </w:r>
    </w:p>
    <w:p>
      <w:pPr>
        <w:pStyle w:val="Normal"/>
        <w:numPr>
          <w:ilvl w:val="0"/>
          <w:numId w:val="7"/>
        </w:numPr>
        <w:spacing w:lineRule="auto" w:line="360" w:before="0" w:after="80"/>
        <w:rPr/>
      </w:pPr>
      <w:r>
        <w:rPr>
          <w:rFonts w:eastAsia="Times New Roman"/>
          <w:color w:val="111111"/>
          <w:sz w:val="24"/>
        </w:rPr>
        <w:t>The NED workshop paper is distinguished from the author’s later extended repository manuscript; extended audit figures are not represented as workshop-reviewed results.</w:t>
      </w:r>
    </w:p>
    <w:p>
      <w:pPr>
        <w:pStyle w:val="Normal"/>
        <w:numPr>
          <w:ilvl w:val="0"/>
          <w:numId w:val="7"/>
        </w:numPr>
        <w:spacing w:lineRule="auto" w:line="360" w:before="0" w:after="80"/>
        <w:rPr/>
      </w:pPr>
      <w:r>
        <w:rPr>
          <w:rFonts w:eastAsia="Times New Roman"/>
          <w:color w:val="111111"/>
          <w:sz w:val="24"/>
        </w:rPr>
        <w:t>Internal Plan C results are labelled preliminary and are not used to support external novelty claims.</w:t>
      </w:r>
    </w:p>
    <w:p>
      <w:pPr>
        <w:pStyle w:val="Normal"/>
        <w:numPr>
          <w:ilvl w:val="0"/>
          <w:numId w:val="7"/>
        </w:numPr>
        <w:spacing w:lineRule="auto" w:line="360" w:before="0" w:after="80"/>
        <w:rPr/>
      </w:pPr>
      <w:r>
        <w:rPr>
          <w:rFonts w:eastAsia="Times New Roman"/>
          <w:color w:val="111111"/>
          <w:sz w:val="24"/>
        </w:rPr>
        <w:t>‘</w:t>
      </w:r>
      <w:r>
        <w:rPr>
          <w:rFonts w:eastAsia="Times New Roman"/>
          <w:color w:val="111111"/>
          <w:sz w:val="24"/>
        </w:rPr>
        <w:t>Durability certificate’ denotes a finite empirical test over named precisions and seeds; it does not denote formal certified unlearning.</w:t>
      </w:r>
    </w:p>
    <w:sectPr>
      <w:headerReference w:type="even" r:id="rId48"/>
      <w:headerReference w:type="default" r:id="rId49"/>
      <w:headerReference w:type="first" r:id="rId50"/>
      <w:footerReference w:type="even" r:id="rId51"/>
      <w:footerReference w:type="default" r:id="rId52"/>
      <w:footerReference w:type="first" r:id="rId53"/>
      <w:type w:val="nextPage"/>
      <w:pgSz w:w="12240" w:h="15840"/>
      <w:pgMar w:left="1800" w:right="1440" w:gutter="0" w:header="648" w:top="1440" w:footer="648"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ambria Math">
    <w:charset w:val="01" w:characterSet="utf-8"/>
    <w:family w:val="roman"/>
    <w:pitch w:val="variable"/>
  </w:font>
  <w:font w:name="Symbol">
    <w:charset w:val="02"/>
    <w:family w:val="auto"/>
    <w:pitch w:val="default"/>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end"/>
      <w:rPr/>
    </w:pPr>
    <w:r>
      <w:rPr>
        <w:rFonts w:eastAsia="Times New Roman"/>
        <w:color w:val="61666D"/>
        <w:sz w:val="18"/>
      </w:rPr>
      <w:t xml:space="preserve">Page </w:t>
    </w:r>
    <w:r>
      <w:rPr>
        <w:rFonts w:eastAsia="Times New Roman"/>
        <w:color w:val="111111"/>
        <w:sz w:val="24"/>
      </w:rPr>
      <w:fldChar w:fldCharType="begin"/>
    </w:r>
    <w:r>
      <w:rPr>
        <w:rFonts w:eastAsia="Times New Roman"/>
        <w:color w:val="111111"/>
        <w:sz w:val="24"/>
      </w:rPr>
      <w:instrText xml:space="preserve"> PAGE </w:instrText>
    </w:r>
    <w:r>
      <w:rPr>
        <w:rFonts w:eastAsia="Times New Roman"/>
        <w:color w:val="111111"/>
        <w:sz w:val="24"/>
      </w:rPr>
      <w:fldChar w:fldCharType="separate"/>
    </w:r>
    <w:r>
      <w:rPr>
        <w:rFonts w:eastAsia="Times New Roman"/>
        <w:color w:val="111111"/>
        <w:sz w:val="24"/>
      </w:rPr>
      <w:t>44</w:t>
    </w:r>
    <w:r>
      <w:rPr>
        <w:rFonts w:eastAsia="Times New Roman"/>
        <w:color w:val="111111"/>
        <w:sz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start"/>
      <w:rPr/>
    </w:pPr>
    <w:r>
      <w:rPr>
        <w:rFonts w:eastAsia="Times New Roman"/>
        <w:b/>
        <w:color w:val="61666D"/>
        <w:sz w:val="18"/>
      </w:rPr>
      <w:t>FQ-SSIUU  |  Working Thesis Draft: Chapters 1–3</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bullet"/>
      <w:lvlText w:val="•"/>
      <w:lvlJc w:val="start"/>
      <w:pPr>
        <w:tabs>
          <w:tab w:val="num" w:pos="540"/>
        </w:tabs>
        <w:ind w:start="540" w:hanging="280"/>
      </w:pPr>
      <w:rPr>
        <w:rFonts w:ascii="Times New Roman" w:hAnsi="Times New Roman" w:cs="Times New Roman"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decimal"/>
      <w:lvlText w:val="%1."/>
      <w:lvlJc w:val="start"/>
      <w:pPr>
        <w:tabs>
          <w:tab w:val="num" w:pos="540"/>
        </w:tabs>
        <w:ind w:start="540" w:hanging="280"/>
      </w:pPr>
      <w:rPr>
        <w:rFonts w:ascii="Times New Roman" w:hAnsi="Times New Roman"/>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47"/>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120"/>
      <w:jc w:val="both"/>
    </w:pPr>
    <w:rPr>
      <w:rFonts w:ascii="Times New Roman" w:hAnsi="Times New Roman" w:eastAsia="ＭＳ 明朝" w:cs=""/>
      <w:color w:val="111111"/>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20" w:after="160"/>
      <w:outlineLvl w:val="0"/>
    </w:pPr>
    <w:rPr>
      <w:rFonts w:ascii="Calibri" w:hAnsi="Calibri" w:eastAsia="ＭＳ ゴシック" w:cs="" w:asciiTheme="majorHAnsi" w:cstheme="majorBidi" w:eastAsiaTheme="majorEastAsia" w:hAnsiTheme="majorHAnsi"/>
      <w:b/>
      <w:bCs/>
      <w:color w:val="111111"/>
      <w:sz w:val="32"/>
      <w:szCs w:val="28"/>
    </w:rPr>
  </w:style>
  <w:style w:type="paragraph" w:styleId="Heading2">
    <w:name w:val="heading 2"/>
    <w:basedOn w:val="Normal"/>
    <w:next w:val="Normal"/>
    <w:link w:val="Heading2Char"/>
    <w:uiPriority w:val="9"/>
    <w:unhideWhenUsed/>
    <w:qFormat/>
    <w:rsid w:val="00fc693f"/>
    <w:pPr>
      <w:keepNext w:val="true"/>
      <w:keepLines/>
      <w:spacing w:before="240" w:after="100"/>
      <w:outlineLvl w:val="1"/>
    </w:pPr>
    <w:rPr>
      <w:rFonts w:ascii="Calibri" w:hAnsi="Calibri" w:eastAsia="ＭＳ ゴシック" w:cs="" w:asciiTheme="majorHAnsi" w:cstheme="majorBidi" w:eastAsiaTheme="majorEastAsia" w:hAnsiTheme="majorHAnsi"/>
      <w:b/>
      <w:bCs/>
      <w:color w:val="111111"/>
      <w:sz w:val="27"/>
      <w:szCs w:val="26"/>
    </w:rPr>
  </w:style>
  <w:style w:type="paragraph" w:styleId="Heading3">
    <w:name w:val="heading 3"/>
    <w:basedOn w:val="Normal"/>
    <w:next w:val="Normal"/>
    <w:link w:val="Heading3Char"/>
    <w:uiPriority w:val="9"/>
    <w:unhideWhenUsed/>
    <w:qFormat/>
    <w:rsid w:val="00fc693f"/>
    <w:pPr>
      <w:keepNext w:val="true"/>
      <w:keepLines/>
      <w:spacing w:before="160" w:after="60"/>
      <w:outlineLvl w:val="2"/>
    </w:pPr>
    <w:rPr>
      <w:rFonts w:ascii="Calibri" w:hAnsi="Calibri" w:eastAsia="ＭＳ ゴシック" w:cs="" w:asciiTheme="majorHAnsi" w:cstheme="majorBidi" w:eastAsiaTheme="majorEastAsia" w:hAnsiTheme="majorHAnsi"/>
      <w:b/>
      <w:bCs/>
      <w:color w:val="111111"/>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lineRule="auto" w:line="312" w:before="0" w:after="80"/>
      <w:contextualSpacing/>
    </w:pPr>
    <w:rPr>
      <w:rFonts w:ascii="Times New Roman" w:hAnsi="Times New Roman"/>
      <w:sz w:val="24"/>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lineRule="auto" w:line="312" w:before="0" w:after="80"/>
      <w:contextualSpacing/>
    </w:pPr>
    <w:rPr>
      <w:rFonts w:ascii="Times New Roman" w:hAnsi="Times New Roman"/>
      <w:sz w:val="24"/>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itation" w:customStyle="1">
    <w:name w:val="Table Citation"/>
    <w:qFormat/>
    <w:pPr>
      <w:widowControl/>
      <w:bidi w:val="0"/>
      <w:spacing w:lineRule="auto" w:line="276" w:before="80" w:after="80"/>
      <w:jc w:val="start"/>
    </w:pPr>
    <w:rPr>
      <w:rFonts w:ascii="Times New Roman" w:hAnsi="Times New Roman" w:eastAsia="ＭＳ 明朝" w:cs=""/>
      <w:i/>
      <w:color w:val="5F6368"/>
      <w:kern w:val="0"/>
      <w:sz w:val="17"/>
      <w:szCs w:val="22"/>
      <w:lang w:val="en-US" w:eastAsia="en-US" w:bidi="ar-SA"/>
    </w:rPr>
  </w:style>
  <w:style w:type="paragraph" w:styleId="TableText" w:customStyle="1">
    <w:name w:val="Table Text"/>
    <w:qFormat/>
    <w:pPr>
      <w:widowControl/>
      <w:bidi w:val="0"/>
      <w:spacing w:lineRule="auto" w:line="240" w:before="0" w:after="40"/>
      <w:jc w:val="start"/>
    </w:pPr>
    <w:rPr>
      <w:rFonts w:ascii="Times New Roman" w:hAnsi="Times New Roman" w:eastAsia="ＭＳ 明朝" w:cs="" w:cstheme="minorBidi" w:eastAsiaTheme="minorEastAsia"/>
      <w:color w:val="auto"/>
      <w:kern w:val="0"/>
      <w:sz w:val="18"/>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openreview.net/forum?id=lHSeDYamnz" TargetMode="External"/><Relationship Id="rId3" Type="http://schemas.openxmlformats.org/officeDocument/2006/relationships/hyperlink" Target="https://openreview.net/forum?id=WZecHZcKN9" TargetMode="External"/><Relationship Id="rId4" Type="http://schemas.openxmlformats.org/officeDocument/2006/relationships/hyperlink" Target="https://arxiv.org/abs/2605.02196" TargetMode="External"/><Relationship Id="rId5" Type="http://schemas.openxmlformats.org/officeDocument/2006/relationships/hyperlink" Target="https://arxiv.org/abs/2605.15138" TargetMode="External"/><Relationship Id="rId6" Type="http://schemas.openxmlformats.org/officeDocument/2006/relationships/hyperlink" Target="https://arxiv.org/abs/2601.15538" TargetMode="External"/><Relationship Id="rId7" Type="http://schemas.openxmlformats.org/officeDocument/2006/relationships/hyperlink" Target="https://arxiv.org/abs/2602.13151" TargetMode="External"/><Relationship Id="rId8" Type="http://schemas.openxmlformats.org/officeDocument/2006/relationships/hyperlink" Target="https://doi.org/10.1109/DSN-W70714.2026.00034" TargetMode="External"/><Relationship Id="rId9" Type="http://schemas.openxmlformats.org/officeDocument/2006/relationships/hyperlink" Target="https://arxiv.org/abs/2404.05868" TargetMode="External"/><Relationship Id="rId10" Type="http://schemas.openxmlformats.org/officeDocument/2006/relationships/hyperlink" Target="https://arxiv.org/abs/2509.22263" TargetMode="External"/><Relationship Id="rId11" Type="http://schemas.openxmlformats.org/officeDocument/2006/relationships/hyperlink" Target="https://arxiv.org/abs/2401.06121" TargetMode="External"/><Relationship Id="rId12" Type="http://schemas.openxmlformats.org/officeDocument/2006/relationships/hyperlink" Target="https://arxiv.org/abs/2407.06460" TargetMode="External"/><Relationship Id="rId13" Type="http://schemas.openxmlformats.org/officeDocument/2006/relationships/hyperlink" Target="https://arxiv.org/abs/2510.12981" TargetMode="External"/><Relationship Id="rId14" Type="http://schemas.openxmlformats.org/officeDocument/2006/relationships/hyperlink" Target="https://arxiv.org/abs/2510.19422" TargetMode="External"/><Relationship Id="rId15" Type="http://schemas.openxmlformats.org/officeDocument/2006/relationships/hyperlink" Target="https://aclanthology.org/2024.findings-acl.26/" TargetMode="External"/><Relationship Id="rId16" Type="http://schemas.openxmlformats.org/officeDocument/2006/relationships/hyperlink" Target="https://proceedings.neurips.cc/paper_files/paper/2023/hash/1feb87871436031bdc0f2beaa62a049b-Abstract-Conference.html" TargetMode="External"/><Relationship Id="rId17" Type="http://schemas.openxmlformats.org/officeDocument/2006/relationships/hyperlink" Target="https://arxiv.org/abs/2601.21702" TargetMode="External"/><Relationship Id="rId18" Type="http://schemas.openxmlformats.org/officeDocument/2006/relationships/hyperlink" Target="https://arxiv.org/abs/2506.12618" TargetMode="External"/><Relationship Id="rId19" Type="http://schemas.openxmlformats.org/officeDocument/2006/relationships/hyperlink" Target="https://aclanthology.org/2024.acl-long.343/" TargetMode="External"/><Relationship Id="rId20" Type="http://schemas.openxmlformats.org/officeDocument/2006/relationships/hyperlink" Target="https://proceedings.mlr.press/v70/sundararajan17a.html" TargetMode="External"/><Relationship Id="rId21" Type="http://schemas.openxmlformats.org/officeDocument/2006/relationships/hyperlink" Target="https://arxiv.org/abs/1308.3432" TargetMode="External"/><Relationship Id="rId22" Type="http://schemas.openxmlformats.org/officeDocument/2006/relationships/hyperlink" Target="https://doi.org/10.1016/j.neucom.2026.134370" TargetMode="External"/><Relationship Id="rId23" Type="http://schemas.openxmlformats.org/officeDocument/2006/relationships/hyperlink" Target="https://onlinelibrary.wiley.com/doi/full/10.1002/eng2.13081" TargetMode="External"/><Relationship Id="rId24" Type="http://schemas.openxmlformats.org/officeDocument/2006/relationships/hyperlink" Target="https://www.bmj.com/content/372/bmj.n71" TargetMode="External"/><Relationship Id="rId25" Type="http://schemas.openxmlformats.org/officeDocument/2006/relationships/hyperlink" Target="https://openreview.net/forum?id=lHSeDYamnz" TargetMode="External"/><Relationship Id="rId26" Type="http://schemas.openxmlformats.org/officeDocument/2006/relationships/hyperlink" Target="https://openreview.net/forum?id=WZecHZcKN9" TargetMode="External"/><Relationship Id="rId27" Type="http://schemas.openxmlformats.org/officeDocument/2006/relationships/hyperlink" Target="https://arxiv.org/abs/2605.02196" TargetMode="External"/><Relationship Id="rId28" Type="http://schemas.openxmlformats.org/officeDocument/2006/relationships/hyperlink" Target="https://arxiv.org/abs/2605.15138" TargetMode="External"/><Relationship Id="rId29" Type="http://schemas.openxmlformats.org/officeDocument/2006/relationships/hyperlink" Target="https://arxiv.org/abs/2601.15538" TargetMode="External"/><Relationship Id="rId30" Type="http://schemas.openxmlformats.org/officeDocument/2006/relationships/hyperlink" Target="https://arxiv.org/abs/2602.13151" TargetMode="External"/><Relationship Id="rId31" Type="http://schemas.openxmlformats.org/officeDocument/2006/relationships/hyperlink" Target="https://doi.org/10.1109/DSN-W70714.2026.00034" TargetMode="External"/><Relationship Id="rId32" Type="http://schemas.openxmlformats.org/officeDocument/2006/relationships/hyperlink" Target="https://arxiv.org/abs/2404.05868" TargetMode="External"/><Relationship Id="rId33" Type="http://schemas.openxmlformats.org/officeDocument/2006/relationships/hyperlink" Target="https://arxiv.org/abs/2509.22263" TargetMode="External"/><Relationship Id="rId34" Type="http://schemas.openxmlformats.org/officeDocument/2006/relationships/hyperlink" Target="https://arxiv.org/abs/2401.06121" TargetMode="External"/><Relationship Id="rId35" Type="http://schemas.openxmlformats.org/officeDocument/2006/relationships/hyperlink" Target="https://arxiv.org/abs/2407.06460" TargetMode="External"/><Relationship Id="rId36" Type="http://schemas.openxmlformats.org/officeDocument/2006/relationships/hyperlink" Target="https://arxiv.org/abs/2510.12981" TargetMode="External"/><Relationship Id="rId37" Type="http://schemas.openxmlformats.org/officeDocument/2006/relationships/hyperlink" Target="https://arxiv.org/abs/2510.19422" TargetMode="External"/><Relationship Id="rId38" Type="http://schemas.openxmlformats.org/officeDocument/2006/relationships/hyperlink" Target="https://aclanthology.org/2024.findings-acl.26/" TargetMode="External"/><Relationship Id="rId39" Type="http://schemas.openxmlformats.org/officeDocument/2006/relationships/hyperlink" Target="https://proceedings.neurips.cc/paper_files/paper/2023/hash/1feb87871436031bdc0f2beaa62a049b-Abstract-Conference.html" TargetMode="External"/><Relationship Id="rId40" Type="http://schemas.openxmlformats.org/officeDocument/2006/relationships/hyperlink" Target="https://arxiv.org/abs/2601.21702" TargetMode="External"/><Relationship Id="rId41" Type="http://schemas.openxmlformats.org/officeDocument/2006/relationships/hyperlink" Target="https://arxiv.org/abs/2506.12618" TargetMode="External"/><Relationship Id="rId42" Type="http://schemas.openxmlformats.org/officeDocument/2006/relationships/hyperlink" Target="https://aclanthology.org/2024.acl-long.343/" TargetMode="External"/><Relationship Id="rId43" Type="http://schemas.openxmlformats.org/officeDocument/2006/relationships/hyperlink" Target="https://proceedings.mlr.press/v70/sundararajan17a.html" TargetMode="External"/><Relationship Id="rId44" Type="http://schemas.openxmlformats.org/officeDocument/2006/relationships/hyperlink" Target="https://arxiv.org/abs/1308.3432" TargetMode="External"/><Relationship Id="rId45" Type="http://schemas.openxmlformats.org/officeDocument/2006/relationships/hyperlink" Target="https://doi.org/10.1016/j.neucom.2026.134370" TargetMode="External"/><Relationship Id="rId46" Type="http://schemas.openxmlformats.org/officeDocument/2006/relationships/hyperlink" Target="https://onlinelibrary.wiley.com/doi/full/10.1002/eng2.13081" TargetMode="External"/><Relationship Id="rId47" Type="http://schemas.openxmlformats.org/officeDocument/2006/relationships/hyperlink" Target="https://www.bmj.com/content/372/bmj.n71" TargetMode="External"/><Relationship Id="rId48" Type="http://schemas.openxmlformats.org/officeDocument/2006/relationships/header" Target="header1.xml"/><Relationship Id="rId49" Type="http://schemas.openxmlformats.org/officeDocument/2006/relationships/header" Target="header2.xml"/><Relationship Id="rId50" Type="http://schemas.openxmlformats.org/officeDocument/2006/relationships/header" Target="header3.xml"/><Relationship Id="rId51" Type="http://schemas.openxmlformats.org/officeDocument/2006/relationships/footer" Target="footer1.xml"/><Relationship Id="rId52" Type="http://schemas.openxmlformats.org/officeDocument/2006/relationships/footer" Target="footer2.xml"/><Relationship Id="rId53" Type="http://schemas.openxmlformats.org/officeDocument/2006/relationships/footer" Target="footer3.xml"/><Relationship Id="rId54" Type="http://schemas.openxmlformats.org/officeDocument/2006/relationships/numbering" Target="numbering.xml"/><Relationship Id="rId55" Type="http://schemas.openxmlformats.org/officeDocument/2006/relationships/fontTable" Target="fontTable.xml"/><Relationship Id="rId56" Type="http://schemas.openxmlformats.org/officeDocument/2006/relationships/settings" Target="settings.xml"/><Relationship Id="rId57" Type="http://schemas.openxmlformats.org/officeDocument/2006/relationships/theme" Target="theme/theme1.xml"/><Relationship Id="rId5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Application>LibreOffice/26.2.5.2$Linux_X86_64 LibreOffice_project/6d2b0d33fb0f5da53a12f98bed3e9973e56ff1f0</Application>
  <AppVersion>15.0000</AppVersion>
  <Pages>44</Pages>
  <Words>11733</Words>
  <Characters>74463</Characters>
  <CharactersWithSpaces>85261</CharactersWithSpaces>
  <Paragraphs>881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Muhammad Arslan; Rohan Ahmed</dc:creator>
  <dc:description>Structured critical literature review; search cutoff 1 September 2026.</dc:description>
  <cp:keywords>machine unlearning quantisation recovery attack NPO SSIUU QAT LLM</cp:keywords>
  <dc:language>en-US</dc:language>
  <cp:lastModifiedBy/>
  <dcterms:modified xsi:type="dcterms:W3CDTF">2026-10-06T21:10:59Z</dcterms:modified>
  <cp:revision>2</cp:revision>
  <dc:subject>Working thesis draft, Chapters 1–3</dc:subject>
  <dc:title>FQ-SSIUU: Verifiable Machine Unlearning Against Quantisation Recovery Attacks in Large Language Models</dc:title>
</cp:coreProperties>
</file>

<file path=docProps/custom.xml><?xml version="1.0" encoding="utf-8"?>
<Properties xmlns="http://schemas.openxmlformats.org/officeDocument/2006/custom-properties" xmlns:vt="http://schemas.openxmlformats.org/officeDocument/2006/docPropsVTypes"/>
</file>