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before="100"/>
        <w:jc w:val="center"/>
        <w:bidi/>
      </w:pPr>
      <w:r>
        <w:rPr>
          <w:rFonts w:ascii="Arial" w:hAnsi="Arial" w:eastAsia="Arial"/>
          <w:b/>
          <w:color w:val="13233D"/>
          <w:sz w:val="44"/>
        </w:rPr>
        <w:t>موجز الجلسة الخامسة</w:t>
      </w:r>
    </w:p>
    <w:p>
      <w:pPr>
        <w:spacing w:line="276" w:lineRule="auto" w:after="80"/>
        <w:jc w:val="center"/>
        <w:bidi/>
      </w:pPr>
      <w:r>
        <w:rPr>
          <w:rFonts w:ascii="Arial" w:hAnsi="Arial" w:eastAsia="Arial"/>
          <w:b/>
          <w:color w:val="C99A45"/>
          <w:sz w:val="26"/>
        </w:rPr>
        <w:t>نقل الأعمال بين القوائم وتنظيف المشروع</w:t>
      </w:r>
    </w:p>
    <w:p>
      <w:pPr>
        <w:spacing w:line="276" w:lineRule="auto" w:after="80"/>
        <w:jc w:val="center"/>
        <w:bidi/>
      </w:pPr>
      <w:r>
        <w:rPr>
          <w:rFonts w:ascii="Arial" w:hAnsi="Arial" w:eastAsia="Arial"/>
          <w:b w:val="0"/>
          <w:color w:val="667085"/>
          <w:sz w:val="19"/>
        </w:rPr>
        <w:t>التاريخ: 14 يوليو 2026  |  المشروع: الذائقة السينمائية</w:t>
      </w:r>
    </w:p>
    <w:p>
      <w:pPr>
        <w:spacing w:line="276" w:lineRule="auto" w:after="80"/>
        <w:jc w:val="center"/>
        <w:bidi/>
      </w:pPr>
      <w:r>
        <w:rPr>
          <w:rFonts w:ascii="Arial" w:hAnsi="Arial" w:eastAsia="Arial"/>
          <w:b w:val="0"/>
          <w:color w:val="667085"/>
          <w:sz w:val="17"/>
        </w:rPr>
        <w:t>المسار المعتمد: C:\Users\abdul\Documents\My Projects\الذائقة السينمائية</w:t>
      </w:r>
    </w:p>
    <w:tbl>
      <w:tblPr>
        <w:tblW w:type="auto" w:w="0"/>
        <w:jc w:val="center"/>
        <w:tblLook w:firstColumn="1" w:firstRow="1" w:lastColumn="0" w:lastRow="0" w:noHBand="0" w:noVBand="1" w:val="04A0"/>
        <w:bidiVisual/>
      </w:tblPr>
      <w:tblGrid>
        <w:gridCol w:w="10370"/>
      </w:tblGrid>
      <w:tr>
        <w:tc>
          <w:tcPr>
            <w:tcW w:type="dxa" w:w="10370"/>
            <w:vAlign w:val="center"/>
            <w:shd w:fill="FBF4E7"/>
          </w:tcPr>
          <w:p>
            <w:pPr>
              <w:spacing w:line="276" w:lineRule="auto" w:after="80"/>
              <w:jc w:val="right"/>
              <w:bidi/>
            </w:pPr>
            <w:r/>
            <w:r>
              <w:rPr>
                <w:rFonts w:ascii="Arial" w:hAnsi="Arial" w:eastAsia="Arial"/>
                <w:b/>
                <w:color w:val="13233D"/>
                <w:sz w:val="22"/>
              </w:rPr>
              <w:t>نطاق هذا الموجز</w:t>
              <w:br/>
            </w:r>
            <w:r>
              <w:rPr>
                <w:rFonts w:ascii="Arial" w:hAnsi="Arial" w:eastAsia="Arial"/>
                <w:b w:val="0"/>
                <w:color w:val="243247"/>
                <w:sz w:val="20"/>
              </w:rPr>
              <w:t>هذا الحصر يخص مشروع «الذائقة السينمائية» فقط. لم تُدرج فيه تعديلات «صحة» ولا مراجعة جاهزية «ملف المعلم»، لأنهما مشروعان مستقلان.</w:t>
            </w:r>
          </w:p>
        </w:tc>
      </w:tr>
    </w:tbl>
    <w:p>
      <w:pPr>
        <w:spacing w:after="20"/>
      </w:pPr>
    </w:p>
    <w:p>
      <w:pPr>
        <w:spacing w:line="276" w:lineRule="auto" w:after="80" w:before="180"/>
        <w:jc w:val="right"/>
        <w:keepNext/>
        <w:bidi/>
        <w:pBdr>
          <w:bottom w:val="single" w:sz="9" w:space="4" w:color="C99A45"/>
        </w:pBdr>
      </w:pPr>
      <w:r>
        <w:rPr>
          <w:rFonts w:ascii="Arial" w:hAnsi="Arial" w:eastAsia="Arial"/>
          <w:b/>
          <w:color w:val="13233D"/>
          <w:sz w:val="30"/>
        </w:rPr>
        <w:t>1. نقطة الانطلاق والمراجعة</w:t>
      </w:r>
    </w:p>
    <w:p>
      <w:pPr>
        <w:spacing w:line="276" w:lineRule="auto" w:after="80"/>
        <w:jc w:val="right"/>
        <w:bidi/>
      </w:pPr>
      <w:r>
        <w:rPr>
          <w:rFonts w:ascii="Arial" w:hAnsi="Arial" w:eastAsia="Arial"/>
          <w:b w:val="0"/>
          <w:color w:val="243247"/>
          <w:sz w:val="21"/>
        </w:rPr>
        <w:t>بدأت الجلسة بالاطلاع على موجز الجلسة الرابعة وحالة المشروع الحالية، ثم مراجعة الخطأ الموروث من الجلسة الثالثة في صفحة «إضافة عمل». ثبت أن المشكلة السابقة لم تكن فشلًا في جلب بيانات OMDb، بل تعارضًا بصريًا جعل حالة الانتظار تبقى ظاهرة فوق البطاقة المعبأة، مع قص المحتوى داخل الصفحة. اعتُمد من ذلك أن الفحص البرمجي وحده لا يكفي، وأن أي عنصر مخفي يجب التحقق منه بصريًا وعلى أبعاد النافذة الفعلية.</w:t>
      </w:r>
    </w:p>
    <w:p>
      <w:pPr>
        <w:spacing w:line="276" w:lineRule="auto" w:after="80"/>
        <w:ind w:right="142" w:hanging="102"/>
        <w:jc w:val="right"/>
        <w:bidi/>
      </w:pPr>
      <w:r>
        <w:rPr>
          <w:rFonts w:ascii="Arial" w:hAnsi="Arial" w:eastAsia="Arial"/>
          <w:b w:val="0"/>
          <w:color w:val="243247"/>
          <w:sz w:val="20"/>
        </w:rPr>
        <w:t>•  الهوية الحالية بقيت كحلية داكنة مع الذهبي والبطاقات الزجاجية، ولم يُجرَ تغيير جديد على مضمون السجلات السينمائية.</w:t>
      </w:r>
    </w:p>
    <w:p>
      <w:pPr>
        <w:spacing w:line="276" w:lineRule="auto" w:after="80"/>
        <w:ind w:right="142" w:hanging="102"/>
        <w:jc w:val="right"/>
        <w:bidi/>
      </w:pPr>
      <w:r>
        <w:rPr>
          <w:rFonts w:ascii="Arial" w:hAnsi="Arial" w:eastAsia="Arial"/>
          <w:b w:val="0"/>
          <w:color w:val="243247"/>
          <w:sz w:val="20"/>
        </w:rPr>
        <w:t>•  الحالة المرجعية قبل توثيق الجلسة الخامسة: 465 عملًا أعجبني، 78 لم تعجبني، 66 في قائمة المشاهدة، و4 جلسات موثقة.</w:t>
      </w:r>
    </w:p>
    <w:p>
      <w:pPr>
        <w:spacing w:line="276" w:lineRule="auto" w:after="80" w:before="180"/>
        <w:jc w:val="right"/>
        <w:keepNext/>
        <w:bidi/>
        <w:pBdr>
          <w:bottom w:val="single" w:sz="9" w:space="4" w:color="C99A45"/>
        </w:pBdr>
      </w:pPr>
      <w:r>
        <w:rPr>
          <w:rFonts w:ascii="Arial" w:hAnsi="Arial" w:eastAsia="Arial"/>
          <w:b/>
          <w:color w:val="13233D"/>
          <w:sz w:val="30"/>
        </w:rPr>
        <w:t>2. تنظيف ملفات النسخ الاحتياطية</w:t>
      </w:r>
    </w:p>
    <w:p>
      <w:pPr>
        <w:spacing w:line="276" w:lineRule="auto" w:after="80"/>
        <w:jc w:val="right"/>
        <w:bidi/>
      </w:pPr>
      <w:r>
        <w:rPr>
          <w:rFonts w:ascii="Arial" w:hAnsi="Arial" w:eastAsia="Arial"/>
          <w:b w:val="0"/>
          <w:color w:val="243247"/>
          <w:sz w:val="21"/>
        </w:rPr>
        <w:t>حُذفت ملفات ومجلدات النسخ الاحتياطية الموجودة في المشروع، ثم أُعيد فحص المجلد كاملًا. عند إنشاء هذا الموجز لا توجد ملفات بأسماء backup أو .bak أو .tmp ولا مجلد «نسخ احتياطية» قائم في جذر المشروع.</w:t>
      </w:r>
    </w:p>
    <w:tbl>
      <w:tblPr>
        <w:tblW w:type="auto" w:w="0"/>
        <w:jc w:val="center"/>
        <w:tblLook w:firstColumn="1" w:firstRow="1" w:lastColumn="0" w:lastRow="0" w:noHBand="0" w:noVBand="1" w:val="04A0"/>
        <w:bidiVisual/>
      </w:tblPr>
      <w:tblGrid>
        <w:gridCol w:w="10370"/>
      </w:tblGrid>
      <w:tr>
        <w:tc>
          <w:tcPr>
            <w:tcW w:type="dxa" w:w="10370"/>
            <w:vAlign w:val="center"/>
            <w:shd w:fill="FCEDEF"/>
          </w:tcPr>
          <w:p>
            <w:pPr>
              <w:spacing w:line="276" w:lineRule="auto" w:after="80"/>
              <w:jc w:val="right"/>
              <w:bidi/>
            </w:pPr>
            <w:r/>
            <w:r>
              <w:rPr>
                <w:rFonts w:ascii="Arial" w:hAnsi="Arial" w:eastAsia="Arial"/>
                <w:b/>
                <w:color w:val="13233D"/>
                <w:sz w:val="22"/>
              </w:rPr>
              <w:t>تنبيه تشغيلي مهم</w:t>
              <w:br/>
            </w:r>
            <w:r>
              <w:rPr>
                <w:rFonts w:ascii="Arial" w:hAnsi="Arial" w:eastAsia="Arial"/>
                <w:b w:val="0"/>
                <w:color w:val="243247"/>
                <w:sz w:val="20"/>
              </w:rPr>
              <w:t>الخادم ما زال مصممًا لإنشاء نسخة أمان عند أي إضافة أو نقل فعلي لحماية ملفات CSV واستعادتها عند الفشل. لذلك قد يُعاد إنشاء مجلد «نسخ احتياطية» مستقبلًا بعد استخدام «إضافة عمل». قرار الحذف التلقائي أو الاحتفاظ المؤقت بهذه النسخ مؤجل، ولم يُغيّر في هذه الجلسة.</w:t>
            </w:r>
          </w:p>
        </w:tc>
      </w:tr>
    </w:tbl>
    <w:p>
      <w:pPr>
        <w:spacing w:after="20"/>
      </w:pPr>
    </w:p>
    <w:p>
      <w:pPr>
        <w:spacing w:line="276" w:lineRule="auto" w:after="80" w:before="180"/>
        <w:jc w:val="right"/>
        <w:keepNext/>
        <w:bidi/>
        <w:pBdr>
          <w:bottom w:val="single" w:sz="9" w:space="4" w:color="C99A45"/>
        </w:pBdr>
      </w:pPr>
      <w:r>
        <w:rPr>
          <w:rFonts w:ascii="Arial" w:hAnsi="Arial" w:eastAsia="Arial"/>
          <w:b/>
          <w:color w:val="13233D"/>
          <w:sz w:val="30"/>
        </w:rPr>
        <w:t>3. توضيح السلوك المعتمد لقسم «إضافة عمل»</w:t>
      </w:r>
    </w:p>
    <w:p>
      <w:pPr>
        <w:spacing w:line="276" w:lineRule="auto" w:after="80"/>
        <w:ind w:right="142" w:hanging="102"/>
        <w:jc w:val="right"/>
        <w:bidi/>
      </w:pPr>
      <w:r>
        <w:rPr>
          <w:rFonts w:ascii="Arial" w:hAnsi="Arial" w:eastAsia="Arial"/>
          <w:b w:val="0"/>
          <w:color w:val="243247"/>
          <w:sz w:val="20"/>
        </w:rPr>
        <w:t>•  العمل الجديد: يبحث المستخدم عنه في OMDb، يراجع البيانات ويعدلها إن أراد، ثم يختار «أعجبني» أو «لم يعجبني» أو «أريد مشاهدته».</w:t>
      </w:r>
    </w:p>
    <w:p>
      <w:pPr>
        <w:spacing w:line="276" w:lineRule="auto" w:after="80"/>
        <w:ind w:right="142" w:hanging="102"/>
        <w:jc w:val="right"/>
        <w:bidi/>
      </w:pPr>
      <w:r>
        <w:rPr>
          <w:rFonts w:ascii="Arial" w:hAnsi="Arial" w:eastAsia="Arial"/>
          <w:b w:val="0"/>
          <w:color w:val="243247"/>
          <w:sz w:val="20"/>
        </w:rPr>
        <w:t>•  «أعجبني»: يتطلب تقييمًا شخصيًا من 1 إلى 10، ويُسجل Date Rated تلقائيًا.</w:t>
      </w:r>
    </w:p>
    <w:p>
      <w:pPr>
        <w:spacing w:line="276" w:lineRule="auto" w:after="80"/>
        <w:ind w:right="142" w:hanging="102"/>
        <w:jc w:val="right"/>
        <w:bidi/>
      </w:pPr>
      <w:r>
        <w:rPr>
          <w:rFonts w:ascii="Arial" w:hAnsi="Arial" w:eastAsia="Arial"/>
          <w:b w:val="0"/>
          <w:color w:val="243247"/>
          <w:sz w:val="20"/>
        </w:rPr>
        <w:t>•  «لم يعجبني»: لا يتطلب تقييمًا رقميًا، ويكفي التصنيف نفسه.</w:t>
      </w:r>
    </w:p>
    <w:p>
      <w:pPr>
        <w:spacing w:line="276" w:lineRule="auto" w:after="80"/>
        <w:ind w:right="142" w:hanging="102"/>
        <w:jc w:val="right"/>
        <w:bidi/>
      </w:pPr>
      <w:r>
        <w:rPr>
          <w:rFonts w:ascii="Arial" w:hAnsi="Arial" w:eastAsia="Arial"/>
          <w:b w:val="0"/>
          <w:color w:val="243247"/>
          <w:sz w:val="20"/>
        </w:rPr>
        <w:t>•  «أريد مشاهدته»: لا يتطلب تقييمًا شخصيًا لأنه لم يُشاهد بعد.</w:t>
      </w:r>
    </w:p>
    <w:p>
      <w:pPr>
        <w:spacing w:line="276" w:lineRule="auto" w:after="80"/>
        <w:ind w:right="142" w:hanging="102"/>
        <w:jc w:val="right"/>
        <w:bidi/>
      </w:pPr>
      <w:r>
        <w:rPr>
          <w:rFonts w:ascii="Arial" w:hAnsi="Arial" w:eastAsia="Arial"/>
          <w:b w:val="0"/>
          <w:color w:val="243247"/>
          <w:sz w:val="20"/>
        </w:rPr>
        <w:t>•  إذا كان العمل موجودًا في القائمة نفسها، يبقى منع التكرار قائمًا ولا يُنشأ صف ثانٍ.</w:t>
      </w:r>
    </w:p>
    <w:p>
      <w:pPr>
        <w:spacing w:line="276" w:lineRule="auto" w:after="80"/>
        <w:ind w:right="142" w:hanging="102"/>
        <w:jc w:val="right"/>
        <w:bidi/>
      </w:pPr>
      <w:r>
        <w:rPr>
          <w:rFonts w:ascii="Arial" w:hAnsi="Arial" w:eastAsia="Arial"/>
          <w:b w:val="0"/>
          <w:color w:val="243247"/>
          <w:sz w:val="20"/>
        </w:rPr>
        <w:t>•  تغيير الوصف بين القوائم عمل يدوي مقصود: يختار المستخدم الوجهة الجديدة ويؤكد النقل؛ لا يغير النظام رأي المستخدم تلقائيًا.</w:t>
      </w:r>
    </w:p>
    <w:p>
      <w:pPr>
        <w:spacing w:line="276" w:lineRule="auto" w:after="80" w:before="180"/>
        <w:jc w:val="right"/>
        <w:keepNext/>
        <w:bidi/>
        <w:pBdr>
          <w:bottom w:val="single" w:sz="9" w:space="4" w:color="C99A45"/>
        </w:pBdr>
      </w:pPr>
      <w:r>
        <w:rPr>
          <w:rFonts w:ascii="Arial" w:hAnsi="Arial" w:eastAsia="Arial"/>
          <w:b/>
          <w:color w:val="13233D"/>
          <w:sz w:val="30"/>
        </w:rPr>
        <w:t>4. الميزة الجديدة: نقل العمل المكرر بين القوائم</w:t>
      </w:r>
    </w:p>
    <w:p>
      <w:pPr>
        <w:spacing w:line="276" w:lineRule="auto" w:after="80"/>
        <w:jc w:val="right"/>
        <w:bidi/>
      </w:pPr>
      <w:r>
        <w:rPr>
          <w:rFonts w:ascii="Arial" w:hAnsi="Arial" w:eastAsia="Arial"/>
          <w:b w:val="0"/>
          <w:color w:val="243247"/>
          <w:sz w:val="21"/>
        </w:rPr>
        <w:t>طُورت آلية تجعل التعامل مع العمل الموجود مسبقًا مباشرًا. عند محاولة إضافته إلى قائمة مختلفة، لا تظهر رسالة تكرار مسدودة فقط، بل تظهر نافذة توضح القائمة الحالية والوجهة المطلوبة وتمنح خيارين واضحين: «إلغاء العملية» أو «نقل العمل».</w:t>
      </w:r>
    </w:p>
    <w:tbl>
      <w:tblPr>
        <w:tblStyle w:val="TableGrid"/>
        <w:tblW w:type="auto" w:w="0"/>
        <w:jc w:val="center"/>
        <w:tblLook w:firstColumn="1" w:firstRow="1" w:lastColumn="0" w:lastRow="0" w:noHBand="0" w:noVBand="1" w:val="04A0"/>
        <w:bidiVisual/>
      </w:tblPr>
      <w:tblGrid>
        <w:gridCol w:w="3457"/>
        <w:gridCol w:w="3457"/>
        <w:gridCol w:w="3457"/>
      </w:tblGrid>
      <w:tr>
        <w:tc>
          <w:tcPr>
            <w:tcW w:type="dxa" w:w="3457"/>
            <w:vAlign w:val="center"/>
            <w:shd w:fill="13233D"/>
          </w:tcPr>
          <w:p>
            <w:pPr>
              <w:spacing w:line="276" w:lineRule="auto" w:after="80"/>
              <w:jc w:val="center"/>
              <w:bidi/>
            </w:pPr>
            <w:r/>
            <w:r>
              <w:rPr>
                <w:rFonts w:ascii="Arial" w:hAnsi="Arial" w:eastAsia="Arial"/>
                <w:b/>
                <w:color w:val="FFFFFF"/>
                <w:sz w:val="18"/>
              </w:rPr>
              <w:t>الحالة</w:t>
            </w:r>
          </w:p>
        </w:tc>
        <w:tc>
          <w:tcPr>
            <w:tcW w:type="dxa" w:w="3457"/>
            <w:vAlign w:val="center"/>
            <w:shd w:fill="13233D"/>
          </w:tcPr>
          <w:p>
            <w:pPr>
              <w:spacing w:line="276" w:lineRule="auto" w:after="80"/>
              <w:jc w:val="center"/>
              <w:bidi/>
            </w:pPr>
            <w:r/>
            <w:r>
              <w:rPr>
                <w:rFonts w:ascii="Arial" w:hAnsi="Arial" w:eastAsia="Arial"/>
                <w:b/>
                <w:color w:val="FFFFFF"/>
                <w:sz w:val="18"/>
              </w:rPr>
              <w:t>ما يظهر للمستخدم</w:t>
            </w:r>
          </w:p>
        </w:tc>
        <w:tc>
          <w:tcPr>
            <w:tcW w:type="dxa" w:w="3457"/>
            <w:vAlign w:val="center"/>
            <w:shd w:fill="13233D"/>
          </w:tcPr>
          <w:p>
            <w:pPr>
              <w:spacing w:line="276" w:lineRule="auto" w:after="80"/>
              <w:jc w:val="center"/>
              <w:bidi/>
            </w:pPr>
            <w:r/>
            <w:r>
              <w:rPr>
                <w:rFonts w:ascii="Arial" w:hAnsi="Arial" w:eastAsia="Arial"/>
                <w:b/>
                <w:color w:val="FFFFFF"/>
                <w:sz w:val="18"/>
              </w:rPr>
              <w:t>النتيجة</w:t>
            </w:r>
          </w:p>
        </w:tc>
      </w:tr>
      <w:tr>
        <w:tc>
          <w:tcPr>
            <w:tcW w:type="dxa" w:w="3457"/>
            <w:shd w:fill="EDF2F7"/>
          </w:tcPr>
          <w:p>
            <w:pPr>
              <w:spacing w:line="276" w:lineRule="auto" w:after="80"/>
              <w:jc w:val="right"/>
              <w:bidi/>
            </w:pPr>
            <w:r/>
            <w:r>
              <w:rPr>
                <w:rFonts w:ascii="Arial" w:hAnsi="Arial" w:eastAsia="Arial"/>
                <w:b/>
                <w:color w:val="243247"/>
                <w:sz w:val="18"/>
              </w:rPr>
              <w:t>العمل غير موجود</w:t>
            </w:r>
          </w:p>
        </w:tc>
        <w:tc>
          <w:tcPr>
            <w:tcW w:type="dxa" w:w="3457"/>
          </w:tcPr>
          <w:p>
            <w:pPr>
              <w:spacing w:line="276" w:lineRule="auto" w:after="80"/>
              <w:jc w:val="right"/>
              <w:bidi/>
            </w:pPr>
            <w:r/>
            <w:r>
              <w:rPr>
                <w:rFonts w:ascii="Arial" w:hAnsi="Arial" w:eastAsia="Arial"/>
                <w:b w:val="0"/>
                <w:color w:val="243247"/>
                <w:sz w:val="18"/>
              </w:rPr>
              <w:t>إضافة عادية بعد المراجعة</w:t>
            </w:r>
          </w:p>
        </w:tc>
        <w:tc>
          <w:tcPr>
            <w:tcW w:type="dxa" w:w="3457"/>
          </w:tcPr>
          <w:p>
            <w:pPr>
              <w:spacing w:line="276" w:lineRule="auto" w:after="80"/>
              <w:jc w:val="right"/>
              <w:bidi/>
            </w:pPr>
            <w:r/>
            <w:r>
              <w:rPr>
                <w:rFonts w:ascii="Arial" w:hAnsi="Arial" w:eastAsia="Arial"/>
                <w:b w:val="0"/>
                <w:color w:val="243247"/>
                <w:sz w:val="18"/>
              </w:rPr>
              <w:t>يضاف إلى القائمة المختارة.</w:t>
            </w:r>
          </w:p>
        </w:tc>
      </w:tr>
      <w:tr>
        <w:tc>
          <w:tcPr>
            <w:tcW w:type="dxa" w:w="3457"/>
            <w:shd w:fill="EDF2F7"/>
          </w:tcPr>
          <w:p>
            <w:pPr>
              <w:spacing w:line="276" w:lineRule="auto" w:after="80"/>
              <w:jc w:val="right"/>
              <w:bidi/>
            </w:pPr>
            <w:r/>
            <w:r>
              <w:rPr>
                <w:rFonts w:ascii="Arial" w:hAnsi="Arial" w:eastAsia="Arial"/>
                <w:b/>
                <w:color w:val="243247"/>
                <w:sz w:val="18"/>
              </w:rPr>
              <w:t>موجود في القائمة نفسها</w:t>
            </w:r>
          </w:p>
        </w:tc>
        <w:tc>
          <w:tcPr>
            <w:tcW w:type="dxa" w:w="3457"/>
          </w:tcPr>
          <w:p>
            <w:pPr>
              <w:spacing w:line="276" w:lineRule="auto" w:after="80"/>
              <w:jc w:val="right"/>
              <w:bidi/>
            </w:pPr>
            <w:r/>
            <w:r>
              <w:rPr>
                <w:rFonts w:ascii="Arial" w:hAnsi="Arial" w:eastAsia="Arial"/>
                <w:b w:val="0"/>
                <w:color w:val="243247"/>
                <w:sz w:val="18"/>
              </w:rPr>
              <w:t>رسالة أن العمل موجود بالفعل</w:t>
            </w:r>
          </w:p>
        </w:tc>
        <w:tc>
          <w:tcPr>
            <w:tcW w:type="dxa" w:w="3457"/>
          </w:tcPr>
          <w:p>
            <w:pPr>
              <w:spacing w:line="276" w:lineRule="auto" w:after="80"/>
              <w:jc w:val="right"/>
              <w:bidi/>
            </w:pPr>
            <w:r/>
            <w:r>
              <w:rPr>
                <w:rFonts w:ascii="Arial" w:hAnsi="Arial" w:eastAsia="Arial"/>
                <w:b w:val="0"/>
                <w:color w:val="243247"/>
                <w:sz w:val="18"/>
              </w:rPr>
              <w:t>لا يتغير أي ملف ولا يتكرر الصف.</w:t>
            </w:r>
          </w:p>
        </w:tc>
      </w:tr>
      <w:tr>
        <w:tc>
          <w:tcPr>
            <w:tcW w:type="dxa" w:w="3457"/>
            <w:shd w:fill="EDF2F7"/>
          </w:tcPr>
          <w:p>
            <w:pPr>
              <w:spacing w:line="276" w:lineRule="auto" w:after="80"/>
              <w:jc w:val="right"/>
              <w:bidi/>
            </w:pPr>
            <w:r/>
            <w:r>
              <w:rPr>
                <w:rFonts w:ascii="Arial" w:hAnsi="Arial" w:eastAsia="Arial"/>
                <w:b/>
                <w:color w:val="243247"/>
                <w:sz w:val="18"/>
              </w:rPr>
              <w:t>موجود في قائمة مختلفة</w:t>
            </w:r>
          </w:p>
        </w:tc>
        <w:tc>
          <w:tcPr>
            <w:tcW w:type="dxa" w:w="3457"/>
          </w:tcPr>
          <w:p>
            <w:pPr>
              <w:spacing w:line="276" w:lineRule="auto" w:after="80"/>
              <w:jc w:val="right"/>
              <w:bidi/>
            </w:pPr>
            <w:r/>
            <w:r>
              <w:rPr>
                <w:rFonts w:ascii="Arial" w:hAnsi="Arial" w:eastAsia="Arial"/>
                <w:b w:val="0"/>
                <w:color w:val="243247"/>
                <w:sz w:val="18"/>
              </w:rPr>
              <w:t>نافذة إلغاء أو نقل مع اسم القائمتين</w:t>
            </w:r>
          </w:p>
        </w:tc>
        <w:tc>
          <w:tcPr>
            <w:tcW w:type="dxa" w:w="3457"/>
          </w:tcPr>
          <w:p>
            <w:pPr>
              <w:spacing w:line="276" w:lineRule="auto" w:after="80"/>
              <w:jc w:val="right"/>
              <w:bidi/>
            </w:pPr>
            <w:r/>
            <w:r>
              <w:rPr>
                <w:rFonts w:ascii="Arial" w:hAnsi="Arial" w:eastAsia="Arial"/>
                <w:b w:val="0"/>
                <w:color w:val="243247"/>
                <w:sz w:val="18"/>
              </w:rPr>
              <w:t>الإلغاء يبقي البيانات؛ النقل يحذف من المصدر ويضيف إلى الوجهة.</w:t>
            </w:r>
          </w:p>
        </w:tc>
      </w:tr>
      <w:tr>
        <w:tc>
          <w:tcPr>
            <w:tcW w:type="dxa" w:w="3457"/>
            <w:shd w:fill="EDF2F7"/>
          </w:tcPr>
          <w:p>
            <w:pPr>
              <w:spacing w:line="276" w:lineRule="auto" w:after="80"/>
              <w:jc w:val="right"/>
              <w:bidi/>
            </w:pPr>
            <w:r/>
            <w:r>
              <w:rPr>
                <w:rFonts w:ascii="Arial" w:hAnsi="Arial" w:eastAsia="Arial"/>
                <w:b/>
                <w:color w:val="243247"/>
                <w:sz w:val="18"/>
              </w:rPr>
              <w:t>النقل إلى «أعجبني»</w:t>
            </w:r>
          </w:p>
        </w:tc>
        <w:tc>
          <w:tcPr>
            <w:tcW w:type="dxa" w:w="3457"/>
          </w:tcPr>
          <w:p>
            <w:pPr>
              <w:spacing w:line="276" w:lineRule="auto" w:after="80"/>
              <w:jc w:val="right"/>
              <w:bidi/>
            </w:pPr>
            <w:r/>
            <w:r>
              <w:rPr>
                <w:rFonts w:ascii="Arial" w:hAnsi="Arial" w:eastAsia="Arial"/>
                <w:b w:val="0"/>
                <w:color w:val="243247"/>
                <w:sz w:val="18"/>
              </w:rPr>
              <w:t>يُطلب تقييم من 1 إلى 10</w:t>
            </w:r>
          </w:p>
        </w:tc>
        <w:tc>
          <w:tcPr>
            <w:tcW w:type="dxa" w:w="3457"/>
          </w:tcPr>
          <w:p>
            <w:pPr>
              <w:spacing w:line="276" w:lineRule="auto" w:after="80"/>
              <w:jc w:val="right"/>
              <w:bidi/>
            </w:pPr>
            <w:r/>
            <w:r>
              <w:rPr>
                <w:rFonts w:ascii="Arial" w:hAnsi="Arial" w:eastAsia="Arial"/>
                <w:b w:val="0"/>
                <w:color w:val="243247"/>
                <w:sz w:val="18"/>
              </w:rPr>
              <w:t>لا يتم النقل قبل إدخال التقييم.</w:t>
            </w:r>
          </w:p>
        </w:tc>
      </w:tr>
    </w:tbl>
    <w:p>
      <w:pPr>
        <w:spacing w:line="276" w:lineRule="auto" w:after="80" w:before="100"/>
        <w:jc w:val="right"/>
        <w:keepNext/>
        <w:bidi/>
      </w:pPr>
      <w:r>
        <w:rPr>
          <w:rFonts w:ascii="Arial" w:hAnsi="Arial" w:eastAsia="Arial"/>
          <w:b/>
          <w:color w:val="C99A45"/>
          <w:sz w:val="24"/>
        </w:rPr>
        <w:t>5. تنفيذ الواجهة والخادم</w:t>
      </w:r>
    </w:p>
    <w:p>
      <w:pPr>
        <w:spacing w:line="276" w:lineRule="auto" w:after="80"/>
        <w:ind w:right="142" w:hanging="102"/>
        <w:jc w:val="right"/>
        <w:bidi/>
      </w:pPr>
      <w:r>
        <w:rPr>
          <w:rFonts w:ascii="Arial" w:hAnsi="Arial" w:eastAsia="Arial"/>
          <w:b w:val="0"/>
          <w:color w:val="243247"/>
          <w:sz w:val="20"/>
        </w:rPr>
        <w:t>•  أضيفت نافذة نقل داخل ملف HTML، مع زري الإلغاء والتأكيد ورسالة تذكر اسم القائمة الحالية والوجهة الجديدة.</w:t>
      </w:r>
    </w:p>
    <w:p>
      <w:pPr>
        <w:spacing w:line="276" w:lineRule="auto" w:after="80"/>
        <w:ind w:right="142" w:hanging="102"/>
        <w:jc w:val="right"/>
        <w:bidi/>
      </w:pPr>
      <w:r>
        <w:rPr>
          <w:rFonts w:ascii="Arial" w:hAnsi="Arial" w:eastAsia="Arial"/>
          <w:b w:val="0"/>
          <w:color w:val="243247"/>
          <w:sz w:val="20"/>
        </w:rPr>
        <w:t>•  أضيفت حالات انتظار ورسائل نجاح وفشل واضحة، ويعود نموذج الإضافة إلى حالته الأولى بعد نجاح النقل.</w:t>
      </w:r>
    </w:p>
    <w:p>
      <w:pPr>
        <w:spacing w:line="276" w:lineRule="auto" w:after="80"/>
        <w:ind w:right="142" w:hanging="102"/>
        <w:jc w:val="right"/>
        <w:bidi/>
      </w:pPr>
      <w:r>
        <w:rPr>
          <w:rFonts w:ascii="Arial" w:hAnsi="Arial" w:eastAsia="Arial"/>
          <w:b w:val="0"/>
          <w:color w:val="243247"/>
          <w:sz w:val="20"/>
        </w:rPr>
        <w:t>•  طُورت استجابة التكرار في الخادم لتعيد مكان العمل الحالي، بدل الاكتفاء بجملة عامة.</w:t>
      </w:r>
    </w:p>
    <w:p>
      <w:pPr>
        <w:spacing w:line="276" w:lineRule="auto" w:after="80"/>
        <w:ind w:right="142" w:hanging="102"/>
        <w:jc w:val="right"/>
        <w:bidi/>
      </w:pPr>
      <w:r>
        <w:rPr>
          <w:rFonts w:ascii="Arial" w:hAnsi="Arial" w:eastAsia="Arial"/>
          <w:b w:val="0"/>
          <w:color w:val="243247"/>
          <w:sz w:val="20"/>
        </w:rPr>
        <w:t>•  أضيف المسار المحلي /api/works/transfer لتنفيذ النقل من المصدر إلى الهدف.</w:t>
      </w:r>
    </w:p>
    <w:p>
      <w:pPr>
        <w:spacing w:line="276" w:lineRule="auto" w:after="80"/>
        <w:ind w:right="142" w:hanging="102"/>
        <w:jc w:val="right"/>
        <w:bidi/>
      </w:pPr>
      <w:r>
        <w:rPr>
          <w:rFonts w:ascii="Arial" w:hAnsi="Arial" w:eastAsia="Arial"/>
          <w:b w:val="0"/>
          <w:color w:val="243247"/>
          <w:sz w:val="20"/>
        </w:rPr>
        <w:t>•  عند النقل يُحذف الصف من قائمته السابقة، ويُعاد ترقيم Position عند وجوده، ثم يُبنى صف الوجهة وفق أعمدتها وقواعد التقييم الخاصة بها.</w:t>
      </w:r>
    </w:p>
    <w:p>
      <w:pPr>
        <w:spacing w:line="276" w:lineRule="auto" w:after="80"/>
        <w:ind w:right="142" w:hanging="102"/>
        <w:jc w:val="right"/>
        <w:bidi/>
      </w:pPr>
      <w:r>
        <w:rPr>
          <w:rFonts w:ascii="Arial" w:hAnsi="Arial" w:eastAsia="Arial"/>
          <w:b w:val="0"/>
          <w:color w:val="243247"/>
          <w:sz w:val="20"/>
        </w:rPr>
        <w:t>•  تُكتب الملفات بطريقة مؤقتة ثم تُستبدل، وإذا فشلت الكتابة تُستعاد القائمتان من نسخ الأمان.</w:t>
      </w:r>
    </w:p>
    <w:p>
      <w:pPr>
        <w:spacing w:line="276" w:lineRule="auto" w:after="80" w:before="180"/>
        <w:jc w:val="right"/>
        <w:keepNext/>
        <w:bidi/>
        <w:pBdr>
          <w:bottom w:val="single" w:sz="9" w:space="4" w:color="C99A45"/>
        </w:pBdr>
      </w:pPr>
      <w:r>
        <w:rPr>
          <w:rFonts w:ascii="Arial" w:hAnsi="Arial" w:eastAsia="Arial"/>
          <w:b/>
          <w:color w:val="13233D"/>
          <w:sz w:val="30"/>
        </w:rPr>
        <w:t>6. معالجة الأبعاد ومنع إخفاء المحتوى</w:t>
      </w:r>
    </w:p>
    <w:p>
      <w:pPr>
        <w:spacing w:line="276" w:lineRule="auto" w:after="80"/>
        <w:jc w:val="right"/>
        <w:bidi/>
      </w:pPr>
      <w:r>
        <w:rPr>
          <w:rFonts w:ascii="Arial" w:hAnsi="Arial" w:eastAsia="Arial"/>
          <w:b w:val="0"/>
          <w:color w:val="243247"/>
          <w:sz w:val="21"/>
        </w:rPr>
        <w:t>بقي شرط سطح المكتب كما هو: عند تكبير 100% تظهر الصفحة من البنر إلى الأسفل دون تمرير رأسي. وفي المقابل أضيفت استجابة واضحة للشاشات الضيقة بدل حصر الارتفاع وإخفاء العناصر.</w:t>
      </w:r>
    </w:p>
    <w:p>
      <w:pPr>
        <w:spacing w:line="276" w:lineRule="auto" w:after="80"/>
        <w:ind w:right="142" w:hanging="102"/>
        <w:jc w:val="right"/>
        <w:bidi/>
      </w:pPr>
      <w:r>
        <w:rPr>
          <w:rFonts w:ascii="Arial" w:hAnsi="Arial" w:eastAsia="Arial"/>
          <w:b w:val="0"/>
          <w:color w:val="243247"/>
          <w:sz w:val="20"/>
        </w:rPr>
        <w:t>•  عند عرض 760px فأقل تصبح الصفحة استثناءً متجاوبًا: يسمح بالتمرير الطبيعي، وتتحول الشبكات إلى أعمدة أقل، وتظهر جميع البطاقات والحقول.</w:t>
      </w:r>
    </w:p>
    <w:p>
      <w:pPr>
        <w:spacing w:line="276" w:lineRule="auto" w:after="80"/>
        <w:ind w:right="142" w:hanging="102"/>
        <w:jc w:val="right"/>
        <w:bidi/>
      </w:pPr>
      <w:r>
        <w:rPr>
          <w:rFonts w:ascii="Arial" w:hAnsi="Arial" w:eastAsia="Arial"/>
          <w:b w:val="0"/>
          <w:color w:val="243247"/>
          <w:sz w:val="20"/>
        </w:rPr>
        <w:t>•  تتحول صفحة «إضافة عمل» على الهاتف إلى عمود واحد، وتختفي رؤوس الجدول غير المناسبة، وتُعاد صياغة صفوف قائمة المشاهدة لتناسب اللمس.</w:t>
      </w:r>
    </w:p>
    <w:p>
      <w:pPr>
        <w:spacing w:line="276" w:lineRule="auto" w:after="80"/>
        <w:ind w:right="142" w:hanging="102"/>
        <w:jc w:val="right"/>
        <w:bidi/>
      </w:pPr>
      <w:r>
        <w:rPr>
          <w:rFonts w:ascii="Arial" w:hAnsi="Arial" w:eastAsia="Arial"/>
          <w:b w:val="0"/>
          <w:color w:val="243247"/>
          <w:sz w:val="20"/>
        </w:rPr>
        <w:t>•  بطاقات البحث والتنزيل تتدرج إلى عمودين ثم عمود واحد عند العرض الأضيق، بدل خروجها من الشاشة أو اختفائها.</w:t>
      </w:r>
    </w:p>
    <w:tbl>
      <w:tblPr>
        <w:tblW w:type="auto" w:w="0"/>
        <w:jc w:val="center"/>
        <w:tblLook w:firstColumn="1" w:firstRow="1" w:lastColumn="0" w:lastRow="0" w:noHBand="0" w:noVBand="1" w:val="04A0"/>
        <w:bidiVisual/>
      </w:tblPr>
      <w:tblGrid>
        <w:gridCol w:w="10370"/>
      </w:tblGrid>
      <w:tr>
        <w:tc>
          <w:tcPr>
            <w:tcW w:type="dxa" w:w="10370"/>
            <w:vAlign w:val="center"/>
            <w:shd w:fill="EAF5EE"/>
          </w:tcPr>
          <w:p>
            <w:pPr>
              <w:spacing w:line="276" w:lineRule="auto" w:after="80"/>
              <w:jc w:val="right"/>
              <w:bidi/>
            </w:pPr>
            <w:r/>
            <w:r>
              <w:rPr>
                <w:rFonts w:ascii="Arial" w:hAnsi="Arial" w:eastAsia="Arial"/>
                <w:b/>
                <w:color w:val="13233D"/>
                <w:sz w:val="22"/>
              </w:rPr>
              <w:t>القاعدة المعتمدة</w:t>
              <w:br/>
            </w:r>
            <w:r>
              <w:rPr>
                <w:rFonts w:ascii="Arial" w:hAnsi="Arial" w:eastAsia="Arial"/>
                <w:b w:val="0"/>
                <w:color w:val="243247"/>
                <w:sz w:val="20"/>
              </w:rPr>
              <w:t>لا يُسمح بإخفاء أي معلومة لتحقيق شرط عدم التمرير. سطح المكتب يظل مدمجًا بلا تمرير عند 100%، أما الشاشات الضيقة أو الصفحات المعتمدة استثناءً فتتمدد طبيعيًا وتسمح بالتمرير.</w:t>
            </w:r>
          </w:p>
        </w:tc>
      </w:tr>
    </w:tbl>
    <w:p>
      <w:pPr>
        <w:spacing w:after="20"/>
      </w:pPr>
    </w:p>
    <w:p>
      <w:pPr>
        <w:spacing w:line="276" w:lineRule="auto" w:after="80" w:before="180"/>
        <w:jc w:val="right"/>
        <w:keepNext/>
        <w:bidi/>
        <w:pBdr>
          <w:bottom w:val="single" w:sz="9" w:space="4" w:color="C99A45"/>
        </w:pBdr>
      </w:pPr>
      <w:r>
        <w:rPr>
          <w:rFonts w:ascii="Arial" w:hAnsi="Arial" w:eastAsia="Arial"/>
          <w:b/>
          <w:color w:val="13233D"/>
          <w:sz w:val="30"/>
        </w:rPr>
        <w:t>7. الملفات التي شملها العمل</w:t>
      </w:r>
    </w:p>
    <w:tbl>
      <w:tblPr>
        <w:tblStyle w:val="TableGrid"/>
        <w:tblW w:type="auto" w:w="0"/>
        <w:jc w:val="center"/>
        <w:tblLook w:firstColumn="1" w:firstRow="1" w:lastColumn="0" w:lastRow="0" w:noHBand="0" w:noVBand="1" w:val="04A0"/>
        <w:bidiVisual/>
      </w:tblPr>
      <w:tblGrid>
        <w:gridCol w:w="5185"/>
        <w:gridCol w:w="5185"/>
      </w:tblGrid>
      <w:tr>
        <w:tc>
          <w:tcPr>
            <w:tcW w:type="dxa" w:w="5185"/>
            <w:vAlign w:val="center"/>
            <w:shd w:fill="13233D"/>
          </w:tcPr>
          <w:p>
            <w:pPr>
              <w:spacing w:line="276" w:lineRule="auto" w:after="80"/>
              <w:jc w:val="center"/>
              <w:bidi/>
            </w:pPr>
            <w:r/>
            <w:r>
              <w:rPr>
                <w:rFonts w:ascii="Arial" w:hAnsi="Arial" w:eastAsia="Arial"/>
                <w:b/>
                <w:color w:val="FFFFFF"/>
                <w:sz w:val="18"/>
              </w:rPr>
              <w:t>الملف</w:t>
            </w:r>
          </w:p>
        </w:tc>
        <w:tc>
          <w:tcPr>
            <w:tcW w:type="dxa" w:w="5185"/>
            <w:vAlign w:val="center"/>
            <w:shd w:fill="13233D"/>
          </w:tcPr>
          <w:p>
            <w:pPr>
              <w:spacing w:line="276" w:lineRule="auto" w:after="80"/>
              <w:jc w:val="center"/>
              <w:bidi/>
            </w:pPr>
            <w:r/>
            <w:r>
              <w:rPr>
                <w:rFonts w:ascii="Arial" w:hAnsi="Arial" w:eastAsia="Arial"/>
                <w:b/>
                <w:color w:val="FFFFFF"/>
                <w:sz w:val="18"/>
              </w:rPr>
              <w:t>التغيير</w:t>
            </w:r>
          </w:p>
        </w:tc>
      </w:tr>
      <w:tr>
        <w:tc>
          <w:tcPr>
            <w:tcW w:type="dxa" w:w="5185"/>
            <w:shd w:fill="EDF2F7"/>
          </w:tcPr>
          <w:p>
            <w:pPr>
              <w:spacing w:line="276" w:lineRule="auto" w:after="80"/>
              <w:jc w:val="right"/>
              <w:bidi/>
            </w:pPr>
            <w:r/>
            <w:r>
              <w:rPr>
                <w:rFonts w:ascii="Arial" w:hAnsi="Arial" w:eastAsia="Arial"/>
                <w:b/>
                <w:color w:val="243247"/>
                <w:sz w:val="18"/>
              </w:rPr>
              <w:t>الذائقة السينمائية.html</w:t>
            </w:r>
          </w:p>
        </w:tc>
        <w:tc>
          <w:tcPr>
            <w:tcW w:type="dxa" w:w="5185"/>
          </w:tcPr>
          <w:p>
            <w:pPr>
              <w:spacing w:line="276" w:lineRule="auto" w:after="80"/>
              <w:jc w:val="right"/>
              <w:bidi/>
            </w:pPr>
            <w:r/>
            <w:r>
              <w:rPr>
                <w:rFonts w:ascii="Arial" w:hAnsi="Arial" w:eastAsia="Arial"/>
                <w:b w:val="0"/>
                <w:color w:val="243247"/>
                <w:sz w:val="18"/>
              </w:rPr>
              <w:t>إضافة نافذة النقل وتحديث رقم إصدار CSS وJavaScript.</w:t>
            </w:r>
          </w:p>
        </w:tc>
      </w:tr>
      <w:tr>
        <w:tc>
          <w:tcPr>
            <w:tcW w:type="dxa" w:w="5185"/>
            <w:shd w:fill="EDF2F7"/>
          </w:tcPr>
          <w:p>
            <w:pPr>
              <w:spacing w:line="276" w:lineRule="auto" w:after="80"/>
              <w:jc w:val="right"/>
              <w:bidi/>
            </w:pPr>
            <w:r/>
            <w:r>
              <w:rPr>
                <w:rFonts w:ascii="Arial" w:hAnsi="Arial" w:eastAsia="Arial"/>
                <w:b/>
                <w:color w:val="243247"/>
                <w:sz w:val="18"/>
              </w:rPr>
              <w:t>assets/cinema.css</w:t>
            </w:r>
          </w:p>
        </w:tc>
        <w:tc>
          <w:tcPr>
            <w:tcW w:type="dxa" w:w="5185"/>
          </w:tcPr>
          <w:p>
            <w:pPr>
              <w:spacing w:line="276" w:lineRule="auto" w:after="80"/>
              <w:jc w:val="right"/>
              <w:bidi/>
            </w:pPr>
            <w:r/>
            <w:r>
              <w:rPr>
                <w:rFonts w:ascii="Arial" w:hAnsi="Arial" w:eastAsia="Arial"/>
                <w:b w:val="0"/>
                <w:color w:val="243247"/>
                <w:sz w:val="18"/>
              </w:rPr>
              <w:t>تنسيق نافذة النقل وإضافة استجابة للشاشات المتوسطة والضيقة.</w:t>
            </w:r>
          </w:p>
        </w:tc>
      </w:tr>
      <w:tr>
        <w:tc>
          <w:tcPr>
            <w:tcW w:type="dxa" w:w="5185"/>
            <w:shd w:fill="EDF2F7"/>
          </w:tcPr>
          <w:p>
            <w:pPr>
              <w:spacing w:line="276" w:lineRule="auto" w:after="80"/>
              <w:jc w:val="right"/>
              <w:bidi/>
            </w:pPr>
            <w:r/>
            <w:r>
              <w:rPr>
                <w:rFonts w:ascii="Arial" w:hAnsi="Arial" w:eastAsia="Arial"/>
                <w:b/>
                <w:color w:val="243247"/>
                <w:sz w:val="18"/>
              </w:rPr>
              <w:t>assets/cinema.js</w:t>
            </w:r>
          </w:p>
        </w:tc>
        <w:tc>
          <w:tcPr>
            <w:tcW w:type="dxa" w:w="5185"/>
          </w:tcPr>
          <w:p>
            <w:pPr>
              <w:spacing w:line="276" w:lineRule="auto" w:after="80"/>
              <w:jc w:val="right"/>
              <w:bidi/>
            </w:pPr>
            <w:r/>
            <w:r>
              <w:rPr>
                <w:rFonts w:ascii="Arial" w:hAnsi="Arial" w:eastAsia="Arial"/>
                <w:b w:val="0"/>
                <w:color w:val="243247"/>
                <w:sz w:val="18"/>
              </w:rPr>
              <w:t>التقاط حالة التكرار، فتح نافذة النقل، الإلغاء، والتأكيد عبر المسار الجديد.</w:t>
            </w:r>
          </w:p>
        </w:tc>
      </w:tr>
      <w:tr>
        <w:tc>
          <w:tcPr>
            <w:tcW w:type="dxa" w:w="5185"/>
            <w:shd w:fill="EDF2F7"/>
          </w:tcPr>
          <w:p>
            <w:pPr>
              <w:spacing w:line="276" w:lineRule="auto" w:after="80"/>
              <w:jc w:val="right"/>
              <w:bidi/>
            </w:pPr>
            <w:r/>
            <w:r>
              <w:rPr>
                <w:rFonts w:ascii="Arial" w:hAnsi="Arial" w:eastAsia="Arial"/>
                <w:b/>
                <w:color w:val="243247"/>
                <w:sz w:val="18"/>
              </w:rPr>
              <w:t>tools/cinema_server.py</w:t>
            </w:r>
          </w:p>
        </w:tc>
        <w:tc>
          <w:tcPr>
            <w:tcW w:type="dxa" w:w="5185"/>
          </w:tcPr>
          <w:p>
            <w:pPr>
              <w:spacing w:line="276" w:lineRule="auto" w:after="80"/>
              <w:jc w:val="right"/>
              <w:bidi/>
            </w:pPr>
            <w:r/>
            <w:r>
              <w:rPr>
                <w:rFonts w:ascii="Arial" w:hAnsi="Arial" w:eastAsia="Arial"/>
                <w:b w:val="0"/>
                <w:color w:val="243247"/>
                <w:sz w:val="18"/>
              </w:rPr>
              <w:t>كشف موقع التكرار وإضافة منطق النقل الآمن بين ملفات CSV.</w:t>
            </w:r>
          </w:p>
        </w:tc>
      </w:tr>
      <w:tr>
        <w:tc>
          <w:tcPr>
            <w:tcW w:type="dxa" w:w="5185"/>
            <w:shd w:fill="EDF2F7"/>
          </w:tcPr>
          <w:p>
            <w:pPr>
              <w:spacing w:line="276" w:lineRule="auto" w:after="80"/>
              <w:jc w:val="right"/>
              <w:bidi/>
            </w:pPr>
            <w:r/>
            <w:r>
              <w:rPr>
                <w:rFonts w:ascii="Arial" w:hAnsi="Arial" w:eastAsia="Arial"/>
                <w:b/>
                <w:color w:val="243247"/>
                <w:sz w:val="18"/>
              </w:rPr>
              <w:t>ملفات CSV الثلاثة</w:t>
            </w:r>
          </w:p>
        </w:tc>
        <w:tc>
          <w:tcPr>
            <w:tcW w:type="dxa" w:w="5185"/>
          </w:tcPr>
          <w:p>
            <w:pPr>
              <w:spacing w:line="276" w:lineRule="auto" w:after="80"/>
              <w:jc w:val="right"/>
              <w:bidi/>
            </w:pPr>
            <w:r/>
            <w:r>
              <w:rPr>
                <w:rFonts w:ascii="Arial" w:hAnsi="Arial" w:eastAsia="Arial"/>
                <w:b w:val="0"/>
                <w:color w:val="243247"/>
                <w:sz w:val="18"/>
              </w:rPr>
              <w:t>لم تُعدّل في هذه المرحلة؛ لا يوجد نقل فعلي تم اعتماده بعد.</w:t>
            </w:r>
          </w:p>
        </w:tc>
      </w:tr>
    </w:tbl>
    <w:p>
      <w:pPr>
        <w:spacing w:line="276" w:lineRule="auto" w:after="80" w:before="180"/>
        <w:jc w:val="right"/>
        <w:keepNext/>
        <w:bidi/>
        <w:pBdr>
          <w:bottom w:val="single" w:sz="9" w:space="4" w:color="C99A45"/>
        </w:pBdr>
      </w:pPr>
      <w:r>
        <w:rPr>
          <w:rFonts w:ascii="Arial" w:hAnsi="Arial" w:eastAsia="Arial"/>
          <w:b/>
          <w:color w:val="13233D"/>
          <w:sz w:val="30"/>
        </w:rPr>
        <w:t>8. حالة اختبار Obsession 2026</w:t>
      </w:r>
    </w:p>
    <w:p>
      <w:pPr>
        <w:spacing w:line="276" w:lineRule="auto" w:after="80"/>
        <w:jc w:val="right"/>
        <w:bidi/>
      </w:pPr>
      <w:r>
        <w:rPr>
          <w:rFonts w:ascii="Arial" w:hAnsi="Arial" w:eastAsia="Arial"/>
          <w:b w:val="0"/>
          <w:color w:val="243247"/>
          <w:sz w:val="21"/>
        </w:rPr>
        <w:t>فيلم Obsession 2026 هو الحالة العملية المتفق على استخدامها لاختبار النقل، لكن النقل الفعلي لم يُنفذ حتى لحظة توثيق هذه الجلسة. بقي الفيلم مرة واحدة فقط داخل «أعمال أعجبتني» بالتقييم الشخصي 9 ورقم IMDb ‏tt37287335، وغير موجود في قائمة المشاهدة أو قائمة عدم الإعجاب.</w:t>
      </w:r>
    </w:p>
    <w:p>
      <w:pPr>
        <w:spacing w:line="276" w:lineRule="auto" w:after="80"/>
        <w:ind w:right="142" w:hanging="102"/>
        <w:jc w:val="right"/>
        <w:bidi/>
      </w:pPr>
      <w:r>
        <w:rPr>
          <w:rFonts w:ascii="Arial" w:hAnsi="Arial" w:eastAsia="Arial"/>
          <w:b w:val="0"/>
          <w:color w:val="243247"/>
          <w:sz w:val="20"/>
        </w:rPr>
        <w:t>•  الاختبار القادم المقترح: اختيار Obsession من «إضافة عمل»، تحديد وجهة أخرى، التحقق من ظهور نافذة الإلغاء/النقل، تجربة الإلغاء أولًا، ثم تنفيذ النقل فقط إذا أراد المستخدم تغيير تصنيفه فعلًا.</w:t>
      </w:r>
    </w:p>
    <w:p>
      <w:pPr>
        <w:spacing w:line="276" w:lineRule="auto" w:after="80"/>
        <w:ind w:right="142" w:hanging="102"/>
        <w:jc w:val="right"/>
        <w:bidi/>
      </w:pPr>
      <w:r>
        <w:rPr>
          <w:rFonts w:ascii="Arial" w:hAnsi="Arial" w:eastAsia="Arial"/>
          <w:b w:val="0"/>
          <w:color w:val="243247"/>
          <w:sz w:val="20"/>
        </w:rPr>
        <w:t>•  إذا كان الغرض اختبارًا تقنيًا فقط وليس تغيير الرأي الحقيقي، فلا يُنقل السجل الدائم؛ يمكن اختبار الآلية على عمل تجريبي ثم استعادة الحالة المتفق عليها.</w:t>
      </w:r>
    </w:p>
    <w:p>
      <w:pPr>
        <w:spacing w:line="276" w:lineRule="auto" w:after="80" w:before="180"/>
        <w:jc w:val="right"/>
        <w:keepNext/>
        <w:bidi/>
        <w:pBdr>
          <w:bottom w:val="single" w:sz="9" w:space="4" w:color="C99A45"/>
        </w:pBdr>
      </w:pPr>
      <w:r>
        <w:rPr>
          <w:rFonts w:ascii="Arial" w:hAnsi="Arial" w:eastAsia="Arial"/>
          <w:b/>
          <w:color w:val="13233D"/>
          <w:sz w:val="30"/>
        </w:rPr>
        <w:t>9. التحقق والحالة الختامية</w:t>
      </w:r>
    </w:p>
    <w:p>
      <w:pPr>
        <w:spacing w:line="276" w:lineRule="auto" w:after="80"/>
        <w:ind w:right="142" w:hanging="102"/>
        <w:jc w:val="right"/>
        <w:bidi/>
      </w:pPr>
      <w:r>
        <w:rPr>
          <w:rFonts w:ascii="Arial" w:hAnsi="Arial" w:eastAsia="Arial"/>
          <w:b w:val="0"/>
          <w:color w:val="243247"/>
          <w:sz w:val="20"/>
        </w:rPr>
        <w:t>•  نجح فحص صياغة JavaScript ونجح تحليل صياغة Python.</w:t>
      </w:r>
    </w:p>
    <w:p>
      <w:pPr>
        <w:spacing w:line="276" w:lineRule="auto" w:after="80"/>
        <w:ind w:right="142" w:hanging="102"/>
        <w:jc w:val="right"/>
        <w:bidi/>
      </w:pPr>
      <w:r>
        <w:rPr>
          <w:rFonts w:ascii="Arial" w:hAnsi="Arial" w:eastAsia="Arial"/>
          <w:b w:val="0"/>
          <w:color w:val="243247"/>
          <w:sz w:val="20"/>
        </w:rPr>
        <w:t>•  تأكد وجود عناصر نافذة النقل في HTML، ووجود المسار نفسه في الواجهة والخادم.</w:t>
      </w:r>
    </w:p>
    <w:p>
      <w:pPr>
        <w:spacing w:line="276" w:lineRule="auto" w:after="80"/>
        <w:ind w:right="142" w:hanging="102"/>
        <w:jc w:val="right"/>
        <w:bidi/>
      </w:pPr>
      <w:r>
        <w:rPr>
          <w:rFonts w:ascii="Arial" w:hAnsi="Arial" w:eastAsia="Arial"/>
          <w:b w:val="0"/>
          <w:color w:val="243247"/>
          <w:sz w:val="20"/>
        </w:rPr>
        <w:t>•  تأكد وجود استثناء الشاشات الضيقة الذي يسمح بالتمرير، مع بقاء منع التمرير في تخطيط سطح المكتب.</w:t>
      </w:r>
    </w:p>
    <w:p>
      <w:pPr>
        <w:spacing w:line="276" w:lineRule="auto" w:after="80"/>
        <w:ind w:right="142" w:hanging="102"/>
        <w:jc w:val="right"/>
        <w:bidi/>
      </w:pPr>
      <w:r>
        <w:rPr>
          <w:rFonts w:ascii="Arial" w:hAnsi="Arial" w:eastAsia="Arial"/>
          <w:b w:val="0"/>
          <w:color w:val="243247"/>
          <w:sz w:val="20"/>
        </w:rPr>
        <w:t>•  لا توجد ملفات نسخ احتياطية أو مؤقتة حاليًا داخل المشروع.</w:t>
      </w:r>
    </w:p>
    <w:p>
      <w:pPr>
        <w:spacing w:line="276" w:lineRule="auto" w:after="80"/>
        <w:ind w:right="142" w:hanging="102"/>
        <w:jc w:val="right"/>
        <w:bidi/>
      </w:pPr>
      <w:r>
        <w:rPr>
          <w:rFonts w:ascii="Arial" w:hAnsi="Arial" w:eastAsia="Arial"/>
          <w:b w:val="0"/>
          <w:color w:val="243247"/>
          <w:sz w:val="20"/>
        </w:rPr>
        <w:t>•  العدادات السينمائية لم تتغير: 465 أعجبتني، 78 لم تعجبني، 66 قائمة مشاهدة.</w:t>
      </w:r>
    </w:p>
    <w:p>
      <w:pPr>
        <w:spacing w:line="276" w:lineRule="auto" w:after="80"/>
        <w:ind w:right="142" w:hanging="102"/>
        <w:jc w:val="right"/>
        <w:bidi/>
      </w:pPr>
      <w:r>
        <w:rPr>
          <w:rFonts w:ascii="Arial" w:hAnsi="Arial" w:eastAsia="Arial"/>
          <w:b w:val="0"/>
          <w:color w:val="243247"/>
          <w:sz w:val="20"/>
        </w:rPr>
        <w:t>•  بعد حفظ هذا الموجز وتحديث البيانات يصبح عدد الجلسات الموثقة 5.</w:t>
      </w:r>
    </w:p>
    <w:p>
      <w:pPr>
        <w:spacing w:line="276" w:lineRule="auto" w:after="80" w:before="180"/>
        <w:jc w:val="right"/>
        <w:keepNext/>
        <w:bidi/>
        <w:pBdr>
          <w:bottom w:val="single" w:sz="9" w:space="4" w:color="C99A45"/>
        </w:pBdr>
      </w:pPr>
      <w:r>
        <w:rPr>
          <w:rFonts w:ascii="Arial" w:hAnsi="Arial" w:eastAsia="Arial"/>
          <w:b/>
          <w:color w:val="13233D"/>
          <w:sz w:val="30"/>
        </w:rPr>
        <w:t>10. ما ينتظر الجلسة القادمة</w:t>
      </w:r>
    </w:p>
    <w:p>
      <w:pPr>
        <w:spacing w:line="276" w:lineRule="auto" w:after="80"/>
        <w:ind w:right="142" w:hanging="102"/>
        <w:jc w:val="right"/>
        <w:bidi/>
      </w:pPr>
      <w:r>
        <w:rPr>
          <w:rFonts w:ascii="Arial" w:hAnsi="Arial" w:eastAsia="Arial"/>
          <w:b w:val="0"/>
          <w:color w:val="243247"/>
          <w:sz w:val="20"/>
        </w:rPr>
        <w:t>☐  تنفيذ الاختبار المرئي الحقيقي لرسالة التكرار وخياري الإلغاء والنقل باستخدام Obsession أو عمل تجريبي يحدده المستخدم.</w:t>
      </w:r>
    </w:p>
    <w:p>
      <w:pPr>
        <w:spacing w:line="276" w:lineRule="auto" w:after="80"/>
        <w:ind w:right="142" w:hanging="102"/>
        <w:jc w:val="right"/>
        <w:bidi/>
      </w:pPr>
      <w:r>
        <w:rPr>
          <w:rFonts w:ascii="Arial" w:hAnsi="Arial" w:eastAsia="Arial"/>
          <w:b w:val="0"/>
          <w:color w:val="243247"/>
          <w:sz w:val="20"/>
        </w:rPr>
        <w:t>☐  حسم سياسة النسخ الاحتياطية التي ينشئها الخادم: حذف تلقائي بعد نجاح العملية، أو الاحتفاظ بآخر نسخة فقط، أو تنظيف يدوي.</w:t>
      </w:r>
    </w:p>
    <w:p>
      <w:pPr>
        <w:spacing w:line="276" w:lineRule="auto" w:after="80"/>
        <w:ind w:right="142" w:hanging="102"/>
        <w:jc w:val="right"/>
        <w:bidi/>
      </w:pPr>
      <w:r>
        <w:rPr>
          <w:rFonts w:ascii="Arial" w:hAnsi="Arial" w:eastAsia="Arial"/>
          <w:b w:val="0"/>
          <w:color w:val="243247"/>
          <w:sz w:val="20"/>
        </w:rPr>
        <w:t>☐  التأكد بصريًا من الاستجابة على هاتف فعلي، مع عدم المساس بتخطيط سطح المكتب عند 100%.</w:t>
      </w:r>
    </w:p>
    <w:p>
      <w:pPr>
        <w:spacing w:line="276" w:lineRule="auto" w:after="80"/>
        <w:ind w:right="142" w:hanging="102"/>
        <w:jc w:val="right"/>
        <w:bidi/>
      </w:pPr>
      <w:r>
        <w:rPr>
          <w:rFonts w:ascii="Arial" w:hAnsi="Arial" w:eastAsia="Arial"/>
          <w:b w:val="0"/>
          <w:color w:val="243247"/>
          <w:sz w:val="20"/>
        </w:rPr>
        <w:t>☐  توحيد أيقونات SVG في بقية الأقسام والبنر إذا رغب المستخدم؛ ما زال قرارًا مؤجلًا.</w:t>
      </w:r>
    </w:p>
    <w:p>
      <w:pPr>
        <w:spacing w:line="276" w:lineRule="auto" w:after="80" w:before="180"/>
        <w:jc w:val="right"/>
        <w:keepNext/>
        <w:bidi/>
        <w:pBdr>
          <w:bottom w:val="single" w:sz="9" w:space="4" w:color="C99A45"/>
        </w:pBdr>
      </w:pPr>
      <w:r>
        <w:rPr>
          <w:rFonts w:ascii="Arial" w:hAnsi="Arial" w:eastAsia="Arial"/>
          <w:b/>
          <w:color w:val="13233D"/>
          <w:sz w:val="30"/>
        </w:rPr>
        <w:t>11. الخلاصة</w:t>
      </w:r>
    </w:p>
    <w:p>
      <w:pPr>
        <w:spacing w:line="276" w:lineRule="auto" w:after="80"/>
        <w:jc w:val="right"/>
        <w:bidi/>
      </w:pPr>
      <w:r>
        <w:rPr>
          <w:rFonts w:ascii="Arial" w:hAnsi="Arial" w:eastAsia="Arial"/>
          <w:b w:val="0"/>
          <w:color w:val="243247"/>
          <w:sz w:val="21"/>
        </w:rPr>
        <w:t>ركزت الجلسة الخامسة على جعل «إضافة عمل» أقرب إلى الاستخدام اليومي الحقيقي: تنظيف بقايا النسخ الاحتياطية، تثبيت درس خطأ الإخفاء السابق، منع التكرار مع تقديم خيار نقل واضح وآمن بين القوائم، وتطبيق قاعدة الأبعاد بصورة صحيحة بحيث لا يُضحّى بالمحتوى على الشاشات الضيقة. لم تتغير الذائقة المسجلة ولا عدادات القوائم، وبقي اختبار النقل العملي لـ Obsession خطوة تالية تحت تحكم المستخدم.</w:t>
      </w:r>
    </w:p>
    <w:sectPr w:rsidR="00FC693F" w:rsidRPr="0006063C" w:rsidSect="00034616">
      <w:headerReference w:type="default" r:id="rId9"/>
      <w:footerReference w:type="default" r:id="rId10"/>
      <w:pgSz w:w="12240" w:h="15840"/>
      <w:pgMar w:top="850" w:right="935" w:bottom="850"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after="80"/>
      <w:jc w:val="center"/>
      <w:bidi/>
    </w:pPr>
    <w:r>
      <w:rPr>
        <w:rFonts w:ascii="Arial" w:hAnsi="Arial" w:eastAsia="Arial"/>
        <w:b w:val="0"/>
        <w:color w:val="667085"/>
        <w:sz w:val="16"/>
      </w:rPr>
      <w:t xml:space="preserve">موجز الجلسة الخامسة  |  14 يوليو 2026  |  صفحة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76" w:lineRule="auto" w:after="80"/>
      <w:jc w:val="center"/>
      <w:bidi/>
    </w:pPr>
    <w:r>
      <w:rPr>
        <w:rFonts w:ascii="Arial" w:hAnsi="Arial" w:eastAsia="Arial"/>
        <w:b/>
        <w:color w:val="667085"/>
        <w:sz w:val="17"/>
      </w:rPr>
      <w:t>مشروع الذائقة السينمائية — الجلسة الخامسة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موجز الجلسة الخامسة — نقل الأعمال بين القوائم وتنظيف المشروع</dc:title>
  <dc:subject>مشروع الذائقة السينمائية</dc:subject>
  <dc:creator>وثيقة جلسة مشروع الذائقة السينمائية</dc:creator>
  <cp:keywords/>
  <dc:description>generated by python-docx</dc:description>
  <cp:lastModifiedBy/>
  <cp:revision>1</cp:revision>
  <dcterms:created xsi:type="dcterms:W3CDTF">2013-12-23T23:15:00Z</dcterms:created>
  <dcterms:modified xsi:type="dcterms:W3CDTF">2013-12-23T23:15:00Z</dcterms:modified>
  <cp:category/>
</cp:coreProperties>
</file>