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67730" cy="203200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67730" cy="2032000"/>
                          <a:chExt cx="5967730" cy="2032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6773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00">
                                <a:moveTo>
                                  <a:pt x="5891400" y="2032000"/>
                                </a:moveTo>
                                <a:lnTo>
                                  <a:pt x="76200" y="2032000"/>
                                </a:lnTo>
                                <a:lnTo>
                                  <a:pt x="46612" y="2025987"/>
                                </a:lnTo>
                                <a:lnTo>
                                  <a:pt x="22383" y="2009616"/>
                                </a:lnTo>
                                <a:lnTo>
                                  <a:pt x="6012" y="1985387"/>
                                </a:lnTo>
                                <a:lnTo>
                                  <a:pt x="0" y="19558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891400" y="0"/>
                                </a:lnTo>
                                <a:lnTo>
                                  <a:pt x="5920987" y="6012"/>
                                </a:lnTo>
                                <a:lnTo>
                                  <a:pt x="5945216" y="22383"/>
                                </a:lnTo>
                                <a:lnTo>
                                  <a:pt x="5961587" y="46612"/>
                                </a:lnTo>
                                <a:lnTo>
                                  <a:pt x="5967600" y="76200"/>
                                </a:lnTo>
                                <a:lnTo>
                                  <a:pt x="5967600" y="1955800"/>
                                </a:lnTo>
                                <a:lnTo>
                                  <a:pt x="5961587" y="1985387"/>
                                </a:lnTo>
                                <a:lnTo>
                                  <a:pt x="5945216" y="2009616"/>
                                </a:lnTo>
                                <a:lnTo>
                                  <a:pt x="5920987" y="2025987"/>
                                </a:lnTo>
                                <a:lnTo>
                                  <a:pt x="5891400" y="203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53999" y="345440"/>
                            <a:ext cx="485838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bookmarkStart w:name="Product Requirements Document (PRD)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Requirements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before="21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(PRD)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3999" y="1427480"/>
                            <a:ext cx="34791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FinTrack Enterprise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Cloud-Based Accounting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ERP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160pt;mso-position-horizontal-relative:char;mso-position-vertical-relative:line" id="docshapegroup1" coordorigin="0,0" coordsize="9398,3200">
                <v:shape style="position:absolute;left:0;top:0;width:9398;height:3200" id="docshape2" coordorigin="0,0" coordsize="9398,3200" path="m9278,3200l120,3200,73,3191,35,3165,9,3127,0,3080,0,120,9,73,35,35,73,9,120,0,9278,0,9324,9,9363,35,9388,73,9398,120,9398,3080,9388,3127,9363,3165,9324,3191,9278,3200xe" filled="true" fillcolor="#1a237e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00;top:544;width:7651;height:1248" type="#_x0000_t202" id="docshape3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bookmarkStart w:name="Product Requirements Document (PRD)" w:id="2"/>
                        <w:bookmarkEnd w:id="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Requirements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>Document</w:t>
                        </w:r>
                      </w:p>
                      <w:p>
                        <w:pPr>
                          <w:spacing w:before="21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>(PRD)</w:t>
                        </w:r>
                      </w:p>
                    </w:txbxContent>
                  </v:textbox>
                  <w10:wrap type="none"/>
                </v:shape>
                <v:shape style="position:absolute;left:400;top:2248;width:5479;height:240" type="#_x0000_t202" id="docshape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FinTrack Enterprise</w:t>
                        </w:r>
                        <w:r>
                          <w:rPr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Cloud-Based Accounting</w:t>
                        </w:r>
                        <w:r>
                          <w:rPr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ERP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9"/>
        <w:rPr>
          <w:rFonts w:ascii="Times New Roman"/>
          <w:sz w:val="36"/>
        </w:r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bookmarkStart w:name="1. Ringkasan Produk" w:id="3"/>
      <w:bookmarkEnd w:id="3"/>
      <w:r>
        <w:rPr>
          <w:b w:val="0"/>
        </w:rPr>
      </w:r>
      <w:r>
        <w:rPr>
          <w:color w:val="1A237E"/>
        </w:rPr>
        <w:t>Ringkasan</w:t>
      </w:r>
      <w:r>
        <w:rPr>
          <w:color w:val="1A237E"/>
          <w:spacing w:val="-13"/>
        </w:rPr>
        <w:t> </w:t>
      </w:r>
      <w:r>
        <w:rPr>
          <w:color w:val="1A237E"/>
          <w:spacing w:val="-2"/>
        </w:rPr>
        <w:t>Produk</w:t>
      </w:r>
    </w:p>
    <w:p>
      <w:pPr>
        <w:pStyle w:val="BodyTex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796200</wp:posOffset>
                </wp:positionH>
                <wp:positionV relativeFrom="paragraph">
                  <wp:posOffset>129625</wp:posOffset>
                </wp:positionV>
                <wp:extent cx="596773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06696pt;width:469.889778pt;height:1.5pt;mso-position-horizontal-relative:page;mso-position-vertical-relative:paragraph;z-index:-15728128;mso-wrap-distance-left:0;mso-wrap-distance-right:0" id="docshape5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3" w:lineRule="auto" w:before="320"/>
        <w:ind w:left="120" w:right="681"/>
      </w:pPr>
      <w:r>
        <w:rPr>
          <w:color w:val="333333"/>
        </w:rPr>
        <w:t>FinTrack</w:t>
      </w:r>
      <w:r>
        <w:rPr>
          <w:color w:val="333333"/>
          <w:spacing w:val="-11"/>
        </w:rPr>
        <w:t> </w:t>
      </w:r>
      <w:r>
        <w:rPr>
          <w:color w:val="333333"/>
        </w:rPr>
        <w:t>Enterprise</w:t>
      </w:r>
      <w:r>
        <w:rPr>
          <w:color w:val="333333"/>
          <w:spacing w:val="-11"/>
        </w:rPr>
        <w:t> </w:t>
      </w:r>
      <w:r>
        <w:rPr>
          <w:color w:val="333333"/>
        </w:rPr>
        <w:t>adalah</w:t>
      </w:r>
      <w:r>
        <w:rPr>
          <w:color w:val="333333"/>
          <w:spacing w:val="-11"/>
        </w:rPr>
        <w:t> </w:t>
      </w:r>
      <w:r>
        <w:rPr>
          <w:color w:val="333333"/>
        </w:rPr>
        <w:t>sistem</w:t>
      </w:r>
      <w:r>
        <w:rPr>
          <w:color w:val="333333"/>
          <w:spacing w:val="-11"/>
        </w:rPr>
        <w:t> </w:t>
      </w:r>
      <w:r>
        <w:rPr>
          <w:color w:val="333333"/>
        </w:rPr>
        <w:t>akuntansi</w:t>
      </w:r>
      <w:r>
        <w:rPr>
          <w:color w:val="333333"/>
          <w:spacing w:val="-11"/>
        </w:rPr>
        <w:t> </w:t>
      </w:r>
      <w:r>
        <w:rPr>
          <w:color w:val="333333"/>
        </w:rPr>
        <w:t>berbasis</w:t>
      </w:r>
      <w:r>
        <w:rPr>
          <w:color w:val="333333"/>
          <w:spacing w:val="-11"/>
        </w:rPr>
        <w:t> </w:t>
      </w:r>
      <w:r>
        <w:rPr>
          <w:color w:val="333333"/>
        </w:rPr>
        <w:t>cloud</w:t>
      </w:r>
      <w:r>
        <w:rPr>
          <w:color w:val="333333"/>
          <w:spacing w:val="-11"/>
        </w:rPr>
        <w:t> </w:t>
      </w:r>
      <w:r>
        <w:rPr>
          <w:color w:val="333333"/>
        </w:rPr>
        <w:t>yang</w:t>
      </w:r>
      <w:r>
        <w:rPr>
          <w:color w:val="333333"/>
          <w:spacing w:val="-11"/>
        </w:rPr>
        <w:t> </w:t>
      </w:r>
      <w:r>
        <w:rPr>
          <w:color w:val="333333"/>
        </w:rPr>
        <w:t>mengikuti</w:t>
      </w:r>
      <w:r>
        <w:rPr>
          <w:color w:val="333333"/>
          <w:spacing w:val="-11"/>
        </w:rPr>
        <w:t> </w:t>
      </w:r>
      <w:r>
        <w:rPr>
          <w:color w:val="333333"/>
        </w:rPr>
        <w:t>standar PSAK/IFRS. Fokus utama adalah integritas data, kepatuhan audit, dan efisiensi operasional melalui otomatisasi jurnal dari modul-modul pendukung.</w:t>
      </w:r>
    </w:p>
    <w:p>
      <w:pPr>
        <w:pStyle w:val="BodyText"/>
        <w:spacing w:before="236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bookmarkStart w:name="2. Modul Fungsional (Core Modules)" w:id="4"/>
      <w:bookmarkEnd w:id="4"/>
      <w:r>
        <w:rPr>
          <w:b w:val="0"/>
        </w:rPr>
      </w:r>
      <w:r>
        <w:rPr>
          <w:color w:val="1A237E"/>
        </w:rPr>
        <w:t>Modul</w:t>
      </w:r>
      <w:r>
        <w:rPr>
          <w:color w:val="1A237E"/>
          <w:spacing w:val="-6"/>
        </w:rPr>
        <w:t> </w:t>
      </w:r>
      <w:r>
        <w:rPr>
          <w:color w:val="1A237E"/>
        </w:rPr>
        <w:t>Fungsional</w:t>
      </w:r>
      <w:r>
        <w:rPr>
          <w:color w:val="1A237E"/>
          <w:spacing w:val="-6"/>
        </w:rPr>
        <w:t> </w:t>
      </w:r>
      <w:r>
        <w:rPr>
          <w:color w:val="1A237E"/>
        </w:rPr>
        <w:t>(Core</w:t>
      </w:r>
      <w:r>
        <w:rPr>
          <w:color w:val="1A237E"/>
          <w:spacing w:val="-5"/>
        </w:rPr>
        <w:t> </w:t>
      </w:r>
      <w:r>
        <w:rPr>
          <w:color w:val="1A237E"/>
          <w:spacing w:val="-2"/>
        </w:rPr>
        <w:t>Modules)</w:t>
      </w:r>
    </w:p>
    <w:p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796200</wp:posOffset>
                </wp:positionH>
                <wp:positionV relativeFrom="paragraph">
                  <wp:posOffset>130198</wp:posOffset>
                </wp:positionV>
                <wp:extent cx="596773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5182pt;width:469.889778pt;height:1.5pt;mso-position-horizontal-relative:page;mso-position-vertical-relative:paragraph;z-index:-15727616;mso-wrap-distance-left:0;mso-wrap-distance-right:0" id="docshape6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7"/>
        <w:gridCol w:w="7076"/>
      </w:tblGrid>
      <w:tr>
        <w:trPr>
          <w:trHeight w:val="720" w:hRule="atLeast"/>
        </w:trPr>
        <w:tc>
          <w:tcPr>
            <w:tcW w:w="2307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Modul</w:t>
            </w:r>
          </w:p>
        </w:tc>
        <w:tc>
          <w:tcPr>
            <w:tcW w:w="7076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Deskripsi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Kunci</w:t>
            </w:r>
          </w:p>
        </w:tc>
      </w:tr>
      <w:tr>
        <w:trPr>
          <w:trHeight w:val="1040" w:hRule="atLeast"/>
        </w:trPr>
        <w:tc>
          <w:tcPr>
            <w:tcW w:w="2307" w:type="dxa"/>
          </w:tcPr>
          <w:p>
            <w:pPr>
              <w:pStyle w:val="TableParagraph"/>
              <w:spacing w:line="333" w:lineRule="auto"/>
              <w:ind w:right="6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General</w:t>
            </w:r>
            <w:r>
              <w:rPr>
                <w:rFonts w:ascii="Arial"/>
                <w:b/>
                <w:color w:val="333333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Ledger 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(GL)</w:t>
            </w:r>
          </w:p>
        </w:tc>
        <w:tc>
          <w:tcPr>
            <w:tcW w:w="7076" w:type="dxa"/>
          </w:tcPr>
          <w:p>
            <w:pPr>
              <w:pStyle w:val="TableParagraph"/>
              <w:spacing w:before="14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3333"/>
                <w:sz w:val="20"/>
              </w:rPr>
              <w:t>Pusat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kendali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akun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(COA)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dan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pemrosesan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jurnal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otomatis.</w:t>
            </w:r>
          </w:p>
        </w:tc>
      </w:tr>
      <w:tr>
        <w:trPr>
          <w:trHeight w:val="720" w:hRule="atLeast"/>
        </w:trPr>
        <w:tc>
          <w:tcPr>
            <w:tcW w:w="230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AR</w:t>
            </w:r>
            <w:r>
              <w:rPr>
                <w:rFonts w:ascii="Arial"/>
                <w:b/>
                <w:color w:val="333333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&amp;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 Sales</w:t>
            </w:r>
          </w:p>
        </w:tc>
        <w:tc>
          <w:tcPr>
            <w:tcW w:w="70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Manajemen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Invoice,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Piutang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Pelanggan,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dan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Aging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Report.</w:t>
            </w:r>
          </w:p>
        </w:tc>
      </w:tr>
      <w:tr>
        <w:trPr>
          <w:trHeight w:val="720" w:hRule="atLeast"/>
        </w:trPr>
        <w:tc>
          <w:tcPr>
            <w:tcW w:w="230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AP</w:t>
            </w:r>
            <w:r>
              <w:rPr>
                <w:rFonts w:ascii="Arial"/>
                <w:b/>
                <w:color w:val="333333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&amp;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 Purchases</w:t>
            </w:r>
          </w:p>
        </w:tc>
        <w:tc>
          <w:tcPr>
            <w:tcW w:w="70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Manajemen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Tagihan</w:t>
            </w:r>
            <w:r>
              <w:rPr>
                <w:color w:val="33333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Supplier,</w:t>
            </w:r>
            <w:r>
              <w:rPr>
                <w:color w:val="33333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Hutang,</w:t>
            </w:r>
            <w:r>
              <w:rPr>
                <w:color w:val="33333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dan</w:t>
            </w:r>
            <w:r>
              <w:rPr>
                <w:color w:val="33333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Penjadwalan</w:t>
            </w:r>
            <w:r>
              <w:rPr>
                <w:color w:val="33333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Bayar.</w:t>
            </w:r>
          </w:p>
        </w:tc>
      </w:tr>
      <w:tr>
        <w:trPr>
          <w:trHeight w:val="1039" w:hRule="atLeast"/>
        </w:trPr>
        <w:tc>
          <w:tcPr>
            <w:tcW w:w="2307" w:type="dxa"/>
          </w:tcPr>
          <w:p>
            <w:pPr>
              <w:pStyle w:val="TableParagraph"/>
              <w:spacing w:line="333" w:lineRule="auto"/>
              <w:ind w:right="9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Inventory</w:t>
            </w:r>
            <w:r>
              <w:rPr>
                <w:rFonts w:ascii="Arial"/>
                <w:b/>
                <w:color w:val="333333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&amp; 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Costing</w:t>
            </w:r>
          </w:p>
        </w:tc>
        <w:tc>
          <w:tcPr>
            <w:tcW w:w="7076" w:type="dxa"/>
          </w:tcPr>
          <w:p>
            <w:pPr>
              <w:pStyle w:val="TableParagraph"/>
              <w:spacing w:line="333" w:lineRule="auto"/>
              <w:ind w:right="83"/>
              <w:rPr>
                <w:sz w:val="20"/>
              </w:rPr>
            </w:pPr>
            <w:r>
              <w:rPr>
                <w:color w:val="333333"/>
                <w:sz w:val="20"/>
              </w:rPr>
              <w:t>Pelacakan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stok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dengan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metode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FIFO/Average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dan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perhitungan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HPP </w:t>
            </w:r>
            <w:r>
              <w:rPr>
                <w:color w:val="333333"/>
                <w:spacing w:val="-2"/>
                <w:sz w:val="20"/>
              </w:rPr>
              <w:t>otomatis.</w:t>
            </w:r>
          </w:p>
        </w:tc>
      </w:tr>
      <w:tr>
        <w:trPr>
          <w:trHeight w:val="720" w:hRule="atLeast"/>
        </w:trPr>
        <w:tc>
          <w:tcPr>
            <w:tcW w:w="230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Fixed</w:t>
            </w:r>
            <w:r>
              <w:rPr>
                <w:rFonts w:ascii="Arial"/>
                <w:b/>
                <w:color w:val="333333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Assets</w:t>
            </w:r>
          </w:p>
        </w:tc>
        <w:tc>
          <w:tcPr>
            <w:tcW w:w="70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Penyusutan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aset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otomatis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setiap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akhir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bulan.</w:t>
            </w:r>
          </w:p>
        </w:tc>
      </w:tr>
      <w:tr>
        <w:trPr>
          <w:trHeight w:val="720" w:hRule="atLeast"/>
        </w:trPr>
        <w:tc>
          <w:tcPr>
            <w:tcW w:w="230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Cash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&amp;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Bank</w:t>
            </w:r>
          </w:p>
        </w:tc>
        <w:tc>
          <w:tcPr>
            <w:tcW w:w="70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Rekonsiliasi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bank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dan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pengelolaan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Kas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Kecil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(Petty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Cash).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240" w:bottom="28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9" w:after="0"/>
        <w:ind w:left="520" w:right="0" w:hanging="400"/>
        <w:jc w:val="left"/>
      </w:pPr>
      <w:bookmarkStart w:name="3. Kepatuhan &amp; Standar Industri" w:id="5"/>
      <w:bookmarkEnd w:id="5"/>
      <w:r>
        <w:rPr>
          <w:b w:val="0"/>
        </w:rPr>
      </w:r>
      <w:r>
        <w:rPr>
          <w:color w:val="1A237E"/>
        </w:rPr>
        <w:t>Kepatuhan</w:t>
      </w:r>
      <w:r>
        <w:rPr>
          <w:color w:val="1A237E"/>
          <w:spacing w:val="-11"/>
        </w:rPr>
        <w:t> </w:t>
      </w:r>
      <w:r>
        <w:rPr>
          <w:color w:val="1A237E"/>
        </w:rPr>
        <w:t>&amp;</w:t>
      </w:r>
      <w:r>
        <w:rPr>
          <w:color w:val="1A237E"/>
          <w:spacing w:val="-9"/>
        </w:rPr>
        <w:t> </w:t>
      </w:r>
      <w:r>
        <w:rPr>
          <w:color w:val="1A237E"/>
        </w:rPr>
        <w:t>Standar</w:t>
      </w:r>
      <w:r>
        <w:rPr>
          <w:color w:val="1A237E"/>
          <w:spacing w:val="-8"/>
        </w:rPr>
        <w:t> </w:t>
      </w:r>
      <w:r>
        <w:rPr>
          <w:color w:val="1A237E"/>
          <w:spacing w:val="-2"/>
        </w:rPr>
        <w:t>Industri</w:t>
      </w:r>
    </w:p>
    <w:p>
      <w:pPr>
        <w:pStyle w:val="BodyTex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796200</wp:posOffset>
                </wp:positionH>
                <wp:positionV relativeFrom="paragraph">
                  <wp:posOffset>129602</wp:posOffset>
                </wp:positionV>
                <wp:extent cx="596773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04932pt;width:469.889778pt;height:1.5pt;mso-position-horizontal-relative:page;mso-position-vertical-relative:paragraph;z-index:-15727104;mso-wrap-distance-left:0;mso-wrap-distance-right:0" id="docshape7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150"/>
        <w:jc w:val="left"/>
        <w:rPr>
          <w:color w:val="333333"/>
          <w:position w:val="3"/>
          <w:sz w:val="24"/>
        </w:rPr>
      </w:pPr>
      <w:r>
        <w:rPr>
          <w:rFonts w:ascii="Arial" w:hAnsi="Arial"/>
          <w:b/>
          <w:color w:val="333333"/>
          <w:sz w:val="24"/>
        </w:rPr>
        <w:t>Double-Entry</w:t>
      </w:r>
      <w:r>
        <w:rPr>
          <w:rFonts w:ascii="Arial" w:hAnsi="Arial"/>
          <w:b/>
          <w:color w:val="333333"/>
          <w:spacing w:val="-6"/>
          <w:sz w:val="24"/>
        </w:rPr>
        <w:t> </w:t>
      </w:r>
      <w:r>
        <w:rPr>
          <w:rFonts w:ascii="Arial" w:hAnsi="Arial"/>
          <w:b/>
          <w:color w:val="333333"/>
          <w:sz w:val="24"/>
        </w:rPr>
        <w:t>System:</w:t>
      </w:r>
      <w:r>
        <w:rPr>
          <w:rFonts w:ascii="Arial" w:hAnsi="Arial"/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Setiap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transaksi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divalidasi</w:t>
      </w:r>
      <w:r>
        <w:rPr>
          <w:color w:val="333333"/>
          <w:spacing w:val="-7"/>
          <w:sz w:val="24"/>
        </w:rPr>
        <w:t> </w:t>
      </w:r>
      <w:r>
        <w:rPr>
          <w:rFonts w:ascii="Times New Roman" w:hAnsi="Times New Roman"/>
          <w:b/>
          <w:i/>
          <w:color w:val="C62828"/>
          <w:sz w:val="24"/>
        </w:rPr>
        <w:t>Σ</w:t>
      </w:r>
      <w:r>
        <w:rPr>
          <w:rFonts w:ascii="Times New Roman" w:hAnsi="Times New Roman"/>
          <w:b/>
          <w:i/>
          <w:color w:val="C62828"/>
          <w:spacing w:val="-6"/>
          <w:sz w:val="24"/>
        </w:rPr>
        <w:t> </w:t>
      </w:r>
      <w:r>
        <w:rPr>
          <w:rFonts w:ascii="Times New Roman" w:hAnsi="Times New Roman"/>
          <w:b/>
          <w:i/>
          <w:color w:val="C62828"/>
          <w:sz w:val="24"/>
        </w:rPr>
        <w:t>Debit</w:t>
      </w:r>
      <w:r>
        <w:rPr>
          <w:rFonts w:ascii="Times New Roman" w:hAnsi="Times New Roman"/>
          <w:b/>
          <w:i/>
          <w:color w:val="C62828"/>
          <w:spacing w:val="-5"/>
          <w:sz w:val="24"/>
        </w:rPr>
        <w:t> </w:t>
      </w:r>
      <w:r>
        <w:rPr>
          <w:rFonts w:ascii="Times New Roman" w:hAnsi="Times New Roman"/>
          <w:b/>
          <w:i/>
          <w:color w:val="C62828"/>
          <w:sz w:val="24"/>
        </w:rPr>
        <w:t>=</w:t>
      </w:r>
      <w:r>
        <w:rPr>
          <w:rFonts w:ascii="Times New Roman" w:hAnsi="Times New Roman"/>
          <w:b/>
          <w:i/>
          <w:color w:val="C62828"/>
          <w:spacing w:val="-5"/>
          <w:sz w:val="24"/>
        </w:rPr>
        <w:t> </w:t>
      </w:r>
      <w:r>
        <w:rPr>
          <w:rFonts w:ascii="Times New Roman" w:hAnsi="Times New Roman"/>
          <w:b/>
          <w:i/>
          <w:color w:val="C62828"/>
          <w:sz w:val="24"/>
        </w:rPr>
        <w:t>Σ</w:t>
      </w:r>
      <w:r>
        <w:rPr>
          <w:rFonts w:ascii="Times New Roman" w:hAnsi="Times New Roman"/>
          <w:b/>
          <w:i/>
          <w:color w:val="C62828"/>
          <w:spacing w:val="-5"/>
          <w:sz w:val="24"/>
        </w:rPr>
        <w:t> </w:t>
      </w:r>
      <w:r>
        <w:rPr>
          <w:rFonts w:ascii="Times New Roman" w:hAnsi="Times New Roman"/>
          <w:b/>
          <w:i/>
          <w:color w:val="C62828"/>
          <w:spacing w:val="-2"/>
          <w:sz w:val="24"/>
        </w:rPr>
        <w:t>Kredit</w:t>
      </w:r>
      <w:r>
        <w:rPr>
          <w:color w:val="333333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33" w:lineRule="auto" w:before="107" w:after="0"/>
        <w:ind w:left="720" w:right="661" w:hanging="151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z w:val="24"/>
        </w:rPr>
        <w:t>Immutability:</w:t>
      </w:r>
      <w:r>
        <w:rPr>
          <w:rFonts w:ascii="Arial" w:hAnsi="Arial"/>
          <w:b/>
          <w:color w:val="333333"/>
          <w:spacing w:val="-10"/>
          <w:sz w:val="24"/>
        </w:rPr>
        <w:t> </w:t>
      </w:r>
      <w:r>
        <w:rPr>
          <w:color w:val="333333"/>
          <w:sz w:val="24"/>
        </w:rPr>
        <w:t>Transaksi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yang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sudah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"Posted"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tidak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bisa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diubah.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Koreksi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wajib melalui Jurnal Pembalikan.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33" w:lineRule="auto" w:before="1" w:after="0"/>
        <w:ind w:left="720" w:right="709" w:hanging="151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z w:val="24"/>
        </w:rPr>
        <w:t>Audit</w:t>
      </w:r>
      <w:r>
        <w:rPr>
          <w:rFonts w:ascii="Arial" w:hAnsi="Arial"/>
          <w:b/>
          <w:color w:val="333333"/>
          <w:spacing w:val="-10"/>
          <w:sz w:val="24"/>
        </w:rPr>
        <w:t> </w:t>
      </w:r>
      <w:r>
        <w:rPr>
          <w:rFonts w:ascii="Arial" w:hAnsi="Arial"/>
          <w:b/>
          <w:color w:val="333333"/>
          <w:sz w:val="24"/>
        </w:rPr>
        <w:t>Trail:</w:t>
      </w:r>
      <w:r>
        <w:rPr>
          <w:rFonts w:ascii="Arial" w:hAnsi="Arial"/>
          <w:b/>
          <w:color w:val="333333"/>
          <w:spacing w:val="-11"/>
          <w:sz w:val="24"/>
        </w:rPr>
        <w:t> </w:t>
      </w:r>
      <w:r>
        <w:rPr>
          <w:color w:val="333333"/>
          <w:sz w:val="24"/>
        </w:rPr>
        <w:t>Mencatat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Log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User,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Timestamp,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dan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Perangkat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untuk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setiap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entri </w:t>
      </w:r>
      <w:r>
        <w:rPr>
          <w:color w:val="333333"/>
          <w:spacing w:val="-2"/>
          <w:sz w:val="24"/>
        </w:rPr>
        <w:t>data.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33" w:lineRule="auto" w:before="1" w:after="0"/>
        <w:ind w:left="720" w:right="623" w:hanging="151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z w:val="24"/>
        </w:rPr>
        <w:t>Period</w:t>
      </w:r>
      <w:r>
        <w:rPr>
          <w:rFonts w:ascii="Arial" w:hAnsi="Arial"/>
          <w:b/>
          <w:color w:val="333333"/>
          <w:spacing w:val="-6"/>
          <w:sz w:val="24"/>
        </w:rPr>
        <w:t> </w:t>
      </w:r>
      <w:r>
        <w:rPr>
          <w:rFonts w:ascii="Arial" w:hAnsi="Arial"/>
          <w:b/>
          <w:color w:val="333333"/>
          <w:sz w:val="24"/>
        </w:rPr>
        <w:t>Closing:</w:t>
      </w:r>
      <w:r>
        <w:rPr>
          <w:rFonts w:ascii="Arial" w:hAnsi="Arial"/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Mekanisme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penguncian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periode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untuk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mencegah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manipulasi data masa lalu.</w:t>
      </w:r>
    </w:p>
    <w:p>
      <w:pPr>
        <w:pStyle w:val="BodyText"/>
        <w:spacing w:before="235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bookmarkStart w:name="4. Fitur Pelaporan &amp; Ekspor" w:id="6"/>
      <w:bookmarkEnd w:id="6"/>
      <w:r>
        <w:rPr>
          <w:b w:val="0"/>
        </w:rPr>
      </w:r>
      <w:r>
        <w:rPr>
          <w:color w:val="1A237E"/>
        </w:rPr>
        <w:t>Fitur</w:t>
      </w:r>
      <w:r>
        <w:rPr>
          <w:color w:val="1A237E"/>
          <w:spacing w:val="-4"/>
        </w:rPr>
        <w:t> </w:t>
      </w:r>
      <w:r>
        <w:rPr>
          <w:color w:val="1A237E"/>
        </w:rPr>
        <w:t>Pelaporan</w:t>
      </w:r>
      <w:r>
        <w:rPr>
          <w:color w:val="1A237E"/>
          <w:spacing w:val="-4"/>
        </w:rPr>
        <w:t> </w:t>
      </w:r>
      <w:r>
        <w:rPr>
          <w:color w:val="1A237E"/>
        </w:rPr>
        <w:t>&amp;</w:t>
      </w:r>
      <w:r>
        <w:rPr>
          <w:color w:val="1A237E"/>
          <w:spacing w:val="-3"/>
        </w:rPr>
        <w:t> </w:t>
      </w:r>
      <w:r>
        <w:rPr>
          <w:color w:val="1A237E"/>
          <w:spacing w:val="-2"/>
        </w:rPr>
        <w:t>Ekspor</w:t>
      </w:r>
    </w:p>
    <w:p>
      <w:pPr>
        <w:pStyle w:val="BodyTex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796200</wp:posOffset>
                </wp:positionH>
                <wp:positionV relativeFrom="paragraph">
                  <wp:posOffset>129680</wp:posOffset>
                </wp:positionV>
                <wp:extent cx="596773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11101pt;width:469.889778pt;height:1.5pt;mso-position-horizontal-relative:page;mso-position-vertical-relative:paragraph;z-index:-15726592;mso-wrap-distance-left:0;mso-wrap-distance-right:0" id="docshape8" filled="true" fillcolor="#1a237e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337948</wp:posOffset>
                </wp:positionV>
                <wp:extent cx="5967730" cy="985519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67730" cy="985519"/>
                          <a:chExt cx="5967730" cy="98551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6773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85519">
                                <a:moveTo>
                                  <a:pt x="5967599" y="985520"/>
                                </a:moveTo>
                                <a:lnTo>
                                  <a:pt x="0" y="985520"/>
                                </a:lnTo>
                                <a:lnTo>
                                  <a:pt x="0" y="0"/>
                                </a:lnTo>
                                <a:lnTo>
                                  <a:pt x="5967599" y="0"/>
                                </a:lnTo>
                                <a:lnTo>
                                  <a:pt x="5967599" y="985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7625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85519">
                                <a:moveTo>
                                  <a:pt x="47625" y="985520"/>
                                </a:moveTo>
                                <a:lnTo>
                                  <a:pt x="0" y="98552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985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25" y="0"/>
                            <a:ext cx="5920105" cy="985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222"/>
                                <w:ind w:left="199" w:right="38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Utama: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Neraca,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Laba/Rugi,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Arus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Kas,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Neraca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Saldo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(Trial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Balance).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Fitur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Ekspor: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Seluruh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wajib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dapat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diunduh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dalam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format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Microsoft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Excel (.xlsx)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dengan tata letak yang rapi untuk audit eksternal.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13pt;margin-top:26.610125pt;width:469.9pt;height:77.6pt;mso-position-horizontal-relative:page;mso-position-vertical-relative:paragraph;z-index:-15726080;mso-wrap-distance-left:0;mso-wrap-distance-right:0" id="docshapegroup9" coordorigin="1254,532" coordsize="9398,1552">
                <v:rect style="position:absolute;left:1253;top:532;width:9398;height:1552" id="docshape10" filled="true" fillcolor="#e8e9f6" stroked="false">
                  <v:fill type="solid"/>
                </v:rect>
                <v:rect style="position:absolute;left:1253;top:532;width:75;height:1552" id="docshape11" filled="true" fillcolor="#1a237e" stroked="false">
                  <v:fill type="solid"/>
                </v:rect>
                <v:shape style="position:absolute;left:1328;top:532;width:9323;height:1552" type="#_x0000_t202" id="docshape12" filled="false" stroked="false">
                  <v:textbox inset="0,0,0,0">
                    <w:txbxContent>
                      <w:p>
                        <w:pPr>
                          <w:spacing w:line="333" w:lineRule="auto" w:before="222"/>
                          <w:ind w:left="199" w:right="38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Laporan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Utama: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Neraca,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Laba/Rugi,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Arus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Kas,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dan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Neraca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Saldo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(Trial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Balance).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Fitur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Ekspor: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Seluruh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laporan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wajib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dapat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diunduh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dalam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format</w:t>
                        </w:r>
                        <w:r>
                          <w:rPr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Microsoft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Excel (.xlsx) </w:t>
                        </w:r>
                        <w:r>
                          <w:rPr>
                            <w:color w:val="333333"/>
                            <w:sz w:val="24"/>
                          </w:rPr>
                          <w:t>dengan tata letak yang rapi untuk audit eksternal.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Arial"/>
          <w:b/>
          <w:sz w:val="20"/>
        </w:rPr>
      </w:pPr>
    </w:p>
    <w:sectPr>
      <w:pgSz w:w="11910" w:h="16840"/>
      <w:pgMar w:top="11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1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A237E"/>
        <w:spacing w:val="0"/>
        <w:w w:val="100"/>
        <w:sz w:val="36"/>
        <w:szCs w:val="36"/>
        <w:lang w:val="id" w:eastAsia="en-US" w:bidi="ar-SA"/>
      </w:rPr>
    </w:lvl>
    <w:lvl w:ilvl="1">
      <w:start w:val="0"/>
      <w:numFmt w:val="bullet"/>
      <w:lvlText w:val="•"/>
      <w:lvlJc w:val="left"/>
      <w:pPr>
        <w:ind w:left="720" w:hanging="151"/>
      </w:pPr>
      <w:rPr>
        <w:rFonts w:hint="default" w:ascii="Arial MT" w:hAnsi="Arial MT" w:eastAsia="Arial MT" w:cs="Arial MT"/>
        <w:spacing w:val="0"/>
        <w:w w:val="99"/>
        <w:lang w:val="id" w:eastAsia="en-US" w:bidi="ar-SA"/>
      </w:rPr>
    </w:lvl>
    <w:lvl w:ilvl="2">
      <w:start w:val="0"/>
      <w:numFmt w:val="bullet"/>
      <w:lvlText w:val="•"/>
      <w:lvlJc w:val="left"/>
      <w:pPr>
        <w:ind w:left="1711" w:hanging="1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02" w:hanging="1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93" w:hanging="1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4" w:hanging="1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75" w:hanging="1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66" w:hanging="1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57" w:hanging="15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 MT" w:hAnsi="Arial MT" w:eastAsia="Arial MT" w:cs="Arial MT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20" w:hanging="400"/>
      <w:outlineLvl w:val="1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20" w:hanging="400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8"/>
      <w:ind w:left="207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2026-05-06T12:54:36Z</dcterms:created>
  <dcterms:modified xsi:type="dcterms:W3CDTF">2026-05-06T12:54:36Z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2026-05-06T00:00:00Z</vt:filetime>
  </property>
</Properties>
</file>