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23C9" w14:textId="1C8DBB2D" w:rsidR="00E64FA0" w:rsidRDefault="00E64FA0" w:rsidP="002F0CC8">
      <w:pPr>
        <w:spacing w:after="0"/>
        <w:jc w:val="center"/>
        <w:rPr>
          <w:rFonts w:cs="Calibri"/>
          <w:b/>
          <w:sz w:val="24"/>
          <w:szCs w:val="28"/>
          <w:lang w:val="es-ES"/>
        </w:rPr>
      </w:pPr>
      <w:r>
        <w:rPr>
          <w:rFonts w:cs="Calibri"/>
          <w:b/>
          <w:sz w:val="24"/>
          <w:szCs w:val="28"/>
          <w:lang w:val="es-ES"/>
        </w:rPr>
        <w:t xml:space="preserve">DRAFT </w:t>
      </w:r>
    </w:p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28AFD19F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Hukum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88258E">
        <w:rPr>
          <w:rFonts w:cs="Calibri"/>
          <w:b/>
          <w:sz w:val="24"/>
          <w:szCs w:val="24"/>
        </w:rPr>
        <w:t>${</w:t>
      </w:r>
      <w:proofErr w:type="spellStart"/>
      <w:r w:rsidR="0088258E">
        <w:rPr>
          <w:rFonts w:cs="Calibri"/>
          <w:b/>
          <w:sz w:val="24"/>
          <w:szCs w:val="24"/>
        </w:rPr>
        <w:t>yys</w:t>
      </w:r>
      <w:proofErr w:type="spellEnd"/>
      <w:r w:rsidR="0088258E">
        <w:rPr>
          <w:rFonts w:cs="Calibri"/>
          <w:b/>
          <w:sz w:val="24"/>
          <w:szCs w:val="24"/>
        </w:rPr>
        <w:t>}</w:t>
      </w:r>
    </w:p>
    <w:p w14:paraId="675517E1" w14:textId="02B6578D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88258E">
        <w:rPr>
          <w:rFonts w:cs="Calibri"/>
          <w:b/>
          <w:sz w:val="24"/>
          <w:szCs w:val="24"/>
        </w:rPr>
        <w:t>${</w:t>
      </w:r>
      <w:proofErr w:type="spellStart"/>
      <w:r w:rsidR="0088258E">
        <w:rPr>
          <w:rFonts w:cs="Calibri"/>
          <w:b/>
          <w:sz w:val="24"/>
          <w:szCs w:val="24"/>
        </w:rPr>
        <w:t>pt</w:t>
      </w:r>
      <w:proofErr w:type="spellEnd"/>
      <w:r w:rsidR="0088258E">
        <w:rPr>
          <w:rFonts w:cs="Calibri"/>
          <w:b/>
          <w:sz w:val="24"/>
          <w:szCs w:val="24"/>
        </w:rPr>
        <w:t>}</w:t>
      </w:r>
    </w:p>
    <w:p w14:paraId="4681F7D1" w14:textId="22F9C953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="000A3264">
        <w:rPr>
          <w:rFonts w:cs="Calibri"/>
          <w:color w:val="000000" w:themeColor="text1"/>
          <w:sz w:val="24"/>
        </w:rPr>
        <w:t>kesesuaian</w:t>
      </w:r>
      <w:proofErr w:type="spellEnd"/>
      <w:r w:rsidR="000A3264">
        <w:rPr>
          <w:rFonts w:cs="Calibri"/>
          <w:color w:val="000000" w:themeColor="text1"/>
          <w:sz w:val="24"/>
        </w:rPr>
        <w:t xml:space="preserve"> </w:t>
      </w:r>
      <w:proofErr w:type="spellStart"/>
      <w:r w:rsidR="000A3264">
        <w:rPr>
          <w:rFonts w:cs="Calibri"/>
          <w:color w:val="000000" w:themeColor="text1"/>
          <w:sz w:val="24"/>
        </w:rPr>
        <w:t>usulan</w:t>
      </w:r>
      <w:proofErr w:type="spellEnd"/>
      <w:r w:rsidR="000A3264">
        <w:rPr>
          <w:rFonts w:cs="Calibri"/>
          <w:color w:val="000000" w:themeColor="text1"/>
          <w:sz w:val="24"/>
        </w:rPr>
        <w:t xml:space="preserve"> </w:t>
      </w:r>
      <w:proofErr w:type="spellStart"/>
      <w:r w:rsidR="000A3264">
        <w:rPr>
          <w:rFonts w:cs="Calibri"/>
          <w:color w:val="000000" w:themeColor="text1"/>
          <w:sz w:val="24"/>
        </w:rPr>
        <w:t>peralatan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 xml:space="preserve">c) </w:t>
      </w:r>
      <w:proofErr w:type="spellStart"/>
      <w:r w:rsidR="00250232" w:rsidRPr="00CF1731">
        <w:rPr>
          <w:rFonts w:cs="Calibri"/>
          <w:color w:val="000000" w:themeColor="text1"/>
          <w:sz w:val="24"/>
          <w:szCs w:val="24"/>
        </w:rPr>
        <w:t>kesiapan</w:t>
      </w:r>
      <w:proofErr w:type="spellEnd"/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penempatan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hasil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investasi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37B760A5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Pr="00CF1731">
        <w:rPr>
          <w:rFonts w:ascii="Calibri" w:hAnsi="Calibri" w:cs="Calibri"/>
          <w:lang w:val="en-US"/>
        </w:rPr>
        <w:t>latan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077BB2" w:rsidRPr="00CF1731">
        <w:rPr>
          <w:rFonts w:ascii="Calibri" w:hAnsi="Calibri" w:cs="Calibri"/>
          <w:lang w:val="en-US"/>
        </w:rPr>
        <w:t xml:space="preserve">dan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67ACE8E8" w:rsidR="00964E32" w:rsidRPr="000A3264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  <w:r w:rsidR="000A3264">
              <w:rPr>
                <w:rFonts w:cstheme="minorHAnsi"/>
                <w:b/>
                <w:color w:val="000000" w:themeColor="text1"/>
                <w:lang w:val="en-US" w:eastAsia="id-ID"/>
              </w:rPr>
              <w:t>.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36A9110A" w:rsidR="00964E32" w:rsidRPr="000A3264" w:rsidRDefault="000A3264" w:rsidP="000A3264">
            <w:pPr>
              <w:pStyle w:val="Tabel"/>
              <w:spacing w:before="0" w:after="0"/>
              <w:jc w:val="center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964E32" w:rsidRPr="00AA4AEE" w14:paraId="46076F83" w14:textId="77777777" w:rsidTr="00267DC0">
        <w:trPr>
          <w:trHeight w:val="283"/>
        </w:trPr>
        <w:tc>
          <w:tcPr>
            <w:tcW w:w="738" w:type="dxa"/>
          </w:tcPr>
          <w:p w14:paraId="01D428EA" w14:textId="77777777" w:rsidR="00964E32" w:rsidRPr="000A3264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43324AAF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0688D75" w14:textId="01EF758D" w:rsidR="00964E32" w:rsidRPr="00AA4AEE" w:rsidRDefault="0088258E" w:rsidP="0088258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lab_ipa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3BB72054" w14:textId="77777777" w:rsidTr="00267DC0">
        <w:trPr>
          <w:trHeight w:val="283"/>
        </w:trPr>
        <w:tc>
          <w:tcPr>
            <w:tcW w:w="738" w:type="dxa"/>
          </w:tcPr>
          <w:p w14:paraId="264DBC4D" w14:textId="77777777" w:rsidR="00964E32" w:rsidRPr="000A3264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0F3D915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7FCA4D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1 </w:t>
            </w:r>
          </w:p>
        </w:tc>
        <w:tc>
          <w:tcPr>
            <w:tcW w:w="1759" w:type="dxa"/>
          </w:tcPr>
          <w:p w14:paraId="424DCDB0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DD8A823" w14:textId="2CB394E7" w:rsidR="00964E32" w:rsidRPr="00AA4AEE" w:rsidRDefault="0088258E" w:rsidP="0088258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lab_kes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7248F60D" w14:textId="77777777" w:rsidTr="00267DC0">
        <w:trPr>
          <w:trHeight w:val="283"/>
        </w:trPr>
        <w:tc>
          <w:tcPr>
            <w:tcW w:w="738" w:type="dxa"/>
          </w:tcPr>
          <w:p w14:paraId="7B6019A4" w14:textId="77777777" w:rsidR="00964E32" w:rsidRPr="000A3264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30C4B4B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0554DDEB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3D23E4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53AB6B87" w14:textId="0211F4D4" w:rsidR="00964E32" w:rsidRPr="00AA4AEE" w:rsidRDefault="0088258E" w:rsidP="0088258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lab_teknik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62CB655D" w14:textId="77777777" w:rsidTr="00267DC0">
        <w:trPr>
          <w:trHeight w:val="283"/>
        </w:trPr>
        <w:tc>
          <w:tcPr>
            <w:tcW w:w="738" w:type="dxa"/>
          </w:tcPr>
          <w:p w14:paraId="74145305" w14:textId="77777777" w:rsidR="00964E32" w:rsidRPr="000A3264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4AC1E239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Microteaching</w:t>
            </w:r>
          </w:p>
        </w:tc>
        <w:tc>
          <w:tcPr>
            <w:tcW w:w="1206" w:type="dxa"/>
          </w:tcPr>
          <w:p w14:paraId="0B1084D8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13C507A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8C4039D" w14:textId="494D3578" w:rsidR="00964E32" w:rsidRPr="00AA4AEE" w:rsidRDefault="0088258E" w:rsidP="0088258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lab_micro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297256F9" w14:textId="77777777" w:rsidTr="00267DC0">
        <w:trPr>
          <w:trHeight w:val="283"/>
        </w:trPr>
        <w:tc>
          <w:tcPr>
            <w:tcW w:w="738" w:type="dxa"/>
          </w:tcPr>
          <w:p w14:paraId="2FFC9DFE" w14:textId="77777777" w:rsidR="00964E32" w:rsidRPr="000A3264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0945E0C2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Bahasa</w:t>
            </w:r>
          </w:p>
        </w:tc>
        <w:tc>
          <w:tcPr>
            <w:tcW w:w="1206" w:type="dxa"/>
          </w:tcPr>
          <w:p w14:paraId="58CC30E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F57E17D" w14:textId="02C63063" w:rsidR="00964E32" w:rsidRPr="00AA4AEE" w:rsidRDefault="0088258E" w:rsidP="0088258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lab_bahasa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202C5A4E" w14:textId="77777777" w:rsidTr="00267DC0">
        <w:tc>
          <w:tcPr>
            <w:tcW w:w="738" w:type="dxa"/>
          </w:tcPr>
          <w:p w14:paraId="227F4AC7" w14:textId="77777777" w:rsidR="00964E32" w:rsidRPr="000A3264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val="en-US" w:eastAsia="id-ID"/>
              </w:rPr>
            </w:pPr>
          </w:p>
        </w:tc>
        <w:tc>
          <w:tcPr>
            <w:tcW w:w="3330" w:type="dxa"/>
          </w:tcPr>
          <w:p w14:paraId="0864703D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2943915D" w14:textId="2B6D5A52" w:rsidR="00964E32" w:rsidRPr="00AA4AEE" w:rsidRDefault="0088258E" w:rsidP="0088258E">
            <w:pPr>
              <w:pStyle w:val="Tabel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alat_ti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374E9DDB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="00077BB2" w:rsidRPr="00CF1731">
        <w:rPr>
          <w:rFonts w:ascii="Calibri" w:hAnsi="Calibri" w:cs="Calibri"/>
        </w:rPr>
        <w:t>usulan</w:t>
      </w:r>
      <w:proofErr w:type="spellEnd"/>
      <w:r w:rsidR="00077BB2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PP-PTS </w:t>
      </w:r>
      <w:proofErr w:type="spellStart"/>
      <w:r w:rsidR="00077BB2" w:rsidRPr="00CF1731">
        <w:rPr>
          <w:rFonts w:ascii="Calibri" w:hAnsi="Calibri" w:cs="Calibri"/>
        </w:rPr>
        <w:t>Tahun</w:t>
      </w:r>
      <w:proofErr w:type="spellEnd"/>
      <w:r w:rsidR="00077BB2" w:rsidRPr="00CF1731">
        <w:rPr>
          <w:rFonts w:ascii="Calibri" w:hAnsi="Calibri" w:cs="Calibri"/>
        </w:rPr>
        <w:t xml:space="preserve"> 2020 pada </w:t>
      </w:r>
      <w:proofErr w:type="spellStart"/>
      <w:r w:rsidR="00077BB2" w:rsidRPr="00CF1731">
        <w:rPr>
          <w:rFonts w:ascii="Calibri" w:hAnsi="Calibri" w:cs="Calibri"/>
        </w:rPr>
        <w:t>butir</w:t>
      </w:r>
      <w:proofErr w:type="spellEnd"/>
      <w:r w:rsidR="00077BB2" w:rsidRPr="00CF1731">
        <w:rPr>
          <w:rFonts w:ascii="Calibri" w:hAnsi="Calibri" w:cs="Calibri"/>
        </w:rPr>
        <w:t xml:space="preserve"> 1 </w:t>
      </w:r>
      <w:proofErr w:type="spellStart"/>
      <w:r w:rsidR="00077BB2"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prakiraan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barang</w:t>
      </w:r>
      <w:proofErr w:type="spellEnd"/>
      <w:r w:rsidRPr="00CF1731">
        <w:rPr>
          <w:rFonts w:ascii="Calibri" w:hAnsi="Calibri" w:cs="Calibri"/>
        </w:rPr>
        <w:t xml:space="preserve"> yang </w:t>
      </w:r>
      <w:proofErr w:type="spellStart"/>
      <w:r w:rsidRPr="00CF1731">
        <w:rPr>
          <w:rFonts w:ascii="Calibri" w:hAnsi="Calibri" w:cs="Calibri"/>
        </w:rPr>
        <w:t>diusulkan</w:t>
      </w:r>
      <w:proofErr w:type="spellEnd"/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penetapan</w:t>
      </w:r>
      <w:proofErr w:type="spellEnd"/>
      <w:r w:rsidR="002825CD" w:rsidRPr="00CF1731">
        <w:rPr>
          <w:rFonts w:ascii="Calibri" w:hAnsi="Calibri" w:cs="Calibri"/>
        </w:rPr>
        <w:t xml:space="preserve"> </w:t>
      </w:r>
      <w:proofErr w:type="spellStart"/>
      <w:r w:rsidR="002825CD" w:rsidRPr="00CF1731">
        <w:rPr>
          <w:rFonts w:ascii="Calibri" w:hAnsi="Calibri" w:cs="Calibri"/>
        </w:rPr>
        <w:t>jumlah</w:t>
      </w:r>
      <w:proofErr w:type="spellEnd"/>
      <w:r w:rsidR="002825CD" w:rsidRPr="00CF1731">
        <w:rPr>
          <w:rFonts w:ascii="Calibri" w:hAnsi="Calibri" w:cs="Calibri"/>
        </w:rPr>
        <w:t xml:space="preserve"> dana </w:t>
      </w:r>
      <w:proofErr w:type="spellStart"/>
      <w:r w:rsidR="002825CD" w:rsidRPr="00CF1731">
        <w:rPr>
          <w:rFonts w:ascii="Calibri" w:hAnsi="Calibri" w:cs="Calibri"/>
        </w:rPr>
        <w:t>bantuan</w:t>
      </w:r>
      <w:proofErr w:type="spellEnd"/>
      <w:r w:rsidR="002825CD" w:rsidRPr="00CF1731">
        <w:rPr>
          <w:rFonts w:ascii="Calibri" w:hAnsi="Calibri" w:cs="Calibri"/>
        </w:rPr>
        <w:t xml:space="preserve"> yang </w:t>
      </w:r>
      <w:proofErr w:type="spellStart"/>
      <w:proofErr w:type="gramStart"/>
      <w:r w:rsidR="002825CD" w:rsidRPr="00CF1731">
        <w:rPr>
          <w:rFonts w:ascii="Calibri" w:hAnsi="Calibri" w:cs="Calibri"/>
        </w:rPr>
        <w:t>diterima</w:t>
      </w:r>
      <w:proofErr w:type="spellEnd"/>
      <w:r w:rsidR="002825CD" w:rsidRPr="00CF1731">
        <w:rPr>
          <w:rFonts w:ascii="Calibri" w:hAnsi="Calibri" w:cs="Calibri"/>
        </w:rPr>
        <w:t>.</w:t>
      </w:r>
      <w:r w:rsidRPr="00CF1731">
        <w:rPr>
          <w:rFonts w:ascii="Calibri" w:hAnsi="Calibri" w:cs="Calibri"/>
        </w:rPr>
        <w:t>.</w:t>
      </w:r>
      <w:proofErr w:type="gramEnd"/>
    </w:p>
    <w:p w14:paraId="650AF60D" w14:textId="1AAD142B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PP-PTS</w:t>
      </w:r>
      <w:r w:rsidR="005D3FAD" w:rsidRPr="00CF1731">
        <w:rPr>
          <w:rFonts w:ascii="Calibri" w:hAnsi="Calibri" w:cs="Calibri"/>
        </w:rPr>
        <w:t xml:space="preserve"> Skema A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7B1162" w:rsidRPr="00CF1731">
        <w:rPr>
          <w:rFonts w:ascii="Calibri" w:hAnsi="Calibri" w:cs="Calibri"/>
          <w:b/>
        </w:rPr>
        <w:t>LAMPIRAN USULAN BARANG PP-PTS TAHUN 2020</w:t>
      </w:r>
      <w:r w:rsidR="007B1162" w:rsidRPr="00CF1731">
        <w:rPr>
          <w:rFonts w:ascii="Calibri" w:hAnsi="Calibri" w:cs="Calibri"/>
        </w:rPr>
        <w:t xml:space="preserve"> </w:t>
      </w:r>
      <w:r w:rsidR="002B053C">
        <w:rPr>
          <w:rFonts w:ascii="Calibri" w:hAnsi="Calibri" w:cs="Calibri"/>
          <w:lang w:val="en-US"/>
        </w:rPr>
        <w:t>(</w:t>
      </w:r>
      <w:proofErr w:type="spellStart"/>
      <w:r w:rsidR="002B053C">
        <w:rPr>
          <w:rFonts w:ascii="Calibri" w:hAnsi="Calibri" w:cs="Calibri"/>
          <w:lang w:val="en-US"/>
        </w:rPr>
        <w:t>diunduh</w:t>
      </w:r>
      <w:proofErr w:type="spellEnd"/>
      <w:r w:rsidR="002B053C">
        <w:rPr>
          <w:rFonts w:ascii="Calibri" w:hAnsi="Calibri" w:cs="Calibri"/>
          <w:lang w:val="en-US"/>
        </w:rPr>
        <w:t xml:space="preserve"> </w:t>
      </w:r>
      <w:proofErr w:type="spellStart"/>
      <w:r w:rsidR="002B053C">
        <w:rPr>
          <w:rFonts w:ascii="Calibri" w:hAnsi="Calibri" w:cs="Calibri"/>
          <w:lang w:val="en-US"/>
        </w:rPr>
        <w:t>dari</w:t>
      </w:r>
      <w:proofErr w:type="spellEnd"/>
      <w:r w:rsidR="002B053C">
        <w:rPr>
          <w:rFonts w:ascii="Calibri" w:hAnsi="Calibri" w:cs="Calibri"/>
          <w:lang w:val="en-US"/>
        </w:rPr>
        <w:t xml:space="preserve"> </w:t>
      </w:r>
      <w:proofErr w:type="spellStart"/>
      <w:r w:rsidR="00B447AF">
        <w:rPr>
          <w:rFonts w:ascii="Calibri" w:hAnsi="Calibri" w:cs="Calibri"/>
          <w:lang w:val="en-US"/>
        </w:rPr>
        <w:t>laman</w:t>
      </w:r>
      <w:proofErr w:type="spellEnd"/>
      <w:r w:rsidR="002B053C">
        <w:rPr>
          <w:rFonts w:ascii="Calibri" w:hAnsi="Calibri" w:cs="Calibri"/>
          <w:lang w:val="en-US"/>
        </w:rPr>
        <w:t xml:space="preserve"> </w:t>
      </w:r>
      <w:hyperlink r:id="rId8" w:history="1">
        <w:r w:rsidR="002B053C" w:rsidRPr="00CF1731">
          <w:rPr>
            <w:rStyle w:val="Hyperlink"/>
            <w:rFonts w:ascii="Calibri" w:hAnsi="Calibri" w:cs="Calibri"/>
            <w:b/>
          </w:rPr>
          <w:t>pppts.</w:t>
        </w:r>
        <w:proofErr w:type="spellStart"/>
        <w:r w:rsidR="002B053C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proofErr w:type="spellEnd"/>
        <w:r w:rsidR="002B053C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2B053C">
        <w:rPr>
          <w:rFonts w:ascii="Calibri" w:hAnsi="Calibri" w:cs="Calibri"/>
          <w:lang w:val="en-US"/>
        </w:rPr>
        <w:t xml:space="preserve">) </w:t>
      </w:r>
      <w:r w:rsidR="00077BB2" w:rsidRPr="00CF1731">
        <w:rPr>
          <w:rFonts w:ascii="Calibri" w:hAnsi="Calibri" w:cs="Calibri"/>
        </w:rPr>
        <w:t xml:space="preserve">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99C9FA9" w14:textId="6853AE2D" w:rsidR="00887F78" w:rsidRPr="00CF1731" w:rsidRDefault="00887F78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Badan Hukum Penyelenggara PT sebagai calon penerima bantuan PP-PTS tahun 2020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88258E">
        <w:rPr>
          <w:rFonts w:ascii="Calibri" w:hAnsi="Calibri" w:cs="Calibri"/>
          <w:b/>
          <w:u w:val="single"/>
        </w:rPr>
        <w:t xml:space="preserve"> </w:t>
      </w:r>
      <w:r w:rsidRPr="0088258E">
        <w:rPr>
          <w:rFonts w:ascii="Calibri" w:hAnsi="Calibri" w:cs="Calibri"/>
        </w:rPr>
        <w:t>terlampir (diun</w:t>
      </w:r>
      <w:r w:rsidR="00FF65E6" w:rsidRPr="0088258E">
        <w:rPr>
          <w:rFonts w:ascii="Calibri" w:hAnsi="Calibri" w:cs="Calibri"/>
        </w:rPr>
        <w:t xml:space="preserve">duh dari </w:t>
      </w:r>
      <w:r w:rsidR="00B447AF" w:rsidRPr="0088258E">
        <w:rPr>
          <w:rFonts w:ascii="Calibri" w:hAnsi="Calibri" w:cs="Calibri"/>
        </w:rPr>
        <w:t xml:space="preserve">laman </w:t>
      </w:r>
      <w:hyperlink r:id="rId9" w:history="1">
        <w:r w:rsidR="00A60443" w:rsidRPr="00CF1731">
          <w:rPr>
            <w:rStyle w:val="Hyperlink"/>
            <w:rFonts w:ascii="Calibri" w:hAnsi="Calibri" w:cs="Calibri"/>
            <w:b/>
          </w:rPr>
          <w:t>pppts.</w:t>
        </w:r>
        <w:r w:rsidR="00A60443" w:rsidRPr="0088258E">
          <w:rPr>
            <w:rStyle w:val="Hyperlink"/>
            <w:rFonts w:ascii="Calibri" w:hAnsi="Calibri" w:cs="Calibri"/>
            <w:b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88258E">
        <w:rPr>
          <w:rFonts w:ascii="Calibri" w:hAnsi="Calibri" w:cs="Calibri"/>
          <w:color w:val="000000" w:themeColor="text1"/>
        </w:rPr>
        <w:t>)</w:t>
      </w:r>
    </w:p>
    <w:p w14:paraId="2B8DCE8E" w14:textId="713ABC60" w:rsidR="00850136" w:rsidRPr="0088258E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  <w:lang w:val="id-ID"/>
        </w:rPr>
      </w:pPr>
      <w:r w:rsidRPr="0088258E">
        <w:rPr>
          <w:rFonts w:ascii="Calibri" w:hAnsi="Calibri" w:cs="Calibri"/>
          <w:b/>
          <w:lang w:val="id-ID"/>
        </w:rPr>
        <w:t xml:space="preserve">Dalam situasi </w:t>
      </w:r>
      <w:r w:rsidR="00A60085" w:rsidRPr="0088258E">
        <w:rPr>
          <w:rFonts w:ascii="Calibri" w:hAnsi="Calibri" w:cs="Calibri"/>
          <w:b/>
          <w:lang w:val="id-ID"/>
        </w:rPr>
        <w:t xml:space="preserve">darurat </w:t>
      </w:r>
      <w:r w:rsidRPr="0088258E">
        <w:rPr>
          <w:rFonts w:ascii="Calibri" w:hAnsi="Calibri" w:cs="Calibri"/>
          <w:b/>
          <w:lang w:val="id-ID"/>
        </w:rPr>
        <w:t>pandemi virus corona</w:t>
      </w:r>
      <w:r w:rsidR="008966E3" w:rsidRPr="0088258E">
        <w:rPr>
          <w:rFonts w:ascii="Calibri" w:hAnsi="Calibri" w:cs="Calibri"/>
          <w:b/>
          <w:lang w:val="id-ID"/>
        </w:rPr>
        <w:t xml:space="preserve"> (Co</w:t>
      </w:r>
      <w:r w:rsidRPr="0088258E">
        <w:rPr>
          <w:rFonts w:ascii="Calibri" w:hAnsi="Calibri" w:cs="Calibri"/>
          <w:b/>
          <w:lang w:val="id-ID"/>
        </w:rPr>
        <w:t>vid-19)</w:t>
      </w:r>
      <w:r w:rsidRPr="0088258E">
        <w:rPr>
          <w:rFonts w:ascii="Calibri" w:hAnsi="Calibri" w:cs="Calibri"/>
          <w:lang w:val="id-ID"/>
        </w:rPr>
        <w:t xml:space="preserve">, apabila dalam pelaksanaan pengadaan barang, ternyata barang yang dibutuhkan tidak tersedia di pasaran dan tidak ada pengganti barang sejenis, atau terjadi hambatan pembatasan </w:t>
      </w:r>
      <w:r w:rsidR="002825CD" w:rsidRPr="0088258E">
        <w:rPr>
          <w:rFonts w:ascii="Calibri" w:hAnsi="Calibri" w:cs="Calibri"/>
          <w:lang w:val="id-ID"/>
        </w:rPr>
        <w:t xml:space="preserve">wilayah </w:t>
      </w:r>
      <w:r w:rsidRPr="0088258E">
        <w:rPr>
          <w:rFonts w:ascii="Calibri" w:hAnsi="Calibri" w:cs="Calibri"/>
          <w:lang w:val="id-ID"/>
        </w:rPr>
        <w:t xml:space="preserve">pengiriman </w:t>
      </w:r>
      <w:r w:rsidR="002825CD" w:rsidRPr="0088258E">
        <w:rPr>
          <w:rFonts w:ascii="Calibri" w:hAnsi="Calibri" w:cs="Calibri"/>
          <w:lang w:val="id-ID"/>
        </w:rPr>
        <w:t xml:space="preserve">dari penyedia ke </w:t>
      </w:r>
      <w:r w:rsidRPr="0088258E">
        <w:rPr>
          <w:rFonts w:ascii="Calibri" w:hAnsi="Calibri" w:cs="Calibri"/>
          <w:lang w:val="id-ID"/>
        </w:rPr>
        <w:t xml:space="preserve">lokasi PTS penerima bantuan, yang mengakibatkan tidak terpenuhinya </w:t>
      </w:r>
      <w:r w:rsidR="00F82B11" w:rsidRPr="0088258E">
        <w:rPr>
          <w:rFonts w:ascii="Calibri" w:hAnsi="Calibri" w:cs="Calibri"/>
          <w:lang w:val="id-ID"/>
        </w:rPr>
        <w:t xml:space="preserve">bantuan </w:t>
      </w:r>
      <w:r w:rsidRPr="0088258E">
        <w:rPr>
          <w:rFonts w:ascii="Calibri" w:hAnsi="Calibri" w:cs="Calibri"/>
          <w:lang w:val="id-ID"/>
        </w:rPr>
        <w:t xml:space="preserve">barang baik sebagian atau seluruhnya sesuai yang diusulkan, maka Badan Hukum </w:t>
      </w:r>
      <w:r w:rsidRPr="0088258E">
        <w:rPr>
          <w:rFonts w:ascii="Calibri" w:hAnsi="Calibri" w:cs="Calibri"/>
          <w:lang w:val="id-ID"/>
        </w:rPr>
        <w:lastRenderedPageBreak/>
        <w:t>Penyelenggara PT selaku penerima bantuan PP-PTS Tahun 2020 tidak akan menuntut dan atau meminta ganti rugi dalam bentuk apapun kepada pemberi bantuan</w:t>
      </w:r>
      <w:r w:rsidR="00CF4B9E" w:rsidRPr="0088258E">
        <w:rPr>
          <w:rFonts w:ascii="Calibri" w:hAnsi="Calibri" w:cs="Calibri"/>
          <w:lang w:val="id-ID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42D39DFB" w:rsidR="00FC0D79" w:rsidRPr="00CF1731" w:rsidRDefault="008E3A27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Jakarta,</w:t>
      </w:r>
      <w:r w:rsidR="007E56AF" w:rsidRPr="008E3A27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88258E">
        <w:rPr>
          <w:rFonts w:cs="Calibri"/>
          <w:b/>
          <w:sz w:val="24"/>
          <w:szCs w:val="24"/>
        </w:rPr>
        <w:t>${dd} ${mm} ${</w:t>
      </w:r>
      <w:proofErr w:type="spellStart"/>
      <w:r w:rsidR="0088258E">
        <w:rPr>
          <w:rFonts w:cs="Calibri"/>
          <w:b/>
          <w:sz w:val="24"/>
          <w:szCs w:val="24"/>
        </w:rPr>
        <w:t>yyyy</w:t>
      </w:r>
      <w:proofErr w:type="spellEnd"/>
      <w:r w:rsidR="0088258E">
        <w:rPr>
          <w:rFonts w:cs="Calibri"/>
          <w:b/>
          <w:sz w:val="24"/>
          <w:szCs w:val="24"/>
        </w:rPr>
        <w:t>}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2466"/>
      </w:tblGrid>
      <w:tr w:rsidR="00E64FA0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2466" w:type="dxa"/>
            <w:vAlign w:val="center"/>
          </w:tcPr>
          <w:p w14:paraId="1C3A6BB8" w14:textId="77777777" w:rsidR="00E64FA0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14:paraId="66E88EF3" w14:textId="77777777" w:rsidR="008138A0" w:rsidRDefault="008138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14:paraId="3F7814AA" w14:textId="3F8831BA" w:rsidR="008138A0" w:rsidRPr="00CF1731" w:rsidRDefault="008138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88258E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88258E" w:rsidRPr="00CF1731" w:rsidRDefault="0088258E" w:rsidP="0088258E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2120FCAB" w:rsidR="0088258E" w:rsidRPr="00CF1731" w:rsidRDefault="0088258E" w:rsidP="0088258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2466" w:type="dxa"/>
            <w:vAlign w:val="center"/>
          </w:tcPr>
          <w:p w14:paraId="0BF43495" w14:textId="77777777" w:rsidR="0088258E" w:rsidRPr="00CF1731" w:rsidRDefault="0088258E" w:rsidP="0088258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88258E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88258E" w:rsidRPr="00CF1731" w:rsidRDefault="0088258E" w:rsidP="0088258E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65EAA02D" w:rsidR="0088258E" w:rsidRPr="00CF1731" w:rsidRDefault="0088258E" w:rsidP="0088258E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2466" w:type="dxa"/>
            <w:vAlign w:val="center"/>
          </w:tcPr>
          <w:p w14:paraId="61D36147" w14:textId="77777777" w:rsidR="0088258E" w:rsidRPr="00CF1731" w:rsidRDefault="0088258E" w:rsidP="0088258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p w14:paraId="73334DED" w14:textId="2CE5C361" w:rsidR="00E64FA0" w:rsidRPr="00495227" w:rsidRDefault="00AE6A94" w:rsidP="00AE6A94">
      <w:pPr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95227">
        <w:rPr>
          <w:rFonts w:ascii="Times New Roman" w:hAnsi="Times New Roman"/>
          <w:b/>
          <w:sz w:val="24"/>
          <w:szCs w:val="24"/>
        </w:rPr>
        <w:t xml:space="preserve"> </w:t>
      </w:r>
    </w:p>
    <w:p w14:paraId="297E86CC" w14:textId="7606173F" w:rsidR="00E64FA0" w:rsidRPr="00CF1731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sectPr w:rsidR="00E64FA0" w:rsidRPr="00CF1731" w:rsidSect="000D4220">
      <w:headerReference w:type="default" r:id="rId10"/>
      <w:footerReference w:type="default" r:id="rId11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91135" w14:textId="77777777" w:rsidR="003071ED" w:rsidRDefault="003071ED">
      <w:pPr>
        <w:spacing w:after="0" w:line="240" w:lineRule="auto"/>
      </w:pPr>
      <w:r>
        <w:separator/>
      </w:r>
    </w:p>
  </w:endnote>
  <w:endnote w:type="continuationSeparator" w:id="0">
    <w:p w14:paraId="79EFA5BC" w14:textId="77777777" w:rsidR="003071ED" w:rsidRDefault="0030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1E1473FC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0A3264" w:rsidRPr="000A3264">
      <w:rPr>
        <w:rFonts w:ascii="Cambria" w:hAnsi="Cambria" w:cs="Cambria"/>
        <w:noProof/>
        <w:sz w:val="20"/>
      </w:rPr>
      <w:t>2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778B5" w14:textId="77777777" w:rsidR="003071ED" w:rsidRDefault="003071ED">
      <w:pPr>
        <w:spacing w:after="0" w:line="240" w:lineRule="auto"/>
      </w:pPr>
      <w:r>
        <w:separator/>
      </w:r>
    </w:p>
  </w:footnote>
  <w:footnote w:type="continuationSeparator" w:id="0">
    <w:p w14:paraId="7131C771" w14:textId="77777777" w:rsidR="003071ED" w:rsidRDefault="0030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A3264"/>
    <w:rsid w:val="000B71FA"/>
    <w:rsid w:val="000C1B17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53C"/>
    <w:rsid w:val="002B0AA9"/>
    <w:rsid w:val="002B69AF"/>
    <w:rsid w:val="002C369F"/>
    <w:rsid w:val="002C70BC"/>
    <w:rsid w:val="002E7C72"/>
    <w:rsid w:val="002F0CC8"/>
    <w:rsid w:val="002F39C2"/>
    <w:rsid w:val="003071ED"/>
    <w:rsid w:val="003239F5"/>
    <w:rsid w:val="00331474"/>
    <w:rsid w:val="00333E13"/>
    <w:rsid w:val="003556F4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0CFE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B1162"/>
    <w:rsid w:val="007B7331"/>
    <w:rsid w:val="007C23AC"/>
    <w:rsid w:val="007C53E5"/>
    <w:rsid w:val="007D0393"/>
    <w:rsid w:val="007E56AF"/>
    <w:rsid w:val="007E7EDF"/>
    <w:rsid w:val="00800AE8"/>
    <w:rsid w:val="00803B92"/>
    <w:rsid w:val="00812F1E"/>
    <w:rsid w:val="008138A0"/>
    <w:rsid w:val="00850136"/>
    <w:rsid w:val="00864ED2"/>
    <w:rsid w:val="00867709"/>
    <w:rsid w:val="0088006A"/>
    <w:rsid w:val="0088258E"/>
    <w:rsid w:val="00885C3F"/>
    <w:rsid w:val="00887F78"/>
    <w:rsid w:val="008966E3"/>
    <w:rsid w:val="008E3A27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AC681F"/>
    <w:rsid w:val="00AE6A94"/>
    <w:rsid w:val="00B15497"/>
    <w:rsid w:val="00B361CE"/>
    <w:rsid w:val="00B447AF"/>
    <w:rsid w:val="00B47E6E"/>
    <w:rsid w:val="00B705C5"/>
    <w:rsid w:val="00B72118"/>
    <w:rsid w:val="00B806A4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B38F1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4FA0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ppts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F2347-F3EA-4303-B810-4C3C18AD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Tjitjik Tjahjandarie</dc:creator>
  <cp:lastModifiedBy>Akila</cp:lastModifiedBy>
  <cp:revision>2</cp:revision>
  <cp:lastPrinted>2016-07-15T14:45:00Z</cp:lastPrinted>
  <dcterms:created xsi:type="dcterms:W3CDTF">2020-08-15T08:47:00Z</dcterms:created>
  <dcterms:modified xsi:type="dcterms:W3CDTF">2020-08-15T08:47:00Z</dcterms:modified>
</cp:coreProperties>
</file>