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99175" w14:textId="50FD3266" w:rsidR="00994F0B" w:rsidRPr="004C2E76" w:rsidRDefault="0019373B" w:rsidP="0077553D">
      <w:pPr>
        <w:pStyle w:val="Title"/>
        <w:jc w:val="center"/>
        <w:rPr>
          <w:color w:val="F4B083" w:themeColor="accent2" w:themeTint="99"/>
        </w:rPr>
      </w:pPr>
      <w:r w:rsidRPr="004C2E76">
        <w:rPr>
          <w:b/>
          <w:bCs/>
          <w:color w:val="F4B083" w:themeColor="accent2" w:themeTint="99"/>
        </w:rPr>
        <w:t>Econometric Project 3: The End is Here!...</w:t>
      </w:r>
      <w:r w:rsidRPr="004C2E76">
        <w:rPr>
          <w:color w:val="F4B083" w:themeColor="accent2" w:themeTint="99"/>
        </w:rPr>
        <w:t xml:space="preserve"> </w:t>
      </w:r>
      <w:r w:rsidRPr="004C2E76">
        <w:rPr>
          <w:color w:val="F4B083" w:themeColor="accent2" w:themeTint="99"/>
          <w:sz w:val="40"/>
          <w:szCs w:val="40"/>
        </w:rPr>
        <w:t>Or is it?</w:t>
      </w:r>
    </w:p>
    <w:p w14:paraId="29D61AD5" w14:textId="15D0369F" w:rsidR="004C2E76" w:rsidRPr="004C2E76" w:rsidRDefault="0019373B" w:rsidP="004C2E76">
      <w:pPr>
        <w:pStyle w:val="Subtitle"/>
        <w:rPr>
          <w:bCs/>
          <w:i/>
          <w:iCs/>
          <w:color w:val="A8D08D" w:themeColor="accent6" w:themeTint="99"/>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pPr>
      <w:r w:rsidRPr="004C2E76">
        <w:rPr>
          <w:bCs/>
          <w:i/>
          <w:iCs/>
          <w:color w:val="A8D08D" w:themeColor="accent6" w:themeTint="99"/>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t>Introduction/Background</w:t>
      </w:r>
    </w:p>
    <w:p w14:paraId="754DCF53" w14:textId="2825A686" w:rsidR="0019373B" w:rsidRDefault="0019373B" w:rsidP="0019373B">
      <w:pPr>
        <w:ind w:firstLine="360"/>
      </w:pPr>
      <w:r>
        <w:t xml:space="preserve">Ever since the dawn of human communities, bartering has been a large part of the reason why we can work together. The exchange of goods and services allows for specialization, which in turn increases the quality and craftsmanship of the products that our civilizations have been able to create throughout time. The act of bartering itself, has changed several times throughout history. There was the invention of currency, which increased liquidity in markets and allowed for trades involving </w:t>
      </w:r>
      <w:r w:rsidR="00A423AD">
        <w:t>one</w:t>
      </w:r>
      <w:r>
        <w:t xml:space="preserve"> good or service, rather than forcing both parties to be interested in the others’ skill. </w:t>
      </w:r>
      <w:r w:rsidR="00546E4F">
        <w:t>Another economic invention that changed our society was the assembly line, allowing trades of larger scale for cheaper prices.</w:t>
      </w:r>
    </w:p>
    <w:p w14:paraId="5FE7337E" w14:textId="21DB4511" w:rsidR="00E05B9E" w:rsidRDefault="00E05B9E" w:rsidP="0019373B">
      <w:pPr>
        <w:ind w:firstLine="360"/>
      </w:pPr>
      <w:r>
        <w:t xml:space="preserve">These economic inventions created changes in the way we as societies distributed resources and </w:t>
      </w:r>
      <w:r w:rsidR="00E75279">
        <w:t>wealth and</w:t>
      </w:r>
      <w:r>
        <w:t xml:space="preserve"> may have caused temporary inefficiencies as the people of a community learned to understand and use the tools given to them.</w:t>
      </w:r>
      <w:r w:rsidR="00D03C30">
        <w:t xml:space="preserve"> As with any change, there were likely to be those speaking to how these alterations would destroy the fabric of their livelihoods. Just think about how frightened some Americans are with respect to automation. There are those who may well criticize the gradual move towards automation due to its impact on lower skilled labor, pointing towards the projections of the trucking industry given a rise in self-driving cars.</w:t>
      </w:r>
    </w:p>
    <w:p w14:paraId="73F56C86" w14:textId="73491BFF" w:rsidR="00E75279" w:rsidRDefault="00E75279" w:rsidP="00926CAB">
      <w:pPr>
        <w:ind w:firstLine="360"/>
      </w:pPr>
      <w:r>
        <w:t xml:space="preserve">It is reasonable, </w:t>
      </w:r>
      <w:r w:rsidR="00CD7332">
        <w:t>therefore,</w:t>
      </w:r>
      <w:r>
        <w:t xml:space="preserve"> to enter into the discussion of the “retail apocalypse” with an air of calm skepticism.  </w:t>
      </w:r>
      <w:r w:rsidR="00801FD7">
        <w:t xml:space="preserve">There is always a reason to think the world is ending, the challenge comes in analyzing what kind of impact the event or phenomena will really have on </w:t>
      </w:r>
      <w:r w:rsidR="00C3662B">
        <w:t>real-world</w:t>
      </w:r>
      <w:r w:rsidR="00801FD7">
        <w:t xml:space="preserve"> institution</w:t>
      </w:r>
      <w:r w:rsidR="00D74266">
        <w:t xml:space="preserve">s </w:t>
      </w:r>
      <w:r w:rsidR="00801FD7">
        <w:t>and infrastructure</w:t>
      </w:r>
      <w:r w:rsidR="00C3662B">
        <w:t>.</w:t>
      </w:r>
      <w:r w:rsidR="009E7599">
        <w:t xml:space="preserve"> From the research that I have conducted, it appears that the retail market isn’t being destroyed, or going out of business, or even declining at all.</w:t>
      </w:r>
      <w:r w:rsidR="00926CAB">
        <w:t xml:space="preserve"> Instead, a new economic invention has changed the way that we consume.</w:t>
      </w:r>
    </w:p>
    <w:p w14:paraId="274AB8F1" w14:textId="5BE94704" w:rsidR="00926CAB" w:rsidRDefault="00926CAB" w:rsidP="00926CAB">
      <w:pPr>
        <w:ind w:firstLine="360"/>
      </w:pPr>
      <w:r>
        <w:t>To study the changes in the retail market, we will turn to an analysis done of the retail labor market. Essentially, while traditional ‘brick and mortar’ retail stores have been decreasing their employment since 2012, non-store employment has been increasing at a slightly quicker rate. For example, in 2013</w:t>
      </w:r>
      <w:r w:rsidR="00193B39">
        <w:t xml:space="preserve"> the decline in traditional retail jobs was 80,000, but 100,000 new jobs were added by non-store retail employment</w:t>
      </w:r>
      <w:r w:rsidR="00D715ED">
        <w:rPr>
          <w:rStyle w:val="FootnoteReference"/>
        </w:rPr>
        <w:footnoteReference w:id="1"/>
      </w:r>
      <w:r w:rsidR="00193B39">
        <w:t>.</w:t>
      </w:r>
      <w:r w:rsidR="00690691">
        <w:t xml:space="preserve"> This pattern year after year implies that the distribution of retail employment is changing from traditional department stores to online retailers. This also comes with a change in the average wage for the industry, with online retailers generally employing more high-skilled labor</w:t>
      </w:r>
      <w:r w:rsidR="00D715ED">
        <w:rPr>
          <w:rStyle w:val="FootnoteReference"/>
        </w:rPr>
        <w:t>1</w:t>
      </w:r>
      <w:r w:rsidR="00690691">
        <w:t>. This in turn means that not only is job growth still a reoccurring theme in the retail sector, the increase is skewed towards higher-paying and higher-skilled jobs.</w:t>
      </w:r>
      <w:r w:rsidR="00EA11BB">
        <w:t xml:space="preserve"> </w:t>
      </w:r>
    </w:p>
    <w:p w14:paraId="338F20E4" w14:textId="57AECDAF" w:rsidR="00EA11BB" w:rsidRDefault="00EA11BB" w:rsidP="00926CAB">
      <w:pPr>
        <w:ind w:firstLine="360"/>
      </w:pPr>
      <w:r>
        <w:t xml:space="preserve">This is a good sign for the retail market for several reasons. Firstly, higher paying jobs means a larger cost for the employers, implying that companies have more financial resources capable of being </w:t>
      </w:r>
      <w:r>
        <w:lastRenderedPageBreak/>
        <w:t>dedicated to their employees.</w:t>
      </w:r>
      <w:r w:rsidR="0094358C">
        <w:t xml:space="preserve"> Also, it implies that the firms are becoming more efficient with their distribution networks, with less need for conventional ‘brick and mortar stores’. </w:t>
      </w:r>
      <w:r w:rsidR="009B32FE">
        <w:t>Instead, companies are beginning to use these locations as pickup locations for business done online</w:t>
      </w:r>
      <w:r w:rsidR="00CC1BC6">
        <w:t>, as a complement to their online retail</w:t>
      </w:r>
      <w:r w:rsidR="00A423AD">
        <w:rPr>
          <w:rStyle w:val="FootnoteReference"/>
        </w:rPr>
        <w:footnoteReference w:id="2"/>
      </w:r>
      <w:r w:rsidR="00CC1BC6">
        <w:t>.</w:t>
      </w:r>
    </w:p>
    <w:p w14:paraId="330E31CE" w14:textId="11C7A2FA" w:rsidR="009A40F5" w:rsidRDefault="007348AA" w:rsidP="00926CAB">
      <w:pPr>
        <w:ind w:firstLine="360"/>
      </w:pPr>
      <w:r>
        <w:t xml:space="preserve">With </w:t>
      </w:r>
      <w:r w:rsidR="009A40F5">
        <w:t>this in mind, we turn to the questions posed in this assignment. What was the impact of the “retail apocalypse” on sales? Keep in mind that for the purposes of this assignment, we will use the term to denote the rise of ecommerce in the period of 2012-2016</w:t>
      </w:r>
      <w:r w:rsidR="0088416B">
        <w:t>.</w:t>
      </w:r>
      <w:r w:rsidR="00DE6788">
        <w:t xml:space="preserve"> Why was the previous projection overly optimistic? How can I improve the forecast, and demonstrate its increased credibility? Finally, What does my model predict for the next four years in the retail sales market?</w:t>
      </w:r>
    </w:p>
    <w:p w14:paraId="77278E25" w14:textId="6B7C0255" w:rsidR="004C2E76" w:rsidRPr="004C2E76" w:rsidRDefault="004C2E76" w:rsidP="004C2E76">
      <w:pPr>
        <w:pStyle w:val="Subtitle"/>
        <w:rPr>
          <w:bCs/>
          <w:i/>
          <w:iCs/>
          <w:color w:val="A8D08D" w:themeColor="accent6" w:themeTint="99"/>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pPr>
      <w:r>
        <w:rPr>
          <w:bCs/>
          <w:i/>
          <w:iCs/>
          <w:color w:val="A8D08D" w:themeColor="accent6" w:themeTint="99"/>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t>Methodology</w:t>
      </w:r>
    </w:p>
    <w:p w14:paraId="779D17D0" w14:textId="32EC45CC" w:rsidR="00E21D25" w:rsidRDefault="00E21D25" w:rsidP="00E21D25">
      <w:pPr>
        <w:ind w:firstLine="360"/>
      </w:pPr>
      <w:r>
        <w:t>I started by recreating the forecast given for the 2016-2020 period. Before I began my own analysis by logging the data,</w:t>
      </w:r>
      <w:r w:rsidR="00AC28A3">
        <w:t xml:space="preserve"> at first because that’s what the assignment said but also due to the log trend present in the data.</w:t>
      </w:r>
      <w:r>
        <w:t xml:space="preserve"> </w:t>
      </w:r>
      <w:r w:rsidR="00AC28A3">
        <w:t>T</w:t>
      </w:r>
      <w:r>
        <w:t>hen</w:t>
      </w:r>
      <w:r w:rsidR="00AC28A3">
        <w:t xml:space="preserve">, I </w:t>
      </w:r>
      <w:r>
        <w:t xml:space="preserve"> test</w:t>
      </w:r>
      <w:r w:rsidR="00AC28A3">
        <w:t>ed the series</w:t>
      </w:r>
      <w:r>
        <w:t xml:space="preserve"> for a unit root with the Dickey-Fuller test. Having found one, I first differenced the data before choosing an ARMA combination, thereby creating an ARIMA model</w:t>
      </w:r>
      <w:r w:rsidR="00AC28A3">
        <w:t xml:space="preserve"> and removing the unit root</w:t>
      </w:r>
      <w:r w:rsidR="00253F2E">
        <w:t xml:space="preserve"> (also somewhat helping stationarity? Right?)</w:t>
      </w:r>
      <w:r>
        <w:t xml:space="preserve">. Using the ARIMA model I chose, I then </w:t>
      </w:r>
      <w:proofErr w:type="spellStart"/>
      <w:r>
        <w:t>reforecasted</w:t>
      </w:r>
      <w:proofErr w:type="spellEnd"/>
      <w:r>
        <w:t xml:space="preserve"> the 2016-2020 period</w:t>
      </w:r>
      <w:r w:rsidR="007F7053">
        <w:t>. I compared the errors of the new model with those of the one given by the trend model using the Theil U</w:t>
      </w:r>
      <w:r w:rsidR="00AC28A3">
        <w:t xml:space="preserve"> statistic.</w:t>
      </w:r>
    </w:p>
    <w:p w14:paraId="0F7259A3" w14:textId="643E1B80" w:rsidR="004C2E76" w:rsidRPr="004C2E76" w:rsidRDefault="004C2E76" w:rsidP="004C2E76">
      <w:pPr>
        <w:pStyle w:val="Subtitle"/>
        <w:rPr>
          <w:bCs/>
          <w:i/>
          <w:iCs/>
          <w:color w:val="A8D08D" w:themeColor="accent6" w:themeTint="99"/>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pPr>
      <w:r>
        <w:rPr>
          <w:bCs/>
          <w:i/>
          <w:iCs/>
          <w:color w:val="A8D08D" w:themeColor="accent6" w:themeTint="99"/>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t>Results</w:t>
      </w:r>
    </w:p>
    <w:p w14:paraId="66856386" w14:textId="77777777" w:rsidR="009E4993" w:rsidRDefault="009E4993" w:rsidP="009E4993">
      <w:pPr>
        <w:keepNext/>
        <w:ind w:firstLine="360"/>
      </w:pPr>
      <w:r w:rsidRPr="009E4993">
        <w:rPr>
          <w:noProof/>
        </w:rPr>
        <w:drawing>
          <wp:inline distT="0" distB="0" distL="0" distR="0" wp14:anchorId="4810D0D6" wp14:editId="50EEABC6">
            <wp:extent cx="5943600" cy="218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80590"/>
                    </a:xfrm>
                    <a:prstGeom prst="rect">
                      <a:avLst/>
                    </a:prstGeom>
                    <a:noFill/>
                    <a:ln>
                      <a:noFill/>
                    </a:ln>
                  </pic:spPr>
                </pic:pic>
              </a:graphicData>
            </a:graphic>
          </wp:inline>
        </w:drawing>
      </w:r>
    </w:p>
    <w:p w14:paraId="0289C287" w14:textId="2CA3C00A" w:rsidR="009E4993" w:rsidRDefault="009E4993" w:rsidP="009E4993">
      <w:pPr>
        <w:pStyle w:val="Caption"/>
      </w:pPr>
      <w:r>
        <w:t xml:space="preserve">Figure </w:t>
      </w:r>
      <w:fldSimple w:instr=" SEQ Figure \* ARABIC ">
        <w:r w:rsidR="0043689F">
          <w:rPr>
            <w:noProof/>
          </w:rPr>
          <w:t>1</w:t>
        </w:r>
      </w:fldSimple>
      <w:r>
        <w:t>: This is the series we worked with, the log version of this data:</w:t>
      </w:r>
      <w:r w:rsidR="001417D7">
        <w:t xml:space="preserve"> </w:t>
      </w:r>
      <w:hyperlink r:id="rId8" w:history="1">
        <w:r w:rsidR="001417D7">
          <w:rPr>
            <w:rStyle w:val="Hyperlink"/>
          </w:rPr>
          <w:t>https://fred.stlouisfed.org/series/RSXFS</w:t>
        </w:r>
      </w:hyperlink>
      <w:r w:rsidR="001417D7">
        <w:t>, Advanced Retail Sales, Retail (Excluding Food services)</w:t>
      </w:r>
    </w:p>
    <w:p w14:paraId="1D6C24F4" w14:textId="033AAD01" w:rsidR="00E21D25" w:rsidRDefault="00E21D25" w:rsidP="00E21D25">
      <w:pPr>
        <w:ind w:firstLine="360"/>
      </w:pPr>
      <w:r>
        <w:lastRenderedPageBreak/>
        <w:t>To begin, I wanted to understand what the previous forecast was, and compare it with the data. So, I used the time-honored tradition of throwing a trend on the data</w:t>
      </w:r>
      <w:r w:rsidR="00DC3F6B">
        <w:t xml:space="preserve"> to create the following model.</w:t>
      </w:r>
    </w:p>
    <w:p w14:paraId="4065A656" w14:textId="77777777" w:rsidR="00214DAC" w:rsidRDefault="00214DAC" w:rsidP="00214DAC">
      <w:pPr>
        <w:keepNext/>
        <w:ind w:firstLine="360"/>
      </w:pPr>
      <w:r w:rsidRPr="00214DAC">
        <w:rPr>
          <w:noProof/>
        </w:rPr>
        <w:drawing>
          <wp:inline distT="0" distB="0" distL="0" distR="0" wp14:anchorId="5A5D3FF1" wp14:editId="5BA37021">
            <wp:extent cx="5943600" cy="2180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80590"/>
                    </a:xfrm>
                    <a:prstGeom prst="rect">
                      <a:avLst/>
                    </a:prstGeom>
                    <a:noFill/>
                    <a:ln>
                      <a:noFill/>
                    </a:ln>
                  </pic:spPr>
                </pic:pic>
              </a:graphicData>
            </a:graphic>
          </wp:inline>
        </w:drawing>
      </w:r>
    </w:p>
    <w:p w14:paraId="7D0BC0D9" w14:textId="448B3B92" w:rsidR="00214DAC" w:rsidRDefault="00214DAC" w:rsidP="00214DAC">
      <w:pPr>
        <w:pStyle w:val="Caption"/>
      </w:pPr>
      <w:r>
        <w:t xml:space="preserve">Figure </w:t>
      </w:r>
      <w:fldSimple w:instr=" SEQ Figure \* ARABIC ">
        <w:r w:rsidR="0043689F">
          <w:rPr>
            <w:noProof/>
          </w:rPr>
          <w:t>2</w:t>
        </w:r>
      </w:fldSimple>
      <w:r>
        <w:t xml:space="preserve"> The blue line denotes the regression used to generate the forecast. The actual forecast is the green line.</w:t>
      </w:r>
    </w:p>
    <w:p w14:paraId="7C7D2C7B" w14:textId="4F2A1044" w:rsidR="009A45D9" w:rsidRDefault="00775191" w:rsidP="00870E4B">
      <w:pPr>
        <w:ind w:firstLine="720"/>
      </w:pPr>
      <w:r>
        <w:t xml:space="preserve">From a visual standpoint, it is easy to see the reason for the overly optimistic. The forecast treats the data as </w:t>
      </w:r>
      <w:r w:rsidR="0043689F">
        <w:t>deterministic or</w:t>
      </w:r>
      <w:r>
        <w:t xml:space="preserve"> acts as if the recession of 2008-2009 was a predictable event that functioned as a cycle for the amount of retail sales.</w:t>
      </w:r>
      <w:r w:rsidR="00EA113C">
        <w:t xml:space="preserve"> Essentially, retail growth up until that point had been so high that it was unsustainable in the economic sense, </w:t>
      </w:r>
      <w:r w:rsidR="00870E4B">
        <w:t xml:space="preserve">forcing a drop in the amount of retail sales such that the market could grow freely again. </w:t>
      </w:r>
    </w:p>
    <w:p w14:paraId="30D44C1C" w14:textId="7A30999A" w:rsidR="00870E4B" w:rsidRPr="009A45D9" w:rsidRDefault="00870E4B" w:rsidP="009A45D9">
      <w:r>
        <w:tab/>
        <w:t xml:space="preserve">While a trend will often be correct in terms of long-run general predictions, it often fails to </w:t>
      </w:r>
      <w:r w:rsidR="00696A42">
        <w:t>accurately foresee short term fluctuations.</w:t>
      </w:r>
      <w:r w:rsidR="00CE48A9">
        <w:t xml:space="preserve"> </w:t>
      </w:r>
      <w:r w:rsidR="009665E1">
        <w:t>So, I decided I would use another method to more accurately model the values of individual period</w:t>
      </w:r>
      <w:r w:rsidR="0030318A">
        <w:t>s</w:t>
      </w:r>
      <w:r w:rsidR="009665E1">
        <w:t>.</w:t>
      </w:r>
      <w:r w:rsidR="0030318A">
        <w:t xml:space="preserve"> To begin testing for my own analysis, I used the dickey-fuller test to comb the series for unit roots. Using the first difference of the data to remove a unit root can increase the predictability of future values. Having found one, we first differenced the data to be the “Log Difference” of the data (Log Difference = log(</w:t>
      </w:r>
      <w:proofErr w:type="spellStart"/>
      <w:r w:rsidR="0030318A">
        <w:t>retail</w:t>
      </w:r>
      <w:r w:rsidR="0030318A" w:rsidRPr="0030318A">
        <w:rPr>
          <w:vertAlign w:val="subscript"/>
        </w:rPr>
        <w:t>t</w:t>
      </w:r>
      <w:proofErr w:type="spellEnd"/>
      <w:r w:rsidR="0030318A">
        <w:t>) - log(retail</w:t>
      </w:r>
      <w:r w:rsidR="0030318A" w:rsidRPr="0030318A">
        <w:rPr>
          <w:vertAlign w:val="subscript"/>
        </w:rPr>
        <w:t>t</w:t>
      </w:r>
      <w:r w:rsidR="0030318A">
        <w:rPr>
          <w:vertAlign w:val="subscript"/>
        </w:rPr>
        <w:t>-1</w:t>
      </w:r>
      <w:r w:rsidR="0030318A">
        <w:t>))</w:t>
      </w:r>
      <w:r w:rsidR="00F7346E">
        <w:t>.</w:t>
      </w:r>
    </w:p>
    <w:tbl>
      <w:tblPr>
        <w:tblStyle w:val="TableGrid"/>
        <w:tblpPr w:leftFromText="180" w:rightFromText="180" w:vertAnchor="text" w:horzAnchor="margin" w:tblpY="46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3D3D" w:rsidRPr="00953D3D" w14:paraId="0EF83648" w14:textId="77777777" w:rsidTr="00953D3D">
        <w:tc>
          <w:tcPr>
            <w:tcW w:w="9350" w:type="dxa"/>
          </w:tcPr>
          <w:p w14:paraId="02FF15E9" w14:textId="77777777" w:rsidR="00953D3D" w:rsidRPr="00953D3D" w:rsidRDefault="00953D3D" w:rsidP="00953D3D">
            <w:pPr>
              <w:pStyle w:val="Caption"/>
            </w:pPr>
            <w:r>
              <w:lastRenderedPageBreak/>
              <w:t xml:space="preserve">Figure </w:t>
            </w:r>
            <w:fldSimple w:instr=" SEQ Figure \* ARABIC ">
              <w:r>
                <w:rPr>
                  <w:noProof/>
                </w:rPr>
                <w:t>3</w:t>
              </w:r>
            </w:fldSimple>
            <w:r>
              <w:t xml:space="preserve"> Here is the projection given by the new model, where the blue line is the projection, and the green area is the 95% confidence interval.</w:t>
            </w:r>
          </w:p>
        </w:tc>
      </w:tr>
    </w:tbl>
    <w:p w14:paraId="3432CDFA" w14:textId="0007FABE" w:rsidR="009E2B78" w:rsidRDefault="00BC0A1B" w:rsidP="00953D3D">
      <w:pPr>
        <w:ind w:firstLine="720"/>
      </w:pPr>
      <w:r>
        <w:t>We chose the ARIMA model of (1,1,1) to describe the log series (the central 1 represents the differencing of the data) due to its low AIC value and lack of autocorrelated residuals.</w:t>
      </w:r>
      <w:r w:rsidR="009666AA">
        <w:t xml:space="preserve"> Also, it passed the mark for both having no further AR or MA unit roots, and for converging.</w:t>
      </w:r>
      <w:r w:rsidR="007779D9">
        <w:t xml:space="preserve"> With this new model, I reattempted the forecast for the 2016-2020 period you felt had been misrepresented.</w:t>
      </w:r>
      <w:r w:rsidR="009E2B78" w:rsidRPr="009E2B78">
        <w:rPr>
          <w:noProof/>
        </w:rPr>
        <w:drawing>
          <wp:inline distT="0" distB="0" distL="0" distR="0" wp14:anchorId="5DEA7A31" wp14:editId="263A8A28">
            <wp:extent cx="5943600" cy="2182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0B6B2B70" w14:textId="68290B87" w:rsidR="001A6744" w:rsidRDefault="001A6744" w:rsidP="001A6744">
      <w:r>
        <w:tab/>
        <w:t xml:space="preserve">As you can see when translated into the raw level forecast, the new ARIMA model precisely </w:t>
      </w:r>
      <w:r w:rsidR="00E44B22">
        <w:t xml:space="preserve">predicts the amount of retail sales over the 2016-2020 period. To add a numeric metric by which to judge the success of this model, I tested both the original trend model and the new ARIMA model for their Theil U coefficients. These values give a sense of how well each model predicted the series. Specifically, the Theil U value is calculated via the errors of the model when compared to the actual data, and the errors of a “null model” (a model that predicts this periods values as the same as last period’s). The lower the coefficient, the more accurately a model predicted the real world data. </w:t>
      </w:r>
    </w:p>
    <w:p w14:paraId="09AC26B1" w14:textId="11E15ACD" w:rsidR="00E44B22" w:rsidRDefault="00AF135D" w:rsidP="00E44B22">
      <w:pPr>
        <w:ind w:firstLine="360"/>
      </w:pPr>
      <w:r>
        <w:rPr>
          <w:noProof/>
        </w:rPr>
        <mc:AlternateContent>
          <mc:Choice Requires="wps">
            <w:drawing>
              <wp:anchor distT="0" distB="0" distL="114300" distR="114300" simplePos="0" relativeHeight="251663360" behindDoc="0" locked="0" layoutInCell="1" allowOverlap="1" wp14:anchorId="29138434" wp14:editId="10C2E944">
                <wp:simplePos x="0" y="0"/>
                <wp:positionH relativeFrom="column">
                  <wp:posOffset>2702096</wp:posOffset>
                </wp:positionH>
                <wp:positionV relativeFrom="paragraph">
                  <wp:posOffset>3556209</wp:posOffset>
                </wp:positionV>
                <wp:extent cx="275018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750185" cy="635"/>
                        </a:xfrm>
                        <a:prstGeom prst="rect">
                          <a:avLst/>
                        </a:prstGeom>
                        <a:solidFill>
                          <a:prstClr val="white"/>
                        </a:solidFill>
                        <a:ln>
                          <a:noFill/>
                        </a:ln>
                      </wps:spPr>
                      <wps:txbx>
                        <w:txbxContent>
                          <w:p w14:paraId="2B6D086F" w14:textId="4057D8EA" w:rsidR="00BC52FB" w:rsidRPr="00AD6885" w:rsidRDefault="00BC52FB" w:rsidP="00BC52FB">
                            <w:pPr>
                              <w:pStyle w:val="Caption"/>
                              <w:rPr>
                                <w:noProof/>
                              </w:rPr>
                            </w:pPr>
                            <w:r>
                              <w:t xml:space="preserve">Figure </w:t>
                            </w:r>
                            <w:fldSimple w:instr=" SEQ Figure \* ARABIC ">
                              <w:r w:rsidR="0043689F">
                                <w:rPr>
                                  <w:noProof/>
                                </w:rPr>
                                <w:t>5</w:t>
                              </w:r>
                            </w:fldSimple>
                            <w:r>
                              <w:t xml:space="preserve"> Theil U values for the new ARIMA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138434" id="_x0000_t202" coordsize="21600,21600" o:spt="202" path="m,l,21600r21600,l21600,xe">
                <v:stroke joinstyle="miter"/>
                <v:path gradientshapeok="t" o:connecttype="rect"/>
              </v:shapetype>
              <v:shape id="Text Box 8" o:spid="_x0000_s1026" type="#_x0000_t202" style="position:absolute;left:0;text-align:left;margin-left:212.75pt;margin-top:280pt;width:216.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" stroked="f">
                <v:textbox style="mso-fit-shape-to-text:t" inset="0,0,0,0">
                  <w:txbxContent>
                    <w:p w14:paraId="2B6D086F" w14:textId="4057D8EA" w:rsidR="00BC52FB" w:rsidRPr="00AD6885" w:rsidRDefault="00BC52FB" w:rsidP="00BC52FB">
                      <w:pPr>
                        <w:pStyle w:val="Caption"/>
                        <w:rPr>
                          <w:noProof/>
                        </w:rPr>
                      </w:pPr>
                      <w:r>
                        <w:t xml:space="preserve">Figure </w:t>
                      </w:r>
                      <w:fldSimple w:instr=" SEQ Figure \* ARABIC ">
                        <w:r w:rsidR="0043689F">
                          <w:rPr>
                            <w:noProof/>
                          </w:rPr>
                          <w:t>5</w:t>
                        </w:r>
                      </w:fldSimple>
                      <w:r>
                        <w:t xml:space="preserve"> Theil U values for the new ARIMA model</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0593BC93" wp14:editId="402B392C">
                <wp:simplePos x="0" y="0"/>
                <wp:positionH relativeFrom="margin">
                  <wp:align>left</wp:align>
                </wp:positionH>
                <wp:positionV relativeFrom="paragraph">
                  <wp:posOffset>3576263</wp:posOffset>
                </wp:positionV>
                <wp:extent cx="28765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5DBB2854" w14:textId="7A7C4518" w:rsidR="00BC52FB" w:rsidRPr="009E482B" w:rsidRDefault="00BC52FB" w:rsidP="00BC52FB">
                            <w:pPr>
                              <w:pStyle w:val="Caption"/>
                              <w:rPr>
                                <w:noProof/>
                              </w:rPr>
                            </w:pPr>
                            <w:r>
                              <w:t xml:space="preserve">Figure </w:t>
                            </w:r>
                            <w:fldSimple w:instr=" SEQ Figure \* ARABIC ">
                              <w:r w:rsidR="0043689F">
                                <w:rPr>
                                  <w:noProof/>
                                </w:rPr>
                                <w:t>4</w:t>
                              </w:r>
                            </w:fldSimple>
                            <w:r>
                              <w:t xml:space="preserve"> Theil U values for the original trend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3BC93" id="Text Box 7" o:spid="_x0000_s1027" type="#_x0000_t202" style="position:absolute;left:0;text-align:left;margin-left:0;margin-top:281.6pt;width:226.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" stroked="f">
                <v:textbox style="mso-fit-shape-to-text:t" inset="0,0,0,0">
                  <w:txbxContent>
                    <w:p w14:paraId="5DBB2854" w14:textId="7A7C4518" w:rsidR="00BC52FB" w:rsidRPr="009E482B" w:rsidRDefault="00BC52FB" w:rsidP="00BC52FB">
                      <w:pPr>
                        <w:pStyle w:val="Caption"/>
                        <w:rPr>
                          <w:noProof/>
                        </w:rPr>
                      </w:pPr>
                      <w:r>
                        <w:t xml:space="preserve">Figure </w:t>
                      </w:r>
                      <w:fldSimple w:instr=" SEQ Figure \* ARABIC ">
                        <w:r w:rsidR="0043689F">
                          <w:rPr>
                            <w:noProof/>
                          </w:rPr>
                          <w:t>4</w:t>
                        </w:r>
                      </w:fldSimple>
                      <w:r>
                        <w:t xml:space="preserve"> Theil U values for the original trend model</w:t>
                      </w:r>
                    </w:p>
                  </w:txbxContent>
                </v:textbox>
                <w10:wrap type="topAndBottom" anchorx="margin"/>
              </v:shape>
            </w:pict>
          </mc:Fallback>
        </mc:AlternateContent>
      </w:r>
      <w:r w:rsidR="00E44B22">
        <w:t>Since each model had to predict more than just one period into the future, it was appropriate to calculate the Theil U values for several periods ahead in the future.</w:t>
      </w:r>
      <w:r w:rsidR="0050745A">
        <w:t xml:space="preserve"> As such, I calculated the Theil U values for the forecasts of each model up until 24 steps into the future. Essentially, I was testing their ability to predict values up until 2 years in the future.</w:t>
      </w:r>
    </w:p>
    <w:tbl>
      <w:tblPr>
        <w:tblStyle w:val="TableGrid"/>
        <w:tblW w:w="9175" w:type="dxa"/>
        <w:tblLook w:val="04A0" w:firstRow="1" w:lastRow="0" w:firstColumn="1" w:lastColumn="0" w:noHBand="0" w:noVBand="1"/>
      </w:tblPr>
      <w:tblGrid>
        <w:gridCol w:w="974"/>
        <w:gridCol w:w="1625"/>
        <w:gridCol w:w="1626"/>
        <w:gridCol w:w="1800"/>
        <w:gridCol w:w="1620"/>
        <w:gridCol w:w="1530"/>
      </w:tblGrid>
      <w:tr w:rsidR="00590867" w14:paraId="73C1D9DE" w14:textId="29920955" w:rsidTr="007624A1">
        <w:tc>
          <w:tcPr>
            <w:tcW w:w="974" w:type="dxa"/>
          </w:tcPr>
          <w:p w14:paraId="258E1328" w14:textId="2A4395CE" w:rsidR="00590867" w:rsidRDefault="00590867" w:rsidP="00E44B22">
            <w:pPr>
              <w:rPr>
                <w:noProof/>
              </w:rPr>
            </w:pPr>
            <w:r>
              <w:rPr>
                <w:noProof/>
              </w:rPr>
              <w:t>Steps Ahead</w:t>
            </w:r>
          </w:p>
        </w:tc>
        <w:tc>
          <w:tcPr>
            <w:tcW w:w="3251" w:type="dxa"/>
            <w:gridSpan w:val="2"/>
            <w:tcBorders>
              <w:bottom w:val="single" w:sz="4" w:space="0" w:color="auto"/>
            </w:tcBorders>
          </w:tcPr>
          <w:p w14:paraId="01E1189F" w14:textId="11564417" w:rsidR="00590867" w:rsidRDefault="00590867" w:rsidP="00E44B22">
            <w:pPr>
              <w:rPr>
                <w:noProof/>
              </w:rPr>
            </w:pPr>
            <w:r>
              <w:rPr>
                <w:noProof/>
              </w:rPr>
              <w:t>Theil U (Original Trend Model)</w:t>
            </w:r>
          </w:p>
        </w:tc>
        <w:tc>
          <w:tcPr>
            <w:tcW w:w="3420" w:type="dxa"/>
            <w:gridSpan w:val="2"/>
            <w:tcBorders>
              <w:bottom w:val="thinThickSmallGap" w:sz="24" w:space="0" w:color="auto"/>
            </w:tcBorders>
          </w:tcPr>
          <w:p w14:paraId="337A3EA4" w14:textId="0AF9AA32" w:rsidR="00590867" w:rsidRDefault="00590867" w:rsidP="00E44B22">
            <w:pPr>
              <w:rPr>
                <w:noProof/>
              </w:rPr>
            </w:pPr>
            <w:r>
              <w:rPr>
                <w:noProof/>
              </w:rPr>
              <w:t>Theil U (ARIMA (1,1,1) model)</w:t>
            </w:r>
          </w:p>
        </w:tc>
        <w:tc>
          <w:tcPr>
            <w:tcW w:w="1530" w:type="dxa"/>
          </w:tcPr>
          <w:p w14:paraId="0F19C344" w14:textId="7FD92348" w:rsidR="00590867" w:rsidRDefault="00590867" w:rsidP="00E44B22">
            <w:pPr>
              <w:rPr>
                <w:noProof/>
              </w:rPr>
            </w:pPr>
            <w:r>
              <w:rPr>
                <w:noProof/>
              </w:rPr>
              <w:t>Steps Ahead</w:t>
            </w:r>
          </w:p>
        </w:tc>
      </w:tr>
      <w:tr w:rsidR="00590867" w14:paraId="1E1DBC0F" w14:textId="65ADB113" w:rsidTr="007624A1">
        <w:tc>
          <w:tcPr>
            <w:tcW w:w="974" w:type="dxa"/>
            <w:tcBorders>
              <w:right w:val="thinThickSmallGap" w:sz="24" w:space="0" w:color="auto"/>
            </w:tcBorders>
            <w:shd w:val="clear" w:color="auto" w:fill="B4C6E7" w:themeFill="accent1" w:themeFillTint="66"/>
          </w:tcPr>
          <w:p w14:paraId="4A63B383" w14:textId="0B18A049" w:rsidR="00590867" w:rsidRDefault="00590867" w:rsidP="006F7BB8">
            <w:pPr>
              <w:jc w:val="right"/>
              <w:rPr>
                <w:noProof/>
              </w:rPr>
            </w:pPr>
            <w:r>
              <w:rPr>
                <w:noProof/>
              </w:rPr>
              <w:t>1</w:t>
            </w:r>
          </w:p>
        </w:tc>
        <w:tc>
          <w:tcPr>
            <w:tcW w:w="1625" w:type="dxa"/>
            <w:tcBorders>
              <w:top w:val="thinThickSmallGap" w:sz="24" w:space="0" w:color="auto"/>
              <w:left w:val="thinThickSmallGap" w:sz="24" w:space="0" w:color="auto"/>
              <w:right w:val="single" w:sz="4" w:space="0" w:color="auto"/>
            </w:tcBorders>
            <w:shd w:val="clear" w:color="auto" w:fill="B4C6E7" w:themeFill="accent1" w:themeFillTint="66"/>
          </w:tcPr>
          <w:p w14:paraId="67514E12" w14:textId="67387C63" w:rsidR="00590867" w:rsidRDefault="007624A1" w:rsidP="006F7BB8">
            <w:pPr>
              <w:jc w:val="right"/>
              <w:rPr>
                <w:noProof/>
              </w:rPr>
            </w:pPr>
            <w:r>
              <w:rPr>
                <w:noProof/>
              </w:rPr>
              <w:t>6.5618</w:t>
            </w:r>
          </w:p>
        </w:tc>
        <w:tc>
          <w:tcPr>
            <w:tcW w:w="1626" w:type="dxa"/>
            <w:tcBorders>
              <w:top w:val="thinThickSmallGap" w:sz="24" w:space="0" w:color="auto"/>
              <w:left w:val="single" w:sz="4" w:space="0" w:color="auto"/>
              <w:right w:val="thinThickSmallGap" w:sz="24" w:space="0" w:color="auto"/>
            </w:tcBorders>
            <w:shd w:val="clear" w:color="auto" w:fill="FD8D8D"/>
          </w:tcPr>
          <w:p w14:paraId="6ED004A5" w14:textId="13457F8E" w:rsidR="00590867" w:rsidRDefault="007624A1" w:rsidP="006F7BB8">
            <w:pPr>
              <w:jc w:val="right"/>
              <w:rPr>
                <w:noProof/>
              </w:rPr>
            </w:pPr>
            <w:r>
              <w:rPr>
                <w:noProof/>
              </w:rPr>
              <w:t>1.1524</w:t>
            </w:r>
          </w:p>
        </w:tc>
        <w:tc>
          <w:tcPr>
            <w:tcW w:w="1800" w:type="dxa"/>
            <w:tcBorders>
              <w:top w:val="thinThickSmallGap" w:sz="24" w:space="0" w:color="auto"/>
              <w:left w:val="thinThickSmallGap" w:sz="24" w:space="0" w:color="auto"/>
            </w:tcBorders>
            <w:shd w:val="clear" w:color="auto" w:fill="B4C6E7" w:themeFill="accent1" w:themeFillTint="66"/>
          </w:tcPr>
          <w:p w14:paraId="0848F305" w14:textId="26282355" w:rsidR="00590867" w:rsidRDefault="00AA5B53" w:rsidP="006F7BB8">
            <w:pPr>
              <w:jc w:val="right"/>
              <w:rPr>
                <w:noProof/>
              </w:rPr>
            </w:pPr>
            <w:r>
              <w:rPr>
                <w:noProof/>
              </w:rPr>
              <w:t>0.8975</w:t>
            </w:r>
          </w:p>
        </w:tc>
        <w:tc>
          <w:tcPr>
            <w:tcW w:w="1620" w:type="dxa"/>
            <w:tcBorders>
              <w:top w:val="thinThickSmallGap" w:sz="24" w:space="0" w:color="auto"/>
              <w:right w:val="thinThickSmallGap" w:sz="24" w:space="0" w:color="auto"/>
            </w:tcBorders>
            <w:shd w:val="clear" w:color="auto" w:fill="FD8D8D"/>
          </w:tcPr>
          <w:p w14:paraId="3D4F1678" w14:textId="7CB023CE" w:rsidR="00590867" w:rsidRDefault="00AA5B53" w:rsidP="006F7BB8">
            <w:pPr>
              <w:jc w:val="right"/>
              <w:rPr>
                <w:noProof/>
              </w:rPr>
            </w:pPr>
            <w:r>
              <w:rPr>
                <w:noProof/>
              </w:rPr>
              <w:t>0.2586</w:t>
            </w:r>
          </w:p>
        </w:tc>
        <w:tc>
          <w:tcPr>
            <w:tcW w:w="1530" w:type="dxa"/>
            <w:tcBorders>
              <w:left w:val="thinThickSmallGap" w:sz="24" w:space="0" w:color="auto"/>
            </w:tcBorders>
            <w:shd w:val="clear" w:color="auto" w:fill="FD8D8D"/>
          </w:tcPr>
          <w:p w14:paraId="36D4F538" w14:textId="229C3068" w:rsidR="00590867" w:rsidRDefault="00590867" w:rsidP="00E44B22">
            <w:pPr>
              <w:rPr>
                <w:noProof/>
              </w:rPr>
            </w:pPr>
            <w:r>
              <w:rPr>
                <w:noProof/>
              </w:rPr>
              <w:t>13</w:t>
            </w:r>
          </w:p>
        </w:tc>
      </w:tr>
      <w:tr w:rsidR="00590867" w14:paraId="2D6C5595" w14:textId="650825AD" w:rsidTr="007624A1">
        <w:tc>
          <w:tcPr>
            <w:tcW w:w="974" w:type="dxa"/>
            <w:tcBorders>
              <w:right w:val="thinThickSmallGap" w:sz="24" w:space="0" w:color="auto"/>
            </w:tcBorders>
            <w:shd w:val="clear" w:color="auto" w:fill="B4C6E7" w:themeFill="accent1" w:themeFillTint="66"/>
          </w:tcPr>
          <w:p w14:paraId="58278CCE" w14:textId="4AC9BB9A" w:rsidR="00590867" w:rsidRDefault="00590867" w:rsidP="006F7BB8">
            <w:pPr>
              <w:jc w:val="right"/>
              <w:rPr>
                <w:noProof/>
              </w:rPr>
            </w:pPr>
            <w:r>
              <w:rPr>
                <w:noProof/>
              </w:rPr>
              <w:t>2</w:t>
            </w:r>
          </w:p>
        </w:tc>
        <w:tc>
          <w:tcPr>
            <w:tcW w:w="1625" w:type="dxa"/>
            <w:tcBorders>
              <w:left w:val="thinThickSmallGap" w:sz="24" w:space="0" w:color="auto"/>
            </w:tcBorders>
            <w:shd w:val="clear" w:color="auto" w:fill="B4C6E7" w:themeFill="accent1" w:themeFillTint="66"/>
          </w:tcPr>
          <w:p w14:paraId="5F07A6C6" w14:textId="7C976D63" w:rsidR="00590867" w:rsidRDefault="007624A1" w:rsidP="006F7BB8">
            <w:pPr>
              <w:jc w:val="right"/>
              <w:rPr>
                <w:noProof/>
              </w:rPr>
            </w:pPr>
            <w:r>
              <w:rPr>
                <w:noProof/>
              </w:rPr>
              <w:t>4.9139</w:t>
            </w:r>
          </w:p>
        </w:tc>
        <w:tc>
          <w:tcPr>
            <w:tcW w:w="1626" w:type="dxa"/>
            <w:tcBorders>
              <w:right w:val="thinThickSmallGap" w:sz="24" w:space="0" w:color="auto"/>
            </w:tcBorders>
            <w:shd w:val="clear" w:color="auto" w:fill="FD8D8D"/>
          </w:tcPr>
          <w:p w14:paraId="75C44358" w14:textId="1BD7A25A" w:rsidR="00590867" w:rsidRDefault="007624A1" w:rsidP="006F7BB8">
            <w:pPr>
              <w:jc w:val="right"/>
              <w:rPr>
                <w:noProof/>
              </w:rPr>
            </w:pPr>
            <w:r>
              <w:rPr>
                <w:noProof/>
              </w:rPr>
              <w:t>1.0972</w:t>
            </w:r>
          </w:p>
        </w:tc>
        <w:tc>
          <w:tcPr>
            <w:tcW w:w="1800" w:type="dxa"/>
            <w:tcBorders>
              <w:left w:val="thinThickSmallGap" w:sz="24" w:space="0" w:color="auto"/>
            </w:tcBorders>
            <w:shd w:val="clear" w:color="auto" w:fill="B4C6E7" w:themeFill="accent1" w:themeFillTint="66"/>
          </w:tcPr>
          <w:p w14:paraId="5B70AEC3" w14:textId="1BFBCB75" w:rsidR="00590867" w:rsidRDefault="00AA5B53" w:rsidP="006F7BB8">
            <w:pPr>
              <w:jc w:val="right"/>
              <w:rPr>
                <w:noProof/>
              </w:rPr>
            </w:pPr>
            <w:r>
              <w:rPr>
                <w:noProof/>
              </w:rPr>
              <w:t>0.7780</w:t>
            </w:r>
          </w:p>
        </w:tc>
        <w:tc>
          <w:tcPr>
            <w:tcW w:w="1620" w:type="dxa"/>
            <w:tcBorders>
              <w:right w:val="thinThickSmallGap" w:sz="24" w:space="0" w:color="auto"/>
            </w:tcBorders>
            <w:shd w:val="clear" w:color="auto" w:fill="FD8D8D"/>
          </w:tcPr>
          <w:p w14:paraId="05587425" w14:textId="4D212633" w:rsidR="00590867" w:rsidRDefault="00AA5B53" w:rsidP="006F7BB8">
            <w:pPr>
              <w:jc w:val="right"/>
              <w:rPr>
                <w:noProof/>
              </w:rPr>
            </w:pPr>
            <w:r>
              <w:rPr>
                <w:noProof/>
              </w:rPr>
              <w:t>0.2553</w:t>
            </w:r>
          </w:p>
        </w:tc>
        <w:tc>
          <w:tcPr>
            <w:tcW w:w="1530" w:type="dxa"/>
            <w:tcBorders>
              <w:left w:val="thinThickSmallGap" w:sz="24" w:space="0" w:color="auto"/>
            </w:tcBorders>
            <w:shd w:val="clear" w:color="auto" w:fill="FD8D8D"/>
          </w:tcPr>
          <w:p w14:paraId="278DFCD9" w14:textId="73C364F5" w:rsidR="00590867" w:rsidRDefault="00590867" w:rsidP="00E44B22">
            <w:pPr>
              <w:rPr>
                <w:noProof/>
              </w:rPr>
            </w:pPr>
            <w:r>
              <w:rPr>
                <w:noProof/>
              </w:rPr>
              <w:t>14</w:t>
            </w:r>
          </w:p>
        </w:tc>
      </w:tr>
      <w:tr w:rsidR="00AA5B53" w14:paraId="2733FE19" w14:textId="2D3A16E2" w:rsidTr="007624A1">
        <w:tc>
          <w:tcPr>
            <w:tcW w:w="974" w:type="dxa"/>
            <w:tcBorders>
              <w:right w:val="thinThickSmallGap" w:sz="24" w:space="0" w:color="auto"/>
            </w:tcBorders>
            <w:shd w:val="clear" w:color="auto" w:fill="B4C6E7" w:themeFill="accent1" w:themeFillTint="66"/>
          </w:tcPr>
          <w:p w14:paraId="566AEF61" w14:textId="382EEDCB" w:rsidR="00AA5B53" w:rsidRDefault="00AA5B53" w:rsidP="006F7BB8">
            <w:pPr>
              <w:jc w:val="right"/>
              <w:rPr>
                <w:noProof/>
              </w:rPr>
            </w:pPr>
            <w:r>
              <w:rPr>
                <w:noProof/>
              </w:rPr>
              <w:t>3</w:t>
            </w:r>
          </w:p>
        </w:tc>
        <w:tc>
          <w:tcPr>
            <w:tcW w:w="1625" w:type="dxa"/>
            <w:tcBorders>
              <w:left w:val="thinThickSmallGap" w:sz="24" w:space="0" w:color="auto"/>
            </w:tcBorders>
            <w:shd w:val="clear" w:color="auto" w:fill="B4C6E7" w:themeFill="accent1" w:themeFillTint="66"/>
          </w:tcPr>
          <w:p w14:paraId="0D45FF09" w14:textId="26793CE3" w:rsidR="00AA5B53" w:rsidRDefault="00AA5B53" w:rsidP="006F7BB8">
            <w:pPr>
              <w:jc w:val="right"/>
              <w:rPr>
                <w:noProof/>
              </w:rPr>
            </w:pPr>
            <w:r>
              <w:rPr>
                <w:noProof/>
              </w:rPr>
              <w:t>3.7788</w:t>
            </w:r>
          </w:p>
        </w:tc>
        <w:tc>
          <w:tcPr>
            <w:tcW w:w="1626" w:type="dxa"/>
            <w:tcBorders>
              <w:right w:val="thinThickSmallGap" w:sz="24" w:space="0" w:color="auto"/>
            </w:tcBorders>
            <w:shd w:val="clear" w:color="auto" w:fill="FD8D8D"/>
          </w:tcPr>
          <w:p w14:paraId="301BFA10" w14:textId="2A5D843C" w:rsidR="00AA5B53" w:rsidRDefault="00AA5B53" w:rsidP="006F7BB8">
            <w:pPr>
              <w:jc w:val="right"/>
              <w:rPr>
                <w:noProof/>
              </w:rPr>
            </w:pPr>
            <w:r>
              <w:rPr>
                <w:noProof/>
              </w:rPr>
              <w:t>1.0285</w:t>
            </w:r>
          </w:p>
        </w:tc>
        <w:tc>
          <w:tcPr>
            <w:tcW w:w="1800" w:type="dxa"/>
            <w:tcBorders>
              <w:left w:val="thinThickSmallGap" w:sz="24" w:space="0" w:color="auto"/>
            </w:tcBorders>
            <w:shd w:val="clear" w:color="auto" w:fill="B4C6E7" w:themeFill="accent1" w:themeFillTint="66"/>
          </w:tcPr>
          <w:p w14:paraId="4E247341" w14:textId="677FE8B2" w:rsidR="00AA5B53" w:rsidRDefault="00AA5B53" w:rsidP="006F7BB8">
            <w:pPr>
              <w:jc w:val="right"/>
              <w:rPr>
                <w:noProof/>
              </w:rPr>
            </w:pPr>
            <w:r>
              <w:rPr>
                <w:noProof/>
              </w:rPr>
              <w:t>0.6899</w:t>
            </w:r>
          </w:p>
        </w:tc>
        <w:tc>
          <w:tcPr>
            <w:tcW w:w="1620" w:type="dxa"/>
            <w:tcBorders>
              <w:right w:val="thinThickSmallGap" w:sz="24" w:space="0" w:color="auto"/>
            </w:tcBorders>
            <w:shd w:val="clear" w:color="auto" w:fill="FD8D8D"/>
          </w:tcPr>
          <w:p w14:paraId="3C5515D9" w14:textId="60F39A16" w:rsidR="00AA5B53" w:rsidRDefault="00AA5B53" w:rsidP="006F7BB8">
            <w:pPr>
              <w:jc w:val="right"/>
              <w:rPr>
                <w:noProof/>
              </w:rPr>
            </w:pPr>
            <w:r>
              <w:rPr>
                <w:noProof/>
              </w:rPr>
              <w:t>0.2355</w:t>
            </w:r>
          </w:p>
        </w:tc>
        <w:tc>
          <w:tcPr>
            <w:tcW w:w="1530" w:type="dxa"/>
            <w:tcBorders>
              <w:left w:val="thinThickSmallGap" w:sz="24" w:space="0" w:color="auto"/>
            </w:tcBorders>
            <w:shd w:val="clear" w:color="auto" w:fill="FD8D8D"/>
          </w:tcPr>
          <w:p w14:paraId="1745B1E6" w14:textId="1A4D32E3" w:rsidR="00AA5B53" w:rsidRDefault="00AA5B53" w:rsidP="00AA5B53">
            <w:pPr>
              <w:rPr>
                <w:noProof/>
              </w:rPr>
            </w:pPr>
            <w:r>
              <w:rPr>
                <w:noProof/>
              </w:rPr>
              <w:t>15</w:t>
            </w:r>
          </w:p>
        </w:tc>
      </w:tr>
      <w:tr w:rsidR="00AA5B53" w14:paraId="3F7105B4" w14:textId="38D6741A" w:rsidTr="007624A1">
        <w:tc>
          <w:tcPr>
            <w:tcW w:w="974" w:type="dxa"/>
            <w:tcBorders>
              <w:right w:val="thinThickSmallGap" w:sz="24" w:space="0" w:color="auto"/>
            </w:tcBorders>
            <w:shd w:val="clear" w:color="auto" w:fill="B4C6E7" w:themeFill="accent1" w:themeFillTint="66"/>
          </w:tcPr>
          <w:p w14:paraId="22A1B760" w14:textId="7B655F55" w:rsidR="00AA5B53" w:rsidRDefault="00AA5B53" w:rsidP="006F7BB8">
            <w:pPr>
              <w:jc w:val="right"/>
              <w:rPr>
                <w:noProof/>
              </w:rPr>
            </w:pPr>
            <w:r>
              <w:rPr>
                <w:noProof/>
              </w:rPr>
              <w:t>4</w:t>
            </w:r>
          </w:p>
        </w:tc>
        <w:tc>
          <w:tcPr>
            <w:tcW w:w="1625" w:type="dxa"/>
            <w:tcBorders>
              <w:left w:val="thinThickSmallGap" w:sz="24" w:space="0" w:color="auto"/>
            </w:tcBorders>
            <w:shd w:val="clear" w:color="auto" w:fill="B4C6E7" w:themeFill="accent1" w:themeFillTint="66"/>
          </w:tcPr>
          <w:p w14:paraId="77B3FEED" w14:textId="64733D47" w:rsidR="00AA5B53" w:rsidRDefault="00AA5B53" w:rsidP="006F7BB8">
            <w:pPr>
              <w:jc w:val="right"/>
              <w:rPr>
                <w:noProof/>
              </w:rPr>
            </w:pPr>
            <w:r>
              <w:rPr>
                <w:noProof/>
              </w:rPr>
              <w:t>3.0842</w:t>
            </w:r>
          </w:p>
        </w:tc>
        <w:tc>
          <w:tcPr>
            <w:tcW w:w="1626" w:type="dxa"/>
            <w:tcBorders>
              <w:right w:val="thinThickSmallGap" w:sz="24" w:space="0" w:color="auto"/>
            </w:tcBorders>
            <w:shd w:val="clear" w:color="auto" w:fill="FD8D8D"/>
          </w:tcPr>
          <w:p w14:paraId="10A7DDE0" w14:textId="48293274" w:rsidR="00AA5B53" w:rsidRDefault="00AA5B53" w:rsidP="006F7BB8">
            <w:pPr>
              <w:jc w:val="right"/>
              <w:rPr>
                <w:noProof/>
              </w:rPr>
            </w:pPr>
            <w:r>
              <w:rPr>
                <w:noProof/>
              </w:rPr>
              <w:t>0.9646</w:t>
            </w:r>
          </w:p>
        </w:tc>
        <w:tc>
          <w:tcPr>
            <w:tcW w:w="1800" w:type="dxa"/>
            <w:tcBorders>
              <w:left w:val="thinThickSmallGap" w:sz="24" w:space="0" w:color="auto"/>
            </w:tcBorders>
            <w:shd w:val="clear" w:color="auto" w:fill="B4C6E7" w:themeFill="accent1" w:themeFillTint="66"/>
          </w:tcPr>
          <w:p w14:paraId="2846719E" w14:textId="6ECFA963" w:rsidR="00AA5B53" w:rsidRDefault="00AA5B53" w:rsidP="006F7BB8">
            <w:pPr>
              <w:jc w:val="right"/>
              <w:rPr>
                <w:noProof/>
              </w:rPr>
            </w:pPr>
            <w:r>
              <w:rPr>
                <w:noProof/>
              </w:rPr>
              <w:t>0.6029</w:t>
            </w:r>
          </w:p>
        </w:tc>
        <w:tc>
          <w:tcPr>
            <w:tcW w:w="1620" w:type="dxa"/>
            <w:tcBorders>
              <w:right w:val="thinThickSmallGap" w:sz="24" w:space="0" w:color="auto"/>
            </w:tcBorders>
            <w:shd w:val="clear" w:color="auto" w:fill="FD8D8D"/>
          </w:tcPr>
          <w:p w14:paraId="12F79738" w14:textId="351EE54D" w:rsidR="00AA5B53" w:rsidRDefault="00AA5B53" w:rsidP="006F7BB8">
            <w:pPr>
              <w:jc w:val="right"/>
              <w:rPr>
                <w:noProof/>
              </w:rPr>
            </w:pPr>
            <w:r>
              <w:rPr>
                <w:noProof/>
              </w:rPr>
              <w:t>0.1986</w:t>
            </w:r>
          </w:p>
        </w:tc>
        <w:tc>
          <w:tcPr>
            <w:tcW w:w="1530" w:type="dxa"/>
            <w:tcBorders>
              <w:left w:val="thinThickSmallGap" w:sz="24" w:space="0" w:color="auto"/>
            </w:tcBorders>
            <w:shd w:val="clear" w:color="auto" w:fill="FD8D8D"/>
          </w:tcPr>
          <w:p w14:paraId="459E2991" w14:textId="614ED8E1" w:rsidR="00AA5B53" w:rsidRDefault="00AA5B53" w:rsidP="00AA5B53">
            <w:pPr>
              <w:rPr>
                <w:noProof/>
              </w:rPr>
            </w:pPr>
            <w:r>
              <w:rPr>
                <w:noProof/>
              </w:rPr>
              <w:t>16</w:t>
            </w:r>
          </w:p>
        </w:tc>
      </w:tr>
      <w:tr w:rsidR="00AA5B53" w14:paraId="0B4AFCE1" w14:textId="6DC2AB39" w:rsidTr="007624A1">
        <w:tc>
          <w:tcPr>
            <w:tcW w:w="974" w:type="dxa"/>
            <w:tcBorders>
              <w:right w:val="thinThickSmallGap" w:sz="24" w:space="0" w:color="auto"/>
            </w:tcBorders>
            <w:shd w:val="clear" w:color="auto" w:fill="B4C6E7" w:themeFill="accent1" w:themeFillTint="66"/>
          </w:tcPr>
          <w:p w14:paraId="1C95BE54" w14:textId="7B0730DE" w:rsidR="00AA5B53" w:rsidRDefault="00AA5B53" w:rsidP="006F7BB8">
            <w:pPr>
              <w:jc w:val="right"/>
              <w:rPr>
                <w:noProof/>
              </w:rPr>
            </w:pPr>
            <w:r>
              <w:rPr>
                <w:noProof/>
              </w:rPr>
              <w:t>5</w:t>
            </w:r>
          </w:p>
        </w:tc>
        <w:tc>
          <w:tcPr>
            <w:tcW w:w="1625" w:type="dxa"/>
            <w:tcBorders>
              <w:left w:val="thinThickSmallGap" w:sz="24" w:space="0" w:color="auto"/>
            </w:tcBorders>
            <w:shd w:val="clear" w:color="auto" w:fill="B4C6E7" w:themeFill="accent1" w:themeFillTint="66"/>
          </w:tcPr>
          <w:p w14:paraId="792F91A3" w14:textId="7E44424D" w:rsidR="00AA5B53" w:rsidRDefault="00AA5B53" w:rsidP="006F7BB8">
            <w:pPr>
              <w:jc w:val="right"/>
              <w:rPr>
                <w:noProof/>
              </w:rPr>
            </w:pPr>
            <w:r>
              <w:rPr>
                <w:noProof/>
              </w:rPr>
              <w:t>2.6062</w:t>
            </w:r>
          </w:p>
        </w:tc>
        <w:tc>
          <w:tcPr>
            <w:tcW w:w="1626" w:type="dxa"/>
            <w:tcBorders>
              <w:right w:val="thinThickSmallGap" w:sz="24" w:space="0" w:color="auto"/>
            </w:tcBorders>
            <w:shd w:val="clear" w:color="auto" w:fill="FD8D8D"/>
          </w:tcPr>
          <w:p w14:paraId="6DF4935E" w14:textId="047F6663" w:rsidR="00AA5B53" w:rsidRDefault="00AA5B53" w:rsidP="006F7BB8">
            <w:pPr>
              <w:jc w:val="right"/>
              <w:rPr>
                <w:noProof/>
              </w:rPr>
            </w:pPr>
            <w:r>
              <w:rPr>
                <w:noProof/>
              </w:rPr>
              <w:t>0.9113</w:t>
            </w:r>
          </w:p>
        </w:tc>
        <w:tc>
          <w:tcPr>
            <w:tcW w:w="1800" w:type="dxa"/>
            <w:tcBorders>
              <w:left w:val="thinThickSmallGap" w:sz="24" w:space="0" w:color="auto"/>
            </w:tcBorders>
            <w:shd w:val="clear" w:color="auto" w:fill="B4C6E7" w:themeFill="accent1" w:themeFillTint="66"/>
          </w:tcPr>
          <w:p w14:paraId="5B9D9353" w14:textId="3DDA0500" w:rsidR="00AA5B53" w:rsidRDefault="00AA5B53" w:rsidP="006F7BB8">
            <w:pPr>
              <w:jc w:val="right"/>
              <w:rPr>
                <w:noProof/>
              </w:rPr>
            </w:pPr>
            <w:r>
              <w:rPr>
                <w:noProof/>
              </w:rPr>
              <w:t>0.5328</w:t>
            </w:r>
          </w:p>
        </w:tc>
        <w:tc>
          <w:tcPr>
            <w:tcW w:w="1620" w:type="dxa"/>
            <w:tcBorders>
              <w:right w:val="thinThickSmallGap" w:sz="24" w:space="0" w:color="auto"/>
            </w:tcBorders>
            <w:shd w:val="clear" w:color="auto" w:fill="FD8D8D"/>
          </w:tcPr>
          <w:p w14:paraId="5AC67A34" w14:textId="6DAE6808" w:rsidR="00AA5B53" w:rsidRDefault="00AA5B53" w:rsidP="006F7BB8">
            <w:pPr>
              <w:jc w:val="right"/>
              <w:rPr>
                <w:noProof/>
              </w:rPr>
            </w:pPr>
            <w:r>
              <w:rPr>
                <w:noProof/>
              </w:rPr>
              <w:t>0.1915</w:t>
            </w:r>
          </w:p>
        </w:tc>
        <w:tc>
          <w:tcPr>
            <w:tcW w:w="1530" w:type="dxa"/>
            <w:tcBorders>
              <w:left w:val="thinThickSmallGap" w:sz="24" w:space="0" w:color="auto"/>
            </w:tcBorders>
            <w:shd w:val="clear" w:color="auto" w:fill="FD8D8D"/>
          </w:tcPr>
          <w:p w14:paraId="1E3DE191" w14:textId="2AEA4DCF" w:rsidR="00AA5B53" w:rsidRDefault="00AA5B53" w:rsidP="00AA5B53">
            <w:pPr>
              <w:rPr>
                <w:noProof/>
              </w:rPr>
            </w:pPr>
            <w:r>
              <w:rPr>
                <w:noProof/>
              </w:rPr>
              <w:t>17</w:t>
            </w:r>
          </w:p>
        </w:tc>
      </w:tr>
      <w:tr w:rsidR="00AA5B53" w14:paraId="4DF8D5E1" w14:textId="1C0F8A01" w:rsidTr="007624A1">
        <w:tc>
          <w:tcPr>
            <w:tcW w:w="974" w:type="dxa"/>
            <w:tcBorders>
              <w:right w:val="thinThickSmallGap" w:sz="24" w:space="0" w:color="auto"/>
            </w:tcBorders>
            <w:shd w:val="clear" w:color="auto" w:fill="B4C6E7" w:themeFill="accent1" w:themeFillTint="66"/>
          </w:tcPr>
          <w:p w14:paraId="76B44210" w14:textId="5DEAB18D" w:rsidR="00AA5B53" w:rsidRDefault="00AA5B53" w:rsidP="006F7BB8">
            <w:pPr>
              <w:jc w:val="right"/>
              <w:rPr>
                <w:noProof/>
              </w:rPr>
            </w:pPr>
            <w:r>
              <w:rPr>
                <w:noProof/>
              </w:rPr>
              <w:t>6</w:t>
            </w:r>
          </w:p>
        </w:tc>
        <w:tc>
          <w:tcPr>
            <w:tcW w:w="1625" w:type="dxa"/>
            <w:tcBorders>
              <w:left w:val="thinThickSmallGap" w:sz="24" w:space="0" w:color="auto"/>
            </w:tcBorders>
            <w:shd w:val="clear" w:color="auto" w:fill="B4C6E7" w:themeFill="accent1" w:themeFillTint="66"/>
          </w:tcPr>
          <w:p w14:paraId="4BC3AD1B" w14:textId="5CD92D50" w:rsidR="00AA5B53" w:rsidRDefault="00AA5B53" w:rsidP="006F7BB8">
            <w:pPr>
              <w:jc w:val="right"/>
              <w:rPr>
                <w:noProof/>
              </w:rPr>
            </w:pPr>
            <w:r>
              <w:rPr>
                <w:noProof/>
              </w:rPr>
              <w:t>2.2456</w:t>
            </w:r>
          </w:p>
        </w:tc>
        <w:tc>
          <w:tcPr>
            <w:tcW w:w="1626" w:type="dxa"/>
            <w:tcBorders>
              <w:right w:val="thinThickSmallGap" w:sz="24" w:space="0" w:color="auto"/>
            </w:tcBorders>
            <w:shd w:val="clear" w:color="auto" w:fill="FD8D8D"/>
          </w:tcPr>
          <w:p w14:paraId="56D3EB00" w14:textId="7E9429E6" w:rsidR="00AA5B53" w:rsidRDefault="00AA5B53" w:rsidP="006F7BB8">
            <w:pPr>
              <w:jc w:val="right"/>
              <w:rPr>
                <w:noProof/>
              </w:rPr>
            </w:pPr>
            <w:r>
              <w:rPr>
                <w:noProof/>
              </w:rPr>
              <w:t>0.8554</w:t>
            </w:r>
          </w:p>
        </w:tc>
        <w:tc>
          <w:tcPr>
            <w:tcW w:w="1800" w:type="dxa"/>
            <w:tcBorders>
              <w:left w:val="thinThickSmallGap" w:sz="24" w:space="0" w:color="auto"/>
            </w:tcBorders>
            <w:shd w:val="clear" w:color="auto" w:fill="B4C6E7" w:themeFill="accent1" w:themeFillTint="66"/>
          </w:tcPr>
          <w:p w14:paraId="3022DC69" w14:textId="5BC2E24F" w:rsidR="00AA5B53" w:rsidRDefault="00AA5B53" w:rsidP="006F7BB8">
            <w:pPr>
              <w:jc w:val="right"/>
              <w:rPr>
                <w:noProof/>
              </w:rPr>
            </w:pPr>
            <w:r>
              <w:rPr>
                <w:noProof/>
              </w:rPr>
              <w:t>0.4623</w:t>
            </w:r>
          </w:p>
        </w:tc>
        <w:tc>
          <w:tcPr>
            <w:tcW w:w="1620" w:type="dxa"/>
            <w:tcBorders>
              <w:right w:val="thinThickSmallGap" w:sz="24" w:space="0" w:color="auto"/>
            </w:tcBorders>
            <w:shd w:val="clear" w:color="auto" w:fill="FD8D8D"/>
          </w:tcPr>
          <w:p w14:paraId="1AEB3FBC" w14:textId="7F0566A5" w:rsidR="00AA5B53" w:rsidRDefault="00AA5B53" w:rsidP="006F7BB8">
            <w:pPr>
              <w:jc w:val="right"/>
              <w:rPr>
                <w:noProof/>
              </w:rPr>
            </w:pPr>
            <w:r>
              <w:rPr>
                <w:noProof/>
              </w:rPr>
              <w:t>0.1719</w:t>
            </w:r>
          </w:p>
        </w:tc>
        <w:tc>
          <w:tcPr>
            <w:tcW w:w="1530" w:type="dxa"/>
            <w:tcBorders>
              <w:left w:val="thinThickSmallGap" w:sz="24" w:space="0" w:color="auto"/>
            </w:tcBorders>
            <w:shd w:val="clear" w:color="auto" w:fill="FD8D8D"/>
          </w:tcPr>
          <w:p w14:paraId="60675FA8" w14:textId="183EDEFA" w:rsidR="00AA5B53" w:rsidRDefault="00AA5B53" w:rsidP="00AA5B53">
            <w:pPr>
              <w:rPr>
                <w:noProof/>
              </w:rPr>
            </w:pPr>
            <w:r>
              <w:rPr>
                <w:noProof/>
              </w:rPr>
              <w:t>18</w:t>
            </w:r>
          </w:p>
        </w:tc>
      </w:tr>
      <w:tr w:rsidR="00AA5B53" w14:paraId="4E699D2C" w14:textId="4D909F5F" w:rsidTr="007624A1">
        <w:tc>
          <w:tcPr>
            <w:tcW w:w="974" w:type="dxa"/>
            <w:tcBorders>
              <w:right w:val="thinThickSmallGap" w:sz="24" w:space="0" w:color="auto"/>
            </w:tcBorders>
            <w:shd w:val="clear" w:color="auto" w:fill="B4C6E7" w:themeFill="accent1" w:themeFillTint="66"/>
          </w:tcPr>
          <w:p w14:paraId="3B0BF93E" w14:textId="0FAA66A3" w:rsidR="00AA5B53" w:rsidRDefault="00AA5B53" w:rsidP="006F7BB8">
            <w:pPr>
              <w:jc w:val="right"/>
              <w:rPr>
                <w:noProof/>
              </w:rPr>
            </w:pPr>
            <w:r>
              <w:rPr>
                <w:noProof/>
              </w:rPr>
              <w:t>7</w:t>
            </w:r>
          </w:p>
        </w:tc>
        <w:tc>
          <w:tcPr>
            <w:tcW w:w="1625" w:type="dxa"/>
            <w:tcBorders>
              <w:left w:val="thinThickSmallGap" w:sz="24" w:space="0" w:color="auto"/>
            </w:tcBorders>
            <w:shd w:val="clear" w:color="auto" w:fill="B4C6E7" w:themeFill="accent1" w:themeFillTint="66"/>
          </w:tcPr>
          <w:p w14:paraId="420F5A1B" w14:textId="4116315A" w:rsidR="00AA5B53" w:rsidRDefault="00AA5B53" w:rsidP="006F7BB8">
            <w:pPr>
              <w:jc w:val="right"/>
              <w:rPr>
                <w:noProof/>
              </w:rPr>
            </w:pPr>
            <w:r>
              <w:rPr>
                <w:noProof/>
              </w:rPr>
              <w:t>1.9809</w:t>
            </w:r>
          </w:p>
        </w:tc>
        <w:tc>
          <w:tcPr>
            <w:tcW w:w="1626" w:type="dxa"/>
            <w:tcBorders>
              <w:right w:val="thinThickSmallGap" w:sz="24" w:space="0" w:color="auto"/>
            </w:tcBorders>
            <w:shd w:val="clear" w:color="auto" w:fill="FD8D8D"/>
          </w:tcPr>
          <w:p w14:paraId="5E31F69F" w14:textId="6DABF62B" w:rsidR="00AA5B53" w:rsidRDefault="00AA5B53" w:rsidP="006F7BB8">
            <w:pPr>
              <w:jc w:val="right"/>
              <w:rPr>
                <w:noProof/>
              </w:rPr>
            </w:pPr>
            <w:r>
              <w:rPr>
                <w:noProof/>
              </w:rPr>
              <w:t>0.8031</w:t>
            </w:r>
          </w:p>
        </w:tc>
        <w:tc>
          <w:tcPr>
            <w:tcW w:w="1800" w:type="dxa"/>
            <w:tcBorders>
              <w:left w:val="thinThickSmallGap" w:sz="24" w:space="0" w:color="auto"/>
            </w:tcBorders>
            <w:shd w:val="clear" w:color="auto" w:fill="B4C6E7" w:themeFill="accent1" w:themeFillTint="66"/>
          </w:tcPr>
          <w:p w14:paraId="7541A4C6" w14:textId="068FC202" w:rsidR="00AA5B53" w:rsidRDefault="00AA5B53" w:rsidP="006F7BB8">
            <w:pPr>
              <w:jc w:val="right"/>
              <w:rPr>
                <w:noProof/>
              </w:rPr>
            </w:pPr>
            <w:r>
              <w:rPr>
                <w:noProof/>
              </w:rPr>
              <w:t>0.4183</w:t>
            </w:r>
          </w:p>
        </w:tc>
        <w:tc>
          <w:tcPr>
            <w:tcW w:w="1620" w:type="dxa"/>
            <w:tcBorders>
              <w:right w:val="thinThickSmallGap" w:sz="24" w:space="0" w:color="auto"/>
            </w:tcBorders>
            <w:shd w:val="clear" w:color="auto" w:fill="FD8D8D"/>
          </w:tcPr>
          <w:p w14:paraId="3DCF2274" w14:textId="63BA1C14" w:rsidR="00AA5B53" w:rsidRDefault="00AA5B53" w:rsidP="006F7BB8">
            <w:pPr>
              <w:jc w:val="right"/>
              <w:rPr>
                <w:noProof/>
              </w:rPr>
            </w:pPr>
            <w:r>
              <w:rPr>
                <w:noProof/>
              </w:rPr>
              <w:t>0.1601</w:t>
            </w:r>
          </w:p>
        </w:tc>
        <w:tc>
          <w:tcPr>
            <w:tcW w:w="1530" w:type="dxa"/>
            <w:tcBorders>
              <w:left w:val="thinThickSmallGap" w:sz="24" w:space="0" w:color="auto"/>
            </w:tcBorders>
            <w:shd w:val="clear" w:color="auto" w:fill="FD8D8D"/>
          </w:tcPr>
          <w:p w14:paraId="0242C9C3" w14:textId="07171F86" w:rsidR="00AA5B53" w:rsidRDefault="00AA5B53" w:rsidP="00AA5B53">
            <w:pPr>
              <w:rPr>
                <w:noProof/>
              </w:rPr>
            </w:pPr>
            <w:r>
              <w:rPr>
                <w:noProof/>
              </w:rPr>
              <w:t>19</w:t>
            </w:r>
          </w:p>
        </w:tc>
      </w:tr>
      <w:tr w:rsidR="00AA5B53" w14:paraId="51335065" w14:textId="48D42475" w:rsidTr="007624A1">
        <w:tc>
          <w:tcPr>
            <w:tcW w:w="974" w:type="dxa"/>
            <w:tcBorders>
              <w:right w:val="thinThickSmallGap" w:sz="24" w:space="0" w:color="auto"/>
            </w:tcBorders>
            <w:shd w:val="clear" w:color="auto" w:fill="B4C6E7" w:themeFill="accent1" w:themeFillTint="66"/>
          </w:tcPr>
          <w:p w14:paraId="325AFD42" w14:textId="17302AB9" w:rsidR="00AA5B53" w:rsidRDefault="00AA5B53" w:rsidP="006F7BB8">
            <w:pPr>
              <w:jc w:val="right"/>
              <w:rPr>
                <w:noProof/>
              </w:rPr>
            </w:pPr>
            <w:r>
              <w:rPr>
                <w:noProof/>
              </w:rPr>
              <w:t>8</w:t>
            </w:r>
          </w:p>
        </w:tc>
        <w:tc>
          <w:tcPr>
            <w:tcW w:w="1625" w:type="dxa"/>
            <w:tcBorders>
              <w:left w:val="thinThickSmallGap" w:sz="24" w:space="0" w:color="auto"/>
            </w:tcBorders>
            <w:shd w:val="clear" w:color="auto" w:fill="B4C6E7" w:themeFill="accent1" w:themeFillTint="66"/>
          </w:tcPr>
          <w:p w14:paraId="3DDE7E03" w14:textId="4B2BD3D8" w:rsidR="00AA5B53" w:rsidRDefault="00AA5B53" w:rsidP="006F7BB8">
            <w:pPr>
              <w:jc w:val="right"/>
              <w:rPr>
                <w:noProof/>
              </w:rPr>
            </w:pPr>
            <w:r>
              <w:rPr>
                <w:noProof/>
              </w:rPr>
              <w:t>1.7844</w:t>
            </w:r>
          </w:p>
        </w:tc>
        <w:tc>
          <w:tcPr>
            <w:tcW w:w="1626" w:type="dxa"/>
            <w:tcBorders>
              <w:right w:val="thinThickSmallGap" w:sz="24" w:space="0" w:color="auto"/>
            </w:tcBorders>
            <w:shd w:val="clear" w:color="auto" w:fill="FD8D8D"/>
          </w:tcPr>
          <w:p w14:paraId="79E854F7" w14:textId="33AB528B" w:rsidR="00AA5B53" w:rsidRDefault="00AA5B53" w:rsidP="006F7BB8">
            <w:pPr>
              <w:jc w:val="right"/>
              <w:rPr>
                <w:noProof/>
              </w:rPr>
            </w:pPr>
            <w:r>
              <w:rPr>
                <w:noProof/>
              </w:rPr>
              <w:t>0.7528</w:t>
            </w:r>
          </w:p>
        </w:tc>
        <w:tc>
          <w:tcPr>
            <w:tcW w:w="1800" w:type="dxa"/>
            <w:tcBorders>
              <w:left w:val="thinThickSmallGap" w:sz="24" w:space="0" w:color="auto"/>
            </w:tcBorders>
            <w:shd w:val="clear" w:color="auto" w:fill="B4C6E7" w:themeFill="accent1" w:themeFillTint="66"/>
          </w:tcPr>
          <w:p w14:paraId="7A2D1AC7" w14:textId="20621E93" w:rsidR="00AA5B53" w:rsidRDefault="00AA5B53" w:rsidP="006F7BB8">
            <w:pPr>
              <w:jc w:val="right"/>
              <w:rPr>
                <w:noProof/>
              </w:rPr>
            </w:pPr>
            <w:r>
              <w:rPr>
                <w:noProof/>
              </w:rPr>
              <w:t>0.3624</w:t>
            </w:r>
          </w:p>
        </w:tc>
        <w:tc>
          <w:tcPr>
            <w:tcW w:w="1620" w:type="dxa"/>
            <w:tcBorders>
              <w:right w:val="thinThickSmallGap" w:sz="24" w:space="0" w:color="auto"/>
            </w:tcBorders>
            <w:shd w:val="clear" w:color="auto" w:fill="FD8D8D"/>
          </w:tcPr>
          <w:p w14:paraId="6110810A" w14:textId="65FF1E80" w:rsidR="00AA5B53" w:rsidRDefault="00AA5B53" w:rsidP="006F7BB8">
            <w:pPr>
              <w:jc w:val="right"/>
              <w:rPr>
                <w:noProof/>
              </w:rPr>
            </w:pPr>
            <w:r>
              <w:rPr>
                <w:noProof/>
              </w:rPr>
              <w:t>0.1605</w:t>
            </w:r>
          </w:p>
        </w:tc>
        <w:tc>
          <w:tcPr>
            <w:tcW w:w="1530" w:type="dxa"/>
            <w:tcBorders>
              <w:left w:val="thinThickSmallGap" w:sz="24" w:space="0" w:color="auto"/>
            </w:tcBorders>
            <w:shd w:val="clear" w:color="auto" w:fill="FD8D8D"/>
          </w:tcPr>
          <w:p w14:paraId="3EDCFA57" w14:textId="1588284C" w:rsidR="00AA5B53" w:rsidRDefault="00AA5B53" w:rsidP="00AA5B53">
            <w:pPr>
              <w:rPr>
                <w:noProof/>
              </w:rPr>
            </w:pPr>
            <w:r>
              <w:rPr>
                <w:noProof/>
              </w:rPr>
              <w:t>20</w:t>
            </w:r>
          </w:p>
        </w:tc>
      </w:tr>
      <w:tr w:rsidR="00AA5B53" w14:paraId="468DD400" w14:textId="22A2AAD2" w:rsidTr="007624A1">
        <w:tc>
          <w:tcPr>
            <w:tcW w:w="974" w:type="dxa"/>
            <w:tcBorders>
              <w:right w:val="thinThickSmallGap" w:sz="24" w:space="0" w:color="auto"/>
            </w:tcBorders>
            <w:shd w:val="clear" w:color="auto" w:fill="B4C6E7" w:themeFill="accent1" w:themeFillTint="66"/>
          </w:tcPr>
          <w:p w14:paraId="58C70DA5" w14:textId="78F4ABA6" w:rsidR="00AA5B53" w:rsidRDefault="00AA5B53" w:rsidP="006F7BB8">
            <w:pPr>
              <w:jc w:val="right"/>
              <w:rPr>
                <w:noProof/>
              </w:rPr>
            </w:pPr>
            <w:r>
              <w:rPr>
                <w:noProof/>
              </w:rPr>
              <w:t>9</w:t>
            </w:r>
          </w:p>
        </w:tc>
        <w:tc>
          <w:tcPr>
            <w:tcW w:w="1625" w:type="dxa"/>
            <w:tcBorders>
              <w:left w:val="thinThickSmallGap" w:sz="24" w:space="0" w:color="auto"/>
            </w:tcBorders>
            <w:shd w:val="clear" w:color="auto" w:fill="B4C6E7" w:themeFill="accent1" w:themeFillTint="66"/>
          </w:tcPr>
          <w:p w14:paraId="29FE4816" w14:textId="63BA4B69" w:rsidR="00AA5B53" w:rsidRDefault="00AA5B53" w:rsidP="006F7BB8">
            <w:pPr>
              <w:jc w:val="right"/>
              <w:rPr>
                <w:noProof/>
              </w:rPr>
            </w:pPr>
            <w:r>
              <w:rPr>
                <w:noProof/>
              </w:rPr>
              <w:t>1.6090</w:t>
            </w:r>
          </w:p>
        </w:tc>
        <w:tc>
          <w:tcPr>
            <w:tcW w:w="1626" w:type="dxa"/>
            <w:tcBorders>
              <w:right w:val="thinThickSmallGap" w:sz="24" w:space="0" w:color="auto"/>
            </w:tcBorders>
            <w:shd w:val="clear" w:color="auto" w:fill="FD8D8D"/>
          </w:tcPr>
          <w:p w14:paraId="676350D3" w14:textId="0A71D952" w:rsidR="00AA5B53" w:rsidRDefault="00AA5B53" w:rsidP="006F7BB8">
            <w:pPr>
              <w:jc w:val="right"/>
              <w:rPr>
                <w:noProof/>
              </w:rPr>
            </w:pPr>
            <w:r>
              <w:rPr>
                <w:noProof/>
              </w:rPr>
              <w:t>0.7076</w:t>
            </w:r>
          </w:p>
        </w:tc>
        <w:tc>
          <w:tcPr>
            <w:tcW w:w="1800" w:type="dxa"/>
            <w:tcBorders>
              <w:left w:val="thinThickSmallGap" w:sz="24" w:space="0" w:color="auto"/>
            </w:tcBorders>
            <w:shd w:val="clear" w:color="auto" w:fill="B4C6E7" w:themeFill="accent1" w:themeFillTint="66"/>
          </w:tcPr>
          <w:p w14:paraId="76F5E419" w14:textId="31CBEAD6" w:rsidR="00AA5B53" w:rsidRDefault="00AA5B53" w:rsidP="006F7BB8">
            <w:pPr>
              <w:jc w:val="right"/>
              <w:rPr>
                <w:noProof/>
              </w:rPr>
            </w:pPr>
            <w:r>
              <w:rPr>
                <w:noProof/>
              </w:rPr>
              <w:t>0.3215</w:t>
            </w:r>
          </w:p>
        </w:tc>
        <w:tc>
          <w:tcPr>
            <w:tcW w:w="1620" w:type="dxa"/>
            <w:tcBorders>
              <w:right w:val="thinThickSmallGap" w:sz="24" w:space="0" w:color="auto"/>
            </w:tcBorders>
            <w:shd w:val="clear" w:color="auto" w:fill="FD8D8D"/>
          </w:tcPr>
          <w:p w14:paraId="68209F58" w14:textId="0741F396" w:rsidR="00AA5B53" w:rsidRDefault="00AA5B53" w:rsidP="006F7BB8">
            <w:pPr>
              <w:jc w:val="right"/>
              <w:rPr>
                <w:noProof/>
              </w:rPr>
            </w:pPr>
            <w:r>
              <w:rPr>
                <w:noProof/>
              </w:rPr>
              <w:t>0.1343</w:t>
            </w:r>
          </w:p>
        </w:tc>
        <w:tc>
          <w:tcPr>
            <w:tcW w:w="1530" w:type="dxa"/>
            <w:tcBorders>
              <w:left w:val="thinThickSmallGap" w:sz="24" w:space="0" w:color="auto"/>
            </w:tcBorders>
            <w:shd w:val="clear" w:color="auto" w:fill="FD8D8D"/>
          </w:tcPr>
          <w:p w14:paraId="521B7EA5" w14:textId="4AACEC0B" w:rsidR="00AA5B53" w:rsidRDefault="00AA5B53" w:rsidP="00AA5B53">
            <w:pPr>
              <w:rPr>
                <w:noProof/>
              </w:rPr>
            </w:pPr>
            <w:r>
              <w:rPr>
                <w:noProof/>
              </w:rPr>
              <w:t>21</w:t>
            </w:r>
          </w:p>
        </w:tc>
      </w:tr>
      <w:tr w:rsidR="00AA5B53" w14:paraId="11EAD4DC" w14:textId="2BCDBBF7" w:rsidTr="007624A1">
        <w:tc>
          <w:tcPr>
            <w:tcW w:w="974" w:type="dxa"/>
            <w:tcBorders>
              <w:right w:val="thinThickSmallGap" w:sz="24" w:space="0" w:color="auto"/>
            </w:tcBorders>
            <w:shd w:val="clear" w:color="auto" w:fill="B4C6E7" w:themeFill="accent1" w:themeFillTint="66"/>
          </w:tcPr>
          <w:p w14:paraId="28083719" w14:textId="44C9E36D" w:rsidR="00AA5B53" w:rsidRDefault="00AA5B53" w:rsidP="006F7BB8">
            <w:pPr>
              <w:jc w:val="right"/>
              <w:rPr>
                <w:noProof/>
              </w:rPr>
            </w:pPr>
            <w:r>
              <w:rPr>
                <w:noProof/>
              </w:rPr>
              <w:t>10</w:t>
            </w:r>
          </w:p>
        </w:tc>
        <w:tc>
          <w:tcPr>
            <w:tcW w:w="1625" w:type="dxa"/>
            <w:tcBorders>
              <w:left w:val="thinThickSmallGap" w:sz="24" w:space="0" w:color="auto"/>
            </w:tcBorders>
            <w:shd w:val="clear" w:color="auto" w:fill="B4C6E7" w:themeFill="accent1" w:themeFillTint="66"/>
          </w:tcPr>
          <w:p w14:paraId="6EBE3A76" w14:textId="7D868546" w:rsidR="00AA5B53" w:rsidRDefault="00AA5B53" w:rsidP="006F7BB8">
            <w:pPr>
              <w:jc w:val="right"/>
              <w:rPr>
                <w:noProof/>
              </w:rPr>
            </w:pPr>
            <w:r>
              <w:rPr>
                <w:noProof/>
              </w:rPr>
              <w:t>1.4607</w:t>
            </w:r>
          </w:p>
        </w:tc>
        <w:tc>
          <w:tcPr>
            <w:tcW w:w="1626" w:type="dxa"/>
            <w:tcBorders>
              <w:right w:val="thinThickSmallGap" w:sz="24" w:space="0" w:color="auto"/>
            </w:tcBorders>
            <w:shd w:val="clear" w:color="auto" w:fill="FD8D8D"/>
          </w:tcPr>
          <w:p w14:paraId="5E366F21" w14:textId="58EF47C5" w:rsidR="00AA5B53" w:rsidRDefault="00AA5B53" w:rsidP="006F7BB8">
            <w:pPr>
              <w:jc w:val="right"/>
              <w:rPr>
                <w:noProof/>
              </w:rPr>
            </w:pPr>
            <w:r>
              <w:rPr>
                <w:noProof/>
              </w:rPr>
              <w:t>0.6813</w:t>
            </w:r>
          </w:p>
        </w:tc>
        <w:tc>
          <w:tcPr>
            <w:tcW w:w="1800" w:type="dxa"/>
            <w:tcBorders>
              <w:left w:val="thinThickSmallGap" w:sz="24" w:space="0" w:color="auto"/>
            </w:tcBorders>
            <w:shd w:val="clear" w:color="auto" w:fill="B4C6E7" w:themeFill="accent1" w:themeFillTint="66"/>
          </w:tcPr>
          <w:p w14:paraId="161D21CF" w14:textId="47C597D0" w:rsidR="00AA5B53" w:rsidRDefault="00AA5B53" w:rsidP="006F7BB8">
            <w:pPr>
              <w:jc w:val="right"/>
              <w:rPr>
                <w:noProof/>
              </w:rPr>
            </w:pPr>
            <w:r>
              <w:rPr>
                <w:noProof/>
              </w:rPr>
              <w:t>0.2988</w:t>
            </w:r>
          </w:p>
        </w:tc>
        <w:tc>
          <w:tcPr>
            <w:tcW w:w="1620" w:type="dxa"/>
            <w:tcBorders>
              <w:right w:val="thinThickSmallGap" w:sz="24" w:space="0" w:color="auto"/>
            </w:tcBorders>
            <w:shd w:val="clear" w:color="auto" w:fill="FD8D8D"/>
          </w:tcPr>
          <w:p w14:paraId="695235E7" w14:textId="360B409B" w:rsidR="00AA5B53" w:rsidRDefault="00AA5B53" w:rsidP="006F7BB8">
            <w:pPr>
              <w:jc w:val="right"/>
              <w:rPr>
                <w:noProof/>
              </w:rPr>
            </w:pPr>
            <w:r>
              <w:rPr>
                <w:noProof/>
              </w:rPr>
              <w:t>0.1383</w:t>
            </w:r>
          </w:p>
        </w:tc>
        <w:tc>
          <w:tcPr>
            <w:tcW w:w="1530" w:type="dxa"/>
            <w:tcBorders>
              <w:left w:val="thinThickSmallGap" w:sz="24" w:space="0" w:color="auto"/>
            </w:tcBorders>
            <w:shd w:val="clear" w:color="auto" w:fill="FD8D8D"/>
          </w:tcPr>
          <w:p w14:paraId="5216B5A1" w14:textId="78D5F52F" w:rsidR="00AA5B53" w:rsidRDefault="00AA5B53" w:rsidP="00AA5B53">
            <w:pPr>
              <w:rPr>
                <w:noProof/>
              </w:rPr>
            </w:pPr>
            <w:r>
              <w:rPr>
                <w:noProof/>
              </w:rPr>
              <w:t>22</w:t>
            </w:r>
          </w:p>
        </w:tc>
      </w:tr>
      <w:tr w:rsidR="00AA5B53" w14:paraId="1A26B402" w14:textId="2ECD3869" w:rsidTr="007624A1">
        <w:tc>
          <w:tcPr>
            <w:tcW w:w="974" w:type="dxa"/>
            <w:tcBorders>
              <w:right w:val="thinThickSmallGap" w:sz="24" w:space="0" w:color="auto"/>
            </w:tcBorders>
            <w:shd w:val="clear" w:color="auto" w:fill="B4C6E7" w:themeFill="accent1" w:themeFillTint="66"/>
          </w:tcPr>
          <w:p w14:paraId="2D30901E" w14:textId="36FF7A86" w:rsidR="00AA5B53" w:rsidRDefault="00AA5B53" w:rsidP="006F7BB8">
            <w:pPr>
              <w:jc w:val="right"/>
              <w:rPr>
                <w:noProof/>
              </w:rPr>
            </w:pPr>
            <w:r>
              <w:rPr>
                <w:noProof/>
              </w:rPr>
              <w:t>11</w:t>
            </w:r>
          </w:p>
        </w:tc>
        <w:tc>
          <w:tcPr>
            <w:tcW w:w="1625" w:type="dxa"/>
            <w:tcBorders>
              <w:left w:val="thinThickSmallGap" w:sz="24" w:space="0" w:color="auto"/>
            </w:tcBorders>
            <w:shd w:val="clear" w:color="auto" w:fill="B4C6E7" w:themeFill="accent1" w:themeFillTint="66"/>
          </w:tcPr>
          <w:p w14:paraId="646D2066" w14:textId="664E1059" w:rsidR="00AA5B53" w:rsidRDefault="00AA5B53" w:rsidP="006F7BB8">
            <w:pPr>
              <w:jc w:val="right"/>
              <w:rPr>
                <w:noProof/>
              </w:rPr>
            </w:pPr>
            <w:r>
              <w:rPr>
                <w:noProof/>
              </w:rPr>
              <w:t>1.3336</w:t>
            </w:r>
          </w:p>
        </w:tc>
        <w:tc>
          <w:tcPr>
            <w:tcW w:w="1626" w:type="dxa"/>
            <w:tcBorders>
              <w:right w:val="thinThickSmallGap" w:sz="24" w:space="0" w:color="auto"/>
            </w:tcBorders>
            <w:shd w:val="clear" w:color="auto" w:fill="FD8D8D"/>
          </w:tcPr>
          <w:p w14:paraId="3B15ABA9" w14:textId="3263345A" w:rsidR="00AA5B53" w:rsidRDefault="00AA5B53" w:rsidP="006F7BB8">
            <w:pPr>
              <w:jc w:val="right"/>
              <w:rPr>
                <w:noProof/>
              </w:rPr>
            </w:pPr>
            <w:r>
              <w:rPr>
                <w:noProof/>
              </w:rPr>
              <w:t>0.6582</w:t>
            </w:r>
          </w:p>
        </w:tc>
        <w:tc>
          <w:tcPr>
            <w:tcW w:w="1800" w:type="dxa"/>
            <w:tcBorders>
              <w:left w:val="thinThickSmallGap" w:sz="24" w:space="0" w:color="auto"/>
            </w:tcBorders>
            <w:shd w:val="clear" w:color="auto" w:fill="B4C6E7" w:themeFill="accent1" w:themeFillTint="66"/>
          </w:tcPr>
          <w:p w14:paraId="5441CAD6" w14:textId="4A914C39" w:rsidR="00AA5B53" w:rsidRDefault="00AA5B53" w:rsidP="006F7BB8">
            <w:pPr>
              <w:jc w:val="right"/>
              <w:rPr>
                <w:noProof/>
              </w:rPr>
            </w:pPr>
            <w:r>
              <w:rPr>
                <w:noProof/>
              </w:rPr>
              <w:t>0.2897</w:t>
            </w:r>
          </w:p>
        </w:tc>
        <w:tc>
          <w:tcPr>
            <w:tcW w:w="1620" w:type="dxa"/>
            <w:tcBorders>
              <w:right w:val="thinThickSmallGap" w:sz="24" w:space="0" w:color="auto"/>
            </w:tcBorders>
            <w:shd w:val="clear" w:color="auto" w:fill="FD8D8D"/>
          </w:tcPr>
          <w:p w14:paraId="4967474A" w14:textId="54619D4E" w:rsidR="00AA5B53" w:rsidRDefault="00AA5B53" w:rsidP="006F7BB8">
            <w:pPr>
              <w:jc w:val="right"/>
              <w:rPr>
                <w:noProof/>
              </w:rPr>
            </w:pPr>
            <w:r>
              <w:rPr>
                <w:noProof/>
              </w:rPr>
              <w:t>0.1450</w:t>
            </w:r>
          </w:p>
        </w:tc>
        <w:tc>
          <w:tcPr>
            <w:tcW w:w="1530" w:type="dxa"/>
            <w:tcBorders>
              <w:left w:val="thinThickSmallGap" w:sz="24" w:space="0" w:color="auto"/>
            </w:tcBorders>
            <w:shd w:val="clear" w:color="auto" w:fill="FD8D8D"/>
          </w:tcPr>
          <w:p w14:paraId="36B4BBB7" w14:textId="0A3664AF" w:rsidR="00AA5B53" w:rsidRDefault="00AA5B53" w:rsidP="00AA5B53">
            <w:pPr>
              <w:rPr>
                <w:noProof/>
              </w:rPr>
            </w:pPr>
            <w:r>
              <w:rPr>
                <w:noProof/>
              </w:rPr>
              <w:t>23</w:t>
            </w:r>
          </w:p>
        </w:tc>
      </w:tr>
      <w:tr w:rsidR="00AA5B53" w14:paraId="3D3D17A7" w14:textId="3C6DCB3F" w:rsidTr="007624A1">
        <w:tc>
          <w:tcPr>
            <w:tcW w:w="974" w:type="dxa"/>
            <w:tcBorders>
              <w:right w:val="thinThickSmallGap" w:sz="24" w:space="0" w:color="auto"/>
            </w:tcBorders>
            <w:shd w:val="clear" w:color="auto" w:fill="B4C6E7" w:themeFill="accent1" w:themeFillTint="66"/>
          </w:tcPr>
          <w:p w14:paraId="106458BB" w14:textId="282B817C" w:rsidR="00AA5B53" w:rsidRDefault="00AA5B53" w:rsidP="006F7BB8">
            <w:pPr>
              <w:jc w:val="right"/>
              <w:rPr>
                <w:noProof/>
              </w:rPr>
            </w:pPr>
            <w:r>
              <w:rPr>
                <w:noProof/>
              </w:rPr>
              <w:lastRenderedPageBreak/>
              <w:t>12</w:t>
            </w:r>
          </w:p>
        </w:tc>
        <w:tc>
          <w:tcPr>
            <w:tcW w:w="1625" w:type="dxa"/>
            <w:tcBorders>
              <w:left w:val="thinThickSmallGap" w:sz="24" w:space="0" w:color="auto"/>
              <w:bottom w:val="thinThickSmallGap" w:sz="24" w:space="0" w:color="auto"/>
              <w:right w:val="single" w:sz="4" w:space="0" w:color="auto"/>
            </w:tcBorders>
            <w:shd w:val="clear" w:color="auto" w:fill="B4C6E7" w:themeFill="accent1" w:themeFillTint="66"/>
          </w:tcPr>
          <w:p w14:paraId="4F70E5C7" w14:textId="70BAFB3B" w:rsidR="00AA5B53" w:rsidRDefault="00AA5B53" w:rsidP="006F7BB8">
            <w:pPr>
              <w:jc w:val="right"/>
              <w:rPr>
                <w:noProof/>
              </w:rPr>
            </w:pPr>
            <w:r>
              <w:rPr>
                <w:noProof/>
              </w:rPr>
              <w:t>1.2323</w:t>
            </w:r>
          </w:p>
        </w:tc>
        <w:tc>
          <w:tcPr>
            <w:tcW w:w="1626" w:type="dxa"/>
            <w:tcBorders>
              <w:left w:val="single" w:sz="4" w:space="0" w:color="auto"/>
              <w:bottom w:val="thinThickSmallGap" w:sz="24" w:space="0" w:color="auto"/>
              <w:right w:val="thinThickSmallGap" w:sz="24" w:space="0" w:color="auto"/>
            </w:tcBorders>
            <w:shd w:val="clear" w:color="auto" w:fill="FD8D8D"/>
          </w:tcPr>
          <w:p w14:paraId="74ACAFE8" w14:textId="25E89DEF" w:rsidR="00AA5B53" w:rsidRDefault="00AA5B53" w:rsidP="006F7BB8">
            <w:pPr>
              <w:jc w:val="right"/>
              <w:rPr>
                <w:noProof/>
              </w:rPr>
            </w:pPr>
            <w:r>
              <w:rPr>
                <w:noProof/>
              </w:rPr>
              <w:t>0.6393</w:t>
            </w:r>
          </w:p>
        </w:tc>
        <w:tc>
          <w:tcPr>
            <w:tcW w:w="1800" w:type="dxa"/>
            <w:tcBorders>
              <w:left w:val="thinThickSmallGap" w:sz="24" w:space="0" w:color="auto"/>
              <w:bottom w:val="thinThickSmallGap" w:sz="24" w:space="0" w:color="auto"/>
            </w:tcBorders>
            <w:shd w:val="clear" w:color="auto" w:fill="B4C6E7" w:themeFill="accent1" w:themeFillTint="66"/>
          </w:tcPr>
          <w:p w14:paraId="223C5882" w14:textId="7A9A0EDD" w:rsidR="00AA5B53" w:rsidRDefault="00AA5B53" w:rsidP="006F7BB8">
            <w:pPr>
              <w:jc w:val="right"/>
              <w:rPr>
                <w:noProof/>
              </w:rPr>
            </w:pPr>
            <w:r>
              <w:rPr>
                <w:noProof/>
              </w:rPr>
              <w:t>0.2713</w:t>
            </w:r>
          </w:p>
        </w:tc>
        <w:tc>
          <w:tcPr>
            <w:tcW w:w="1620" w:type="dxa"/>
            <w:tcBorders>
              <w:bottom w:val="thinThickSmallGap" w:sz="24" w:space="0" w:color="auto"/>
              <w:right w:val="thinThickSmallGap" w:sz="24" w:space="0" w:color="auto"/>
            </w:tcBorders>
            <w:shd w:val="clear" w:color="auto" w:fill="FD8D8D"/>
          </w:tcPr>
          <w:p w14:paraId="1FE55D68" w14:textId="76F7F723" w:rsidR="00AA5B53" w:rsidRDefault="00AA5B53" w:rsidP="006F7BB8">
            <w:pPr>
              <w:jc w:val="right"/>
              <w:rPr>
                <w:noProof/>
              </w:rPr>
            </w:pPr>
            <w:r>
              <w:rPr>
                <w:noProof/>
              </w:rPr>
              <w:t>0.1446</w:t>
            </w:r>
          </w:p>
        </w:tc>
        <w:tc>
          <w:tcPr>
            <w:tcW w:w="1530" w:type="dxa"/>
            <w:tcBorders>
              <w:left w:val="thinThickSmallGap" w:sz="24" w:space="0" w:color="auto"/>
            </w:tcBorders>
            <w:shd w:val="clear" w:color="auto" w:fill="FD8D8D"/>
          </w:tcPr>
          <w:p w14:paraId="58A18D25" w14:textId="084DFCDF" w:rsidR="00AA5B53" w:rsidRDefault="00AA5B53" w:rsidP="00AA5B53">
            <w:pPr>
              <w:rPr>
                <w:noProof/>
              </w:rPr>
            </w:pPr>
            <w:r>
              <w:rPr>
                <w:noProof/>
              </w:rPr>
              <w:t>24</w:t>
            </w:r>
          </w:p>
        </w:tc>
      </w:tr>
    </w:tbl>
    <w:p w14:paraId="693DFAEB" w14:textId="5C285212" w:rsidR="005F50C9" w:rsidRDefault="005F50C9" w:rsidP="00AF135D">
      <w:pPr>
        <w:rPr>
          <w:noProof/>
        </w:rPr>
      </w:pPr>
    </w:p>
    <w:p w14:paraId="5C9796AC" w14:textId="6250B369" w:rsidR="00BC52FB" w:rsidRDefault="00F671BB" w:rsidP="00E44B22">
      <w:pPr>
        <w:ind w:firstLine="360"/>
        <w:rPr>
          <w:noProof/>
        </w:rPr>
      </w:pPr>
      <w:r>
        <w:rPr>
          <w:noProof/>
        </w:rPr>
        <w:t>There’s only one column to look at in these tables, and that’s the Theil U categories. As displayed above, the new ARIMA model was more accurate in predicting future data, regardless of how long in the future it was.</w:t>
      </w:r>
      <w:r w:rsidR="00FD417A">
        <w:rPr>
          <w:noProof/>
        </w:rPr>
        <w:t xml:space="preserve"> Notice, however, that the trend model does drop significantly in its Theil U component as time goes on. This means that the trend model did in fact do somewhat well in estimating future data, so long as it was from the perspective of a long timeframe (1.5 years in the future or more)</w:t>
      </w:r>
      <w:r w:rsidR="00134142">
        <w:rPr>
          <w:noProof/>
        </w:rPr>
        <w:t>.</w:t>
      </w:r>
      <w:r w:rsidR="00E37D42">
        <w:rPr>
          <w:noProof/>
        </w:rPr>
        <w:t xml:space="preserve"> However, even 2 years into the future, the ARIMA model still had a significantly more accurate estimate.</w:t>
      </w:r>
    </w:p>
    <w:p w14:paraId="0F093898" w14:textId="069C7608" w:rsidR="0065657E" w:rsidRDefault="0065657E" w:rsidP="00E44B22">
      <w:pPr>
        <w:ind w:firstLine="360"/>
        <w:rPr>
          <w:noProof/>
        </w:rPr>
      </w:pPr>
      <w:r>
        <w:rPr>
          <w:noProof/>
        </w:rPr>
        <w:t>This leads to the final operational question for this assignment, what is the forecast of the next four years for the retail sales market?</w:t>
      </w:r>
      <w:r w:rsidR="0043689F">
        <w:rPr>
          <w:noProof/>
        </w:rPr>
        <w:t xml:space="preserve"> Here, I present my forecast for the 2020-2024 retail sales figure:</w:t>
      </w:r>
    </w:p>
    <w:p w14:paraId="194779AD" w14:textId="77777777" w:rsidR="0043689F" w:rsidRDefault="0043689F" w:rsidP="0043689F">
      <w:pPr>
        <w:keepNext/>
        <w:ind w:firstLine="360"/>
      </w:pPr>
      <w:r w:rsidRPr="0043689F">
        <w:rPr>
          <w:noProof/>
        </w:rPr>
        <w:drawing>
          <wp:inline distT="0" distB="0" distL="0" distR="0" wp14:anchorId="467F5E37" wp14:editId="66ADAEDB">
            <wp:extent cx="5943600" cy="2181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6C104CFA" w14:textId="5021531D" w:rsidR="0043689F" w:rsidRPr="0043689F" w:rsidRDefault="0043689F" w:rsidP="0043689F">
      <w:pPr>
        <w:pStyle w:val="Caption"/>
      </w:pPr>
      <w:r>
        <w:t xml:space="preserve">Figure </w:t>
      </w:r>
      <w:fldSimple w:instr=" SEQ Figure \* ARABIC ">
        <w:r>
          <w:rPr>
            <w:noProof/>
          </w:rPr>
          <w:t>6</w:t>
        </w:r>
      </w:fldSimple>
      <w:r>
        <w:t xml:space="preserve"> The ARIMA model's forecast of the Retail sales market for the next 4 years. The raw estimate for each year is shown in blue, while the 95% confidence interval is shown in green.</w:t>
      </w:r>
    </w:p>
    <w:p w14:paraId="3DB1F0F7" w14:textId="02B980B1" w:rsidR="004C2E76" w:rsidRPr="004C2E76" w:rsidRDefault="004C2E76" w:rsidP="004C2E76">
      <w:pPr>
        <w:pStyle w:val="Subtitle"/>
        <w:rPr>
          <w:bCs/>
          <w:i/>
          <w:iCs/>
          <w:color w:val="A8D08D" w:themeColor="accent6" w:themeTint="99"/>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pPr>
      <w:r>
        <w:rPr>
          <w:bCs/>
          <w:i/>
          <w:iCs/>
          <w:color w:val="A8D08D" w:themeColor="accent6" w:themeTint="99"/>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rPr>
        <w:t>Conclusion</w:t>
      </w:r>
    </w:p>
    <w:p w14:paraId="6FBBC398" w14:textId="168978CD" w:rsidR="0043689F" w:rsidRDefault="0043689F" w:rsidP="0043689F">
      <w:pPr>
        <w:ind w:firstLine="360"/>
      </w:pPr>
      <w:r>
        <w:t>It’s tough to answer the question of how certain I am in my forecast. Trying to estimate future scenarios always implies assuming</w:t>
      </w:r>
      <w:r w:rsidR="00CD7839">
        <w:t xml:space="preserve"> </w:t>
      </w:r>
      <w:r>
        <w:t>many circumstances will remain the way they are indefinitely.</w:t>
      </w:r>
      <w:r w:rsidR="00CD7839">
        <w:t xml:space="preserve"> Had the 2008-2009 recession not happened, the original trend model may well have given an accurate estimate of the real data. Without another structural change or shock to the retail industry, I am extremely confident that the ARIMA model will give accurate predictions, even accounting for a slight exponential trend in the series.</w:t>
      </w:r>
      <w:r w:rsidR="00D80EBD">
        <w:t xml:space="preserve"> I will argue in its favor as well by pointing out that the Theil U values for up to 2 years prediction are below 1, implying a forecast that is better than guessing. </w:t>
      </w:r>
    </w:p>
    <w:p w14:paraId="32EC0E37" w14:textId="2363A16E" w:rsidR="00D80EBD" w:rsidRDefault="00D80EBD" w:rsidP="0043689F">
      <w:pPr>
        <w:ind w:firstLine="360"/>
      </w:pPr>
      <w:r>
        <w:t xml:space="preserve">All of these forecasts, including the trend model, forecast a bright future for the retail market. While traditional brick and mortar stores are </w:t>
      </w:r>
      <w:r w:rsidR="00C25E07">
        <w:t>closing</w:t>
      </w:r>
      <w:r>
        <w:t>, a new wave of online retailers have begun operations. Employment in the retail industry is increasing, and online shopping has not only changed the way people consume, but also revolutionized how chains use their store locations.</w:t>
      </w:r>
      <w:r w:rsidR="00C25E07">
        <w:t xml:space="preserve"> In fact, amazon has begun to open local retail stores to complement their online retail.</w:t>
      </w:r>
      <w:r w:rsidR="00A52062">
        <w:t xml:space="preserve"> </w:t>
      </w:r>
    </w:p>
    <w:p w14:paraId="4034C743" w14:textId="10265C2E" w:rsidR="00BC069B" w:rsidRDefault="00A52062" w:rsidP="0043689F">
      <w:pPr>
        <w:ind w:firstLine="360"/>
      </w:pPr>
      <w:r>
        <w:t xml:space="preserve">Every numeric and subjective indicator seems to point to a strong retail market today, and a growing one for tomorrow. The retail apocalypse isn’t the destruction of our industry, but the revitalization of it. </w:t>
      </w:r>
      <w:r>
        <w:lastRenderedPageBreak/>
        <w:t xml:space="preserve">Focus on using brick and mortar locations as complements for online retail, not substitutes. Think about how to more efficiently and quickly service customers, because the era of </w:t>
      </w:r>
      <w:r w:rsidR="000E3BA6">
        <w:t>e-retail</w:t>
      </w:r>
      <w:r>
        <w:t xml:space="preserve"> is here.</w:t>
      </w:r>
    </w:p>
    <w:p w14:paraId="558D4C92" w14:textId="77777777" w:rsidR="00DF71F6" w:rsidRDefault="00DF71F6"/>
    <w:p w14:paraId="2AAB0D41" w14:textId="7D109343" w:rsidR="00BC069B" w:rsidRDefault="00DF71F6">
      <w:r>
        <w:t>NOTE: I got here and then I read some stuff about the coronavirus, the projections are not assuming any impact on the retail market, which I know is unrealistic.</w:t>
      </w:r>
      <w:r w:rsidR="00BC069B">
        <w:br w:type="page"/>
      </w:r>
    </w:p>
    <w:p w14:paraId="2C2902D1" w14:textId="0BD9C118" w:rsidR="00BC069B" w:rsidRDefault="00BC069B" w:rsidP="00BC069B">
      <w:pPr>
        <w:pStyle w:val="NoSpacing"/>
      </w:pPr>
      <w:r>
        <w:lastRenderedPageBreak/>
        <w:t>RATS Coding</w:t>
      </w:r>
    </w:p>
    <w:p w14:paraId="7E2B0814" w14:textId="0A5CFB80" w:rsidR="00BC069B" w:rsidRDefault="00BC069B" w:rsidP="00BC069B">
      <w:pPr>
        <w:pStyle w:val="NoSpacing"/>
      </w:pPr>
      <w:r>
        <w:t>*** Intro Code ***</w:t>
      </w:r>
    </w:p>
    <w:p w14:paraId="53E1EFEF" w14:textId="77777777" w:rsidR="00BC069B" w:rsidRDefault="00BC069B" w:rsidP="00BC069B">
      <w:pPr>
        <w:pStyle w:val="NoSpacing"/>
      </w:pPr>
      <w:r>
        <w:t xml:space="preserve"> **Memory/Data**</w:t>
      </w:r>
    </w:p>
    <w:p w14:paraId="1DBE89A7" w14:textId="77777777" w:rsidR="00BC069B" w:rsidRDefault="00BC069B" w:rsidP="00BC069B">
      <w:pPr>
        <w:pStyle w:val="NoSpacing"/>
      </w:pPr>
      <w:proofErr w:type="spellStart"/>
      <w:r>
        <w:t>cal</w:t>
      </w:r>
      <w:proofErr w:type="spellEnd"/>
      <w:r>
        <w:t>(m) 1900:1</w:t>
      </w:r>
    </w:p>
    <w:p w14:paraId="31B39FBD" w14:textId="77777777" w:rsidR="00BC069B" w:rsidRDefault="00BC069B" w:rsidP="00BC069B">
      <w:pPr>
        <w:pStyle w:val="NoSpacing"/>
      </w:pPr>
      <w:r>
        <w:t>all 2030:1</w:t>
      </w:r>
    </w:p>
    <w:p w14:paraId="5303E7DB" w14:textId="77777777" w:rsidR="00BC069B" w:rsidRDefault="00BC069B" w:rsidP="00BC069B">
      <w:pPr>
        <w:pStyle w:val="NoSpacing"/>
      </w:pPr>
      <w:r>
        <w:t>data(format=</w:t>
      </w:r>
      <w:proofErr w:type="spellStart"/>
      <w:r>
        <w:t>fred</w:t>
      </w:r>
      <w:proofErr w:type="spellEnd"/>
      <w:r>
        <w:t>) * * RSXFS</w:t>
      </w:r>
    </w:p>
    <w:p w14:paraId="57E2A05D" w14:textId="77777777" w:rsidR="00BC069B" w:rsidRDefault="00BC069B" w:rsidP="00BC069B">
      <w:pPr>
        <w:pStyle w:val="NoSpacing"/>
      </w:pPr>
    </w:p>
    <w:p w14:paraId="2C2EE787" w14:textId="77777777" w:rsidR="00BC069B" w:rsidRDefault="00BC069B" w:rsidP="00BC069B">
      <w:pPr>
        <w:pStyle w:val="NoSpacing"/>
      </w:pPr>
      <w:r>
        <w:t xml:space="preserve"> **Variables**</w:t>
      </w:r>
    </w:p>
    <w:p w14:paraId="1E74F46C" w14:textId="77777777" w:rsidR="00BC069B" w:rsidRDefault="00BC069B" w:rsidP="00BC069B">
      <w:pPr>
        <w:pStyle w:val="NoSpacing"/>
      </w:pPr>
      <w:r>
        <w:t>set DRSXFS = RSXFS - RSXFS{1}</w:t>
      </w:r>
    </w:p>
    <w:p w14:paraId="07D18690" w14:textId="77777777" w:rsidR="00BC069B" w:rsidRDefault="00BC069B" w:rsidP="00BC069B">
      <w:pPr>
        <w:pStyle w:val="NoSpacing"/>
      </w:pPr>
      <w:r>
        <w:t>set LRSXFS = Log(RSXFS)</w:t>
      </w:r>
    </w:p>
    <w:p w14:paraId="0C24060D" w14:textId="77777777" w:rsidR="00BC069B" w:rsidRDefault="00BC069B" w:rsidP="00BC069B">
      <w:pPr>
        <w:pStyle w:val="NoSpacing"/>
      </w:pPr>
      <w:r>
        <w:t>set LDRSXFS = LRSXFS - LRSXFS{1}</w:t>
      </w:r>
    </w:p>
    <w:p w14:paraId="5D08DBFD" w14:textId="77777777" w:rsidR="00BC069B" w:rsidRDefault="00BC069B" w:rsidP="00BC069B">
      <w:pPr>
        <w:pStyle w:val="NoSpacing"/>
      </w:pPr>
      <w:r>
        <w:t>set trend = t</w:t>
      </w:r>
    </w:p>
    <w:p w14:paraId="37EC6CC0" w14:textId="77777777" w:rsidR="00BC069B" w:rsidRDefault="00BC069B" w:rsidP="00BC069B">
      <w:pPr>
        <w:pStyle w:val="NoSpacing"/>
      </w:pPr>
    </w:p>
    <w:p w14:paraId="0414D48D" w14:textId="77777777" w:rsidR="00BC069B" w:rsidRDefault="00BC069B" w:rsidP="00BC069B">
      <w:pPr>
        <w:pStyle w:val="NoSpacing"/>
      </w:pPr>
      <w:r>
        <w:t xml:space="preserve"> ** Dates **</w:t>
      </w:r>
    </w:p>
    <w:p w14:paraId="2E2ACDAF" w14:textId="77777777" w:rsidR="00BC069B" w:rsidRDefault="00BC069B" w:rsidP="00BC069B">
      <w:pPr>
        <w:pStyle w:val="NoSpacing"/>
      </w:pPr>
      <w:r>
        <w:t xml:space="preserve">compute </w:t>
      </w:r>
      <w:proofErr w:type="spellStart"/>
      <w:r>
        <w:t>startdate</w:t>
      </w:r>
      <w:proofErr w:type="spellEnd"/>
      <w:r>
        <w:t xml:space="preserve"> = 1992:1</w:t>
      </w:r>
    </w:p>
    <w:p w14:paraId="3B218FB6" w14:textId="77777777" w:rsidR="00BC069B" w:rsidRDefault="00BC069B" w:rsidP="00BC069B">
      <w:pPr>
        <w:pStyle w:val="NoSpacing"/>
      </w:pPr>
      <w:r>
        <w:t xml:space="preserve">compute </w:t>
      </w:r>
      <w:proofErr w:type="spellStart"/>
      <w:r>
        <w:t>enddate</w:t>
      </w:r>
      <w:proofErr w:type="spellEnd"/>
      <w:r>
        <w:t xml:space="preserve"> = 2015:12</w:t>
      </w:r>
    </w:p>
    <w:p w14:paraId="11930A7E" w14:textId="77777777" w:rsidR="00BC069B" w:rsidRDefault="00BC069B" w:rsidP="00BC069B">
      <w:pPr>
        <w:pStyle w:val="NoSpacing"/>
      </w:pPr>
      <w:r>
        <w:t xml:space="preserve">compute </w:t>
      </w:r>
      <w:proofErr w:type="spellStart"/>
      <w:r>
        <w:t>forestart</w:t>
      </w:r>
      <w:proofErr w:type="spellEnd"/>
      <w:r>
        <w:t xml:space="preserve"> = 2016:1</w:t>
      </w:r>
    </w:p>
    <w:p w14:paraId="5106414A" w14:textId="77777777" w:rsidR="00BC069B" w:rsidRDefault="00BC069B" w:rsidP="00BC069B">
      <w:pPr>
        <w:pStyle w:val="NoSpacing"/>
      </w:pPr>
      <w:r>
        <w:t xml:space="preserve">compute </w:t>
      </w:r>
      <w:proofErr w:type="spellStart"/>
      <w:r>
        <w:t>foreend</w:t>
      </w:r>
      <w:proofErr w:type="spellEnd"/>
      <w:r>
        <w:t xml:space="preserve"> = 2020:1</w:t>
      </w:r>
    </w:p>
    <w:p w14:paraId="78039297" w14:textId="77777777" w:rsidR="00BC069B" w:rsidRDefault="00BC069B" w:rsidP="00BC069B">
      <w:pPr>
        <w:pStyle w:val="NoSpacing"/>
      </w:pPr>
      <w:r>
        <w:t>compute forestart2 = 2020:2</w:t>
      </w:r>
    </w:p>
    <w:p w14:paraId="3C1B9B79" w14:textId="77777777" w:rsidR="00BC069B" w:rsidRDefault="00BC069B" w:rsidP="00BC069B">
      <w:pPr>
        <w:pStyle w:val="NoSpacing"/>
      </w:pPr>
      <w:r>
        <w:t>compute foreend2 = 2024:2</w:t>
      </w:r>
    </w:p>
    <w:p w14:paraId="0A284B19" w14:textId="77777777" w:rsidR="00BC069B" w:rsidRDefault="00BC069B" w:rsidP="00BC069B">
      <w:pPr>
        <w:pStyle w:val="NoSpacing"/>
      </w:pPr>
    </w:p>
    <w:p w14:paraId="46D5C544" w14:textId="77777777" w:rsidR="00BC069B" w:rsidRDefault="00BC069B" w:rsidP="00BC069B">
      <w:pPr>
        <w:pStyle w:val="NoSpacing"/>
      </w:pPr>
      <w:r>
        <w:t>compute counter = 1</w:t>
      </w:r>
    </w:p>
    <w:p w14:paraId="11FD8A9D" w14:textId="77777777" w:rsidR="00BC069B" w:rsidRDefault="00BC069B" w:rsidP="00BC069B">
      <w:pPr>
        <w:pStyle w:val="NoSpacing"/>
      </w:pPr>
    </w:p>
    <w:p w14:paraId="46BB5265" w14:textId="77777777" w:rsidR="00BC069B" w:rsidRDefault="00BC069B" w:rsidP="00BC069B">
      <w:pPr>
        <w:pStyle w:val="NoSpacing"/>
      </w:pPr>
      <w:r>
        <w:t>*********************************************************************************************</w:t>
      </w:r>
    </w:p>
    <w:p w14:paraId="1B54D0B9" w14:textId="77777777" w:rsidR="00BC069B" w:rsidRDefault="00BC069B" w:rsidP="00BC069B">
      <w:pPr>
        <w:pStyle w:val="NoSpacing"/>
      </w:pPr>
      <w:r>
        <w:t>graph(</w:t>
      </w:r>
      <w:proofErr w:type="spellStart"/>
      <w:r>
        <w:t>vlabel</w:t>
      </w:r>
      <w:proofErr w:type="spellEnd"/>
      <w:r>
        <w:t>="Log of Sales, Millions of USD", header="US Retail Sales, Log Level") 1</w:t>
      </w:r>
    </w:p>
    <w:p w14:paraId="1FD80F7E" w14:textId="77777777" w:rsidR="00BC069B" w:rsidRDefault="00BC069B" w:rsidP="00BC069B">
      <w:pPr>
        <w:pStyle w:val="NoSpacing"/>
      </w:pPr>
      <w:r>
        <w:t>#LRSXFS * *</w:t>
      </w:r>
    </w:p>
    <w:p w14:paraId="3ED716C9" w14:textId="77777777" w:rsidR="00BC069B" w:rsidRDefault="00BC069B" w:rsidP="00BC069B">
      <w:pPr>
        <w:pStyle w:val="NoSpacing"/>
      </w:pPr>
    </w:p>
    <w:p w14:paraId="5C91F7D5" w14:textId="77777777" w:rsidR="00BC069B" w:rsidRDefault="00BC069B" w:rsidP="00BC069B">
      <w:pPr>
        <w:pStyle w:val="NoSpacing"/>
      </w:pPr>
      <w:r>
        <w:t>*** Try recreate previous forecast for 2012-2016 period to find reasons for over optimism ***</w:t>
      </w:r>
    </w:p>
    <w:p w14:paraId="66DD85E9" w14:textId="77777777" w:rsidR="00BC069B" w:rsidRDefault="00BC069B" w:rsidP="00BC069B">
      <w:pPr>
        <w:pStyle w:val="NoSpacing"/>
      </w:pPr>
      <w:r>
        <w:t>** Linear Trend **</w:t>
      </w:r>
    </w:p>
    <w:p w14:paraId="5B672C2F" w14:textId="77777777" w:rsidR="00BC069B" w:rsidRDefault="00BC069B" w:rsidP="00BC069B">
      <w:pPr>
        <w:pStyle w:val="NoSpacing"/>
      </w:pPr>
      <w:proofErr w:type="spellStart"/>
      <w:r>
        <w:t>linreg</w:t>
      </w:r>
      <w:proofErr w:type="spellEnd"/>
      <w:r>
        <w:t xml:space="preserve"> LRSXFS </w:t>
      </w:r>
      <w:proofErr w:type="spellStart"/>
      <w:r>
        <w:t>startdate</w:t>
      </w:r>
      <w:proofErr w:type="spellEnd"/>
      <w:r>
        <w:t xml:space="preserve"> </w:t>
      </w:r>
      <w:proofErr w:type="spellStart"/>
      <w:r>
        <w:t>enddate</w:t>
      </w:r>
      <w:proofErr w:type="spellEnd"/>
      <w:r>
        <w:t xml:space="preserve"> resids1</w:t>
      </w:r>
    </w:p>
    <w:p w14:paraId="20170089" w14:textId="77777777" w:rsidR="00BC069B" w:rsidRDefault="00BC069B" w:rsidP="00BC069B">
      <w:pPr>
        <w:pStyle w:val="NoSpacing"/>
      </w:pPr>
      <w:r>
        <w:t># constant trend</w:t>
      </w:r>
    </w:p>
    <w:p w14:paraId="2D7C4C1B" w14:textId="77777777" w:rsidR="00BC069B" w:rsidRDefault="00BC069B" w:rsidP="00BC069B">
      <w:pPr>
        <w:pStyle w:val="NoSpacing"/>
      </w:pPr>
      <w:proofErr w:type="spellStart"/>
      <w:r>
        <w:t>prj</w:t>
      </w:r>
      <w:proofErr w:type="spellEnd"/>
      <w:r>
        <w:t xml:space="preserve"> fitted1</w:t>
      </w:r>
    </w:p>
    <w:p w14:paraId="14807477" w14:textId="77777777" w:rsidR="00BC069B" w:rsidRDefault="00BC069B" w:rsidP="00BC069B">
      <w:pPr>
        <w:pStyle w:val="NoSpacing"/>
      </w:pPr>
    </w:p>
    <w:p w14:paraId="1F00A5BD" w14:textId="77777777" w:rsidR="00BC069B" w:rsidRDefault="00BC069B" w:rsidP="00BC069B">
      <w:pPr>
        <w:pStyle w:val="NoSpacing"/>
      </w:pPr>
      <w:r>
        <w:t>* Recreate Forecast *</w:t>
      </w:r>
    </w:p>
    <w:p w14:paraId="76E31973" w14:textId="77777777" w:rsidR="00BC069B" w:rsidRDefault="00BC069B" w:rsidP="00BC069B">
      <w:pPr>
        <w:pStyle w:val="NoSpacing"/>
      </w:pPr>
      <w:proofErr w:type="spellStart"/>
      <w:r>
        <w:t>uforecast</w:t>
      </w:r>
      <w:proofErr w:type="spellEnd"/>
      <w:r>
        <w:t>(from=2016:1,to=2020:1,stderrs=sterr1) fore1</w:t>
      </w:r>
    </w:p>
    <w:p w14:paraId="01545029" w14:textId="77777777" w:rsidR="00BC069B" w:rsidRDefault="00BC069B" w:rsidP="00BC069B">
      <w:pPr>
        <w:pStyle w:val="NoSpacing"/>
      </w:pPr>
      <w:r>
        <w:t xml:space="preserve">set upper1 </w:t>
      </w:r>
      <w:proofErr w:type="spellStart"/>
      <w:r>
        <w:t>enddate</w:t>
      </w:r>
      <w:proofErr w:type="spellEnd"/>
      <w:r>
        <w:t xml:space="preserve"> </w:t>
      </w:r>
      <w:proofErr w:type="spellStart"/>
      <w:r>
        <w:t>foreend</w:t>
      </w:r>
      <w:proofErr w:type="spellEnd"/>
      <w:r>
        <w:t xml:space="preserve"> = fore1+1.96*(sterr1)</w:t>
      </w:r>
    </w:p>
    <w:p w14:paraId="1A93E048" w14:textId="77777777" w:rsidR="00BC069B" w:rsidRDefault="00BC069B" w:rsidP="00BC069B">
      <w:pPr>
        <w:pStyle w:val="NoSpacing"/>
      </w:pPr>
      <w:r>
        <w:t xml:space="preserve">set lower1 </w:t>
      </w:r>
      <w:proofErr w:type="spellStart"/>
      <w:r>
        <w:t>enddate</w:t>
      </w:r>
      <w:proofErr w:type="spellEnd"/>
      <w:r>
        <w:t xml:space="preserve"> </w:t>
      </w:r>
      <w:proofErr w:type="spellStart"/>
      <w:r>
        <w:t>foreend</w:t>
      </w:r>
      <w:proofErr w:type="spellEnd"/>
      <w:r>
        <w:t xml:space="preserve"> = fore1-1.96*(sterr1)</w:t>
      </w:r>
    </w:p>
    <w:p w14:paraId="360FE427" w14:textId="77777777" w:rsidR="00BC069B" w:rsidRDefault="00BC069B" w:rsidP="00BC069B">
      <w:pPr>
        <w:pStyle w:val="NoSpacing"/>
      </w:pPr>
    </w:p>
    <w:p w14:paraId="1AB081C7" w14:textId="77777777" w:rsidR="00BC069B" w:rsidRDefault="00BC069B" w:rsidP="00BC069B">
      <w:pPr>
        <w:pStyle w:val="NoSpacing"/>
      </w:pPr>
      <w:r>
        <w:t>graph(</w:t>
      </w:r>
      <w:proofErr w:type="spellStart"/>
      <w:r>
        <w:t>vlabel</w:t>
      </w:r>
      <w:proofErr w:type="spellEnd"/>
      <w:r>
        <w:t>="Log of Sales, Millions of USD", header="US Retail Sales, Log Level Trend Model Forecast 2016-2020",ovcount=2, $</w:t>
      </w:r>
    </w:p>
    <w:p w14:paraId="006F63BF" w14:textId="77777777" w:rsidR="00BC069B" w:rsidRDefault="00BC069B" w:rsidP="00BC069B">
      <w:pPr>
        <w:pStyle w:val="NoSpacing"/>
      </w:pPr>
      <w:r>
        <w:t xml:space="preserve">   overlay=fan) 5</w:t>
      </w:r>
    </w:p>
    <w:p w14:paraId="4C524F8E" w14:textId="77777777" w:rsidR="00BC069B" w:rsidRDefault="00BC069B" w:rsidP="00BC069B">
      <w:pPr>
        <w:pStyle w:val="NoSpacing"/>
      </w:pPr>
      <w:r>
        <w:t xml:space="preserve">#LRSXFS </w:t>
      </w:r>
      <w:proofErr w:type="spellStart"/>
      <w:r>
        <w:t>startdate</w:t>
      </w:r>
      <w:proofErr w:type="spellEnd"/>
      <w:r>
        <w:t xml:space="preserve"> </w:t>
      </w:r>
      <w:proofErr w:type="spellStart"/>
      <w:r>
        <w:t>foreend</w:t>
      </w:r>
      <w:proofErr w:type="spellEnd"/>
    </w:p>
    <w:p w14:paraId="0CC2EB22" w14:textId="77777777" w:rsidR="00BC069B" w:rsidRDefault="00BC069B" w:rsidP="00BC069B">
      <w:pPr>
        <w:pStyle w:val="NoSpacing"/>
      </w:pPr>
      <w:r>
        <w:t xml:space="preserve">#fitted1 </w:t>
      </w:r>
      <w:proofErr w:type="spellStart"/>
      <w:r>
        <w:t>startdate</w:t>
      </w:r>
      <w:proofErr w:type="spellEnd"/>
      <w:r>
        <w:t xml:space="preserve"> </w:t>
      </w:r>
      <w:proofErr w:type="spellStart"/>
      <w:r>
        <w:t>enddate</w:t>
      </w:r>
      <w:proofErr w:type="spellEnd"/>
    </w:p>
    <w:p w14:paraId="2CC32F8D" w14:textId="77777777" w:rsidR="00BC069B" w:rsidRDefault="00BC069B" w:rsidP="00BC069B">
      <w:pPr>
        <w:pStyle w:val="NoSpacing"/>
      </w:pPr>
      <w:r>
        <w:t>#fore1 * * 3</w:t>
      </w:r>
    </w:p>
    <w:p w14:paraId="5703F08A" w14:textId="77777777" w:rsidR="00BC069B" w:rsidRDefault="00BC069B" w:rsidP="00BC069B">
      <w:pPr>
        <w:pStyle w:val="NoSpacing"/>
      </w:pPr>
      <w:r>
        <w:t>#upper1 * * 4</w:t>
      </w:r>
    </w:p>
    <w:p w14:paraId="4D2FC070" w14:textId="77777777" w:rsidR="00BC069B" w:rsidRDefault="00BC069B" w:rsidP="00BC069B">
      <w:pPr>
        <w:pStyle w:val="NoSpacing"/>
      </w:pPr>
      <w:r>
        <w:t>#lower1 * * 4</w:t>
      </w:r>
    </w:p>
    <w:p w14:paraId="3BF66E84" w14:textId="77777777" w:rsidR="00BC069B" w:rsidRDefault="00BC069B" w:rsidP="00BC069B">
      <w:pPr>
        <w:pStyle w:val="NoSpacing"/>
      </w:pPr>
    </w:p>
    <w:p w14:paraId="77FA9205" w14:textId="77777777" w:rsidR="00BC069B" w:rsidRDefault="00BC069B" w:rsidP="00BC069B">
      <w:pPr>
        <w:pStyle w:val="NoSpacing"/>
      </w:pPr>
      <w:r>
        <w:lastRenderedPageBreak/>
        <w:t>*********************************************************************************************</w:t>
      </w:r>
    </w:p>
    <w:p w14:paraId="62C0C260" w14:textId="77777777" w:rsidR="00BC069B" w:rsidRDefault="00BC069B" w:rsidP="00BC069B">
      <w:pPr>
        <w:pStyle w:val="NoSpacing"/>
      </w:pPr>
      <w:r>
        <w:t xml:space="preserve">*** Now, </w:t>
      </w:r>
      <w:proofErr w:type="spellStart"/>
      <w:r>
        <w:t>Lets</w:t>
      </w:r>
      <w:proofErr w:type="spellEnd"/>
      <w:r>
        <w:t xml:space="preserve"> Test the Series for a unit root ***</w:t>
      </w:r>
    </w:p>
    <w:p w14:paraId="17EDC0C2" w14:textId="77777777" w:rsidR="00BC069B" w:rsidRDefault="00BC069B" w:rsidP="00BC069B">
      <w:pPr>
        <w:pStyle w:val="NoSpacing"/>
      </w:pPr>
      <w:r>
        <w:t>@</w:t>
      </w:r>
      <w:proofErr w:type="spellStart"/>
      <w:r>
        <w:t>dfunit</w:t>
      </w:r>
      <w:proofErr w:type="spellEnd"/>
      <w:r>
        <w:t>(det=</w:t>
      </w:r>
      <w:proofErr w:type="spellStart"/>
      <w:r>
        <w:t>trend,method</w:t>
      </w:r>
      <w:proofErr w:type="spellEnd"/>
      <w:r>
        <w:t>=</w:t>
      </w:r>
      <w:proofErr w:type="spellStart"/>
      <w:r>
        <w:t>aic</w:t>
      </w:r>
      <w:proofErr w:type="spellEnd"/>
      <w:r>
        <w:t xml:space="preserve">) LRSXFS </w:t>
      </w:r>
      <w:proofErr w:type="spellStart"/>
      <w:r>
        <w:t>startdate</w:t>
      </w:r>
      <w:proofErr w:type="spellEnd"/>
      <w:r>
        <w:t xml:space="preserve"> </w:t>
      </w:r>
      <w:proofErr w:type="spellStart"/>
      <w:r>
        <w:t>enddate</w:t>
      </w:r>
      <w:proofErr w:type="spellEnd"/>
    </w:p>
    <w:p w14:paraId="17088AD3" w14:textId="77777777" w:rsidR="00BC069B" w:rsidRDefault="00BC069B" w:rsidP="00BC069B">
      <w:pPr>
        <w:pStyle w:val="NoSpacing"/>
      </w:pPr>
      <w:r>
        <w:t>*Fail to reject the Null. There is sufficient evidence for us to suspect a Unit Root*</w:t>
      </w:r>
    </w:p>
    <w:p w14:paraId="3DC28AE8" w14:textId="77777777" w:rsidR="00BC069B" w:rsidRDefault="00BC069B" w:rsidP="00BC069B">
      <w:pPr>
        <w:pStyle w:val="NoSpacing"/>
      </w:pPr>
      <w:r>
        <w:t>@</w:t>
      </w:r>
      <w:proofErr w:type="spellStart"/>
      <w:r>
        <w:t>dfunit</w:t>
      </w:r>
      <w:proofErr w:type="spellEnd"/>
      <w:r>
        <w:t>(det=</w:t>
      </w:r>
      <w:proofErr w:type="spellStart"/>
      <w:r>
        <w:t>trend,method</w:t>
      </w:r>
      <w:proofErr w:type="spellEnd"/>
      <w:r>
        <w:t>=</w:t>
      </w:r>
      <w:proofErr w:type="spellStart"/>
      <w:r>
        <w:t>aic</w:t>
      </w:r>
      <w:proofErr w:type="spellEnd"/>
      <w:r>
        <w:t xml:space="preserve">) LDRSXFS </w:t>
      </w:r>
      <w:proofErr w:type="spellStart"/>
      <w:r>
        <w:t>startdate</w:t>
      </w:r>
      <w:proofErr w:type="spellEnd"/>
      <w:r>
        <w:t xml:space="preserve"> </w:t>
      </w:r>
      <w:proofErr w:type="spellStart"/>
      <w:r>
        <w:t>enddate</w:t>
      </w:r>
      <w:proofErr w:type="spellEnd"/>
    </w:p>
    <w:p w14:paraId="6B57C058" w14:textId="77777777" w:rsidR="00BC069B" w:rsidRDefault="00BC069B" w:rsidP="00BC069B">
      <w:pPr>
        <w:pStyle w:val="NoSpacing"/>
      </w:pPr>
    </w:p>
    <w:p w14:paraId="207AD68C" w14:textId="77777777" w:rsidR="00BC069B" w:rsidRDefault="00BC069B" w:rsidP="00BC069B">
      <w:pPr>
        <w:pStyle w:val="NoSpacing"/>
      </w:pPr>
      <w:r>
        <w:t>graph 1</w:t>
      </w:r>
    </w:p>
    <w:p w14:paraId="238585F6" w14:textId="77777777" w:rsidR="00BC069B" w:rsidRDefault="00BC069B" w:rsidP="00BC069B">
      <w:pPr>
        <w:pStyle w:val="NoSpacing"/>
      </w:pPr>
      <w:r>
        <w:t>#LDRSXFS * *</w:t>
      </w:r>
    </w:p>
    <w:p w14:paraId="547104AF" w14:textId="77777777" w:rsidR="00BC069B" w:rsidRDefault="00BC069B" w:rsidP="00BC069B">
      <w:pPr>
        <w:pStyle w:val="NoSpacing"/>
      </w:pPr>
    </w:p>
    <w:p w14:paraId="0ECD9102" w14:textId="77777777" w:rsidR="00BC069B" w:rsidRDefault="00BC069B" w:rsidP="00BC069B">
      <w:pPr>
        <w:pStyle w:val="NoSpacing"/>
      </w:pPr>
      <w:r>
        <w:t xml:space="preserve">***Now, </w:t>
      </w:r>
      <w:proofErr w:type="spellStart"/>
      <w:r>
        <w:t>lets</w:t>
      </w:r>
      <w:proofErr w:type="spellEnd"/>
      <w:r>
        <w:t xml:space="preserve"> try to forecast the first difference model ***</w:t>
      </w:r>
    </w:p>
    <w:p w14:paraId="7F40AE9F" w14:textId="77777777" w:rsidR="00BC069B" w:rsidRDefault="00BC069B" w:rsidP="00BC069B">
      <w:pPr>
        <w:pStyle w:val="NoSpacing"/>
      </w:pPr>
      <w:r>
        <w:t>** ARIMA Model **</w:t>
      </w:r>
    </w:p>
    <w:p w14:paraId="6F78131A" w14:textId="77777777" w:rsidR="00BC069B" w:rsidRDefault="00BC069B" w:rsidP="00BC069B">
      <w:pPr>
        <w:pStyle w:val="NoSpacing"/>
      </w:pPr>
      <w:r>
        <w:t>@</w:t>
      </w:r>
      <w:proofErr w:type="spellStart"/>
      <w:r>
        <w:t>bjautofit</w:t>
      </w:r>
      <w:proofErr w:type="spellEnd"/>
      <w:r>
        <w:t>(</w:t>
      </w:r>
      <w:proofErr w:type="spellStart"/>
      <w:r>
        <w:t>pmax</w:t>
      </w:r>
      <w:proofErr w:type="spellEnd"/>
      <w:r>
        <w:t xml:space="preserve">=10, </w:t>
      </w:r>
      <w:proofErr w:type="spellStart"/>
      <w:r>
        <w:t>qmax</w:t>
      </w:r>
      <w:proofErr w:type="spellEnd"/>
      <w:r>
        <w:t xml:space="preserve">=10) LDRSXFS </w:t>
      </w:r>
      <w:proofErr w:type="spellStart"/>
      <w:r>
        <w:t>startdate</w:t>
      </w:r>
      <w:proofErr w:type="spellEnd"/>
      <w:r>
        <w:t xml:space="preserve"> </w:t>
      </w:r>
      <w:proofErr w:type="spellStart"/>
      <w:r>
        <w:t>enddate</w:t>
      </w:r>
      <w:proofErr w:type="spellEnd"/>
    </w:p>
    <w:p w14:paraId="6C81CAB2" w14:textId="77777777" w:rsidR="00BC069B" w:rsidRDefault="00BC069B" w:rsidP="00BC069B">
      <w:pPr>
        <w:pStyle w:val="NoSpacing"/>
      </w:pPr>
    </w:p>
    <w:p w14:paraId="4A4A116A" w14:textId="77777777" w:rsidR="00BC069B" w:rsidRDefault="00BC069B" w:rsidP="00BC069B">
      <w:pPr>
        <w:pStyle w:val="NoSpacing"/>
      </w:pPr>
      <w:r>
        <w:t>* Trial 1: (1,1,1)</w:t>
      </w:r>
    </w:p>
    <w:p w14:paraId="168AE800" w14:textId="77777777" w:rsidR="00BC069B" w:rsidRDefault="00BC069B" w:rsidP="00BC069B">
      <w:pPr>
        <w:pStyle w:val="NoSpacing"/>
      </w:pPr>
      <w:proofErr w:type="spellStart"/>
      <w:r>
        <w:t>boxjenk</w:t>
      </w:r>
      <w:proofErr w:type="spellEnd"/>
      <w:r>
        <w:t>(</w:t>
      </w:r>
      <w:proofErr w:type="spellStart"/>
      <w:r>
        <w:t>constant,ar</w:t>
      </w:r>
      <w:proofErr w:type="spellEnd"/>
      <w:r>
        <w:t xml:space="preserve">=1,ma=1,diffs=1,define=arima1) LRSXFS </w:t>
      </w:r>
      <w:proofErr w:type="spellStart"/>
      <w:r>
        <w:t>startdate</w:t>
      </w:r>
      <w:proofErr w:type="spellEnd"/>
      <w:r>
        <w:t xml:space="preserve"> </w:t>
      </w:r>
      <w:proofErr w:type="spellStart"/>
      <w:r>
        <w:t>enddate</w:t>
      </w:r>
      <w:proofErr w:type="spellEnd"/>
      <w:r>
        <w:t xml:space="preserve"> resids2</w:t>
      </w:r>
    </w:p>
    <w:p w14:paraId="69F30F54" w14:textId="77777777" w:rsidR="00BC069B" w:rsidRDefault="00BC069B" w:rsidP="00BC069B">
      <w:pPr>
        <w:pStyle w:val="NoSpacing"/>
      </w:pPr>
      <w:r>
        <w:t>@</w:t>
      </w:r>
      <w:proofErr w:type="spellStart"/>
      <w:r>
        <w:t>armaroots</w:t>
      </w:r>
      <w:proofErr w:type="spellEnd"/>
      <w:r>
        <w:t>(equation=arima1) LRSXFS</w:t>
      </w:r>
    </w:p>
    <w:p w14:paraId="2CA006B9" w14:textId="77777777" w:rsidR="00BC069B" w:rsidRDefault="00BC069B" w:rsidP="00BC069B">
      <w:pPr>
        <w:pStyle w:val="NoSpacing"/>
      </w:pPr>
      <w:r>
        <w:t>@</w:t>
      </w:r>
      <w:proofErr w:type="spellStart"/>
      <w:r>
        <w:t>autocorr</w:t>
      </w:r>
      <w:proofErr w:type="spellEnd"/>
      <w:r>
        <w:t xml:space="preserve">(header="Retail Sales, Log difference, ARIMA Model 1,1,1(residuals)") resids2 </w:t>
      </w:r>
      <w:proofErr w:type="spellStart"/>
      <w:r>
        <w:t>startdate</w:t>
      </w:r>
      <w:proofErr w:type="spellEnd"/>
      <w:r>
        <w:t xml:space="preserve"> </w:t>
      </w:r>
      <w:proofErr w:type="spellStart"/>
      <w:r>
        <w:t>enddate</w:t>
      </w:r>
      <w:proofErr w:type="spellEnd"/>
    </w:p>
    <w:p w14:paraId="122EAEB1" w14:textId="77777777" w:rsidR="00BC069B" w:rsidRDefault="00BC069B" w:rsidP="00BC069B">
      <w:pPr>
        <w:pStyle w:val="NoSpacing"/>
      </w:pPr>
    </w:p>
    <w:p w14:paraId="23F07AB8" w14:textId="77777777" w:rsidR="00BC069B" w:rsidRDefault="00BC069B" w:rsidP="00BC069B">
      <w:pPr>
        <w:pStyle w:val="NoSpacing"/>
      </w:pPr>
      <w:r>
        <w:t>uforecast(equation=arima1,nostatic,stderrs=Lerror2,from=enddate+1,to=foreend) Lfore2</w:t>
      </w:r>
    </w:p>
    <w:p w14:paraId="5BA0A415" w14:textId="77777777" w:rsidR="00BC069B" w:rsidRDefault="00BC069B" w:rsidP="00BC069B">
      <w:pPr>
        <w:pStyle w:val="NoSpacing"/>
      </w:pPr>
      <w:r>
        <w:t xml:space="preserve">set Lupper2 enddate+1 </w:t>
      </w:r>
      <w:proofErr w:type="spellStart"/>
      <w:r>
        <w:t>foreend</w:t>
      </w:r>
      <w:proofErr w:type="spellEnd"/>
      <w:r>
        <w:t xml:space="preserve"> = Lfore2+1.96*Lerror2</w:t>
      </w:r>
    </w:p>
    <w:p w14:paraId="3CC39F28" w14:textId="77777777" w:rsidR="00BC069B" w:rsidRDefault="00BC069B" w:rsidP="00BC069B">
      <w:pPr>
        <w:pStyle w:val="NoSpacing"/>
      </w:pPr>
      <w:r>
        <w:t xml:space="preserve">set Llower2 enddate+1 </w:t>
      </w:r>
      <w:proofErr w:type="spellStart"/>
      <w:r>
        <w:t>foreend</w:t>
      </w:r>
      <w:proofErr w:type="spellEnd"/>
      <w:r>
        <w:t xml:space="preserve"> = Lfore2-1.96*Lerror2</w:t>
      </w:r>
    </w:p>
    <w:p w14:paraId="37BDA017" w14:textId="77777777" w:rsidR="00BC069B" w:rsidRDefault="00BC069B" w:rsidP="00BC069B">
      <w:pPr>
        <w:pStyle w:val="NoSpacing"/>
      </w:pPr>
    </w:p>
    <w:p w14:paraId="00B3750A" w14:textId="77777777" w:rsidR="00BC069B" w:rsidRDefault="00BC069B" w:rsidP="00BC069B">
      <w:pPr>
        <w:pStyle w:val="NoSpacing"/>
      </w:pPr>
      <w:r>
        <w:t>set fore2 = exp(Lfore2)</w:t>
      </w:r>
    </w:p>
    <w:p w14:paraId="7F9DBC92" w14:textId="77777777" w:rsidR="00BC069B" w:rsidRDefault="00BC069B" w:rsidP="00BC069B">
      <w:pPr>
        <w:pStyle w:val="NoSpacing"/>
      </w:pPr>
      <w:r>
        <w:t>set upper2 = exp(Lupper2)</w:t>
      </w:r>
    </w:p>
    <w:p w14:paraId="6158393B" w14:textId="77777777" w:rsidR="00BC069B" w:rsidRDefault="00BC069B" w:rsidP="00BC069B">
      <w:pPr>
        <w:pStyle w:val="NoSpacing"/>
      </w:pPr>
      <w:r>
        <w:t>set lower2 = exp(Llower2)</w:t>
      </w:r>
    </w:p>
    <w:p w14:paraId="10986C1F" w14:textId="77777777" w:rsidR="00BC069B" w:rsidRDefault="00BC069B" w:rsidP="00BC069B">
      <w:pPr>
        <w:pStyle w:val="NoSpacing"/>
      </w:pPr>
      <w:r>
        <w:t>set error2 = exp(Lerror2)</w:t>
      </w:r>
    </w:p>
    <w:p w14:paraId="42789304" w14:textId="77777777" w:rsidR="00BC069B" w:rsidRDefault="00BC069B" w:rsidP="00BC069B">
      <w:pPr>
        <w:pStyle w:val="NoSpacing"/>
      </w:pPr>
    </w:p>
    <w:p w14:paraId="26ACCB4F" w14:textId="77777777" w:rsidR="00BC069B" w:rsidRDefault="00BC069B" w:rsidP="00BC069B">
      <w:pPr>
        <w:pStyle w:val="NoSpacing"/>
      </w:pPr>
      <w:r>
        <w:t>graph(style=</w:t>
      </w:r>
      <w:proofErr w:type="spellStart"/>
      <w:r>
        <w:t>line,vlabel</w:t>
      </w:r>
      <w:proofErr w:type="spellEnd"/>
      <w:r>
        <w:t>="Sales, Millions of USD", header="US Retail Sales, Level Forecast",</w:t>
      </w:r>
      <w:proofErr w:type="spellStart"/>
      <w:r>
        <w:t>ovcount</w:t>
      </w:r>
      <w:proofErr w:type="spellEnd"/>
      <w:r>
        <w:t>=2,ovsame, $</w:t>
      </w:r>
    </w:p>
    <w:p w14:paraId="4E005AC8" w14:textId="77777777" w:rsidR="00BC069B" w:rsidRDefault="00BC069B" w:rsidP="00BC069B">
      <w:pPr>
        <w:pStyle w:val="NoSpacing"/>
      </w:pPr>
      <w:r>
        <w:t xml:space="preserve">   overlay=fan, </w:t>
      </w:r>
      <w:proofErr w:type="spellStart"/>
      <w:r>
        <w:t>subheader</w:t>
      </w:r>
      <w:proofErr w:type="spellEnd"/>
      <w:r>
        <w:t>="ARIMA(1,1,1)") 4</w:t>
      </w:r>
    </w:p>
    <w:p w14:paraId="7EA796A0" w14:textId="77777777" w:rsidR="00BC069B" w:rsidRDefault="00BC069B" w:rsidP="00BC069B">
      <w:pPr>
        <w:pStyle w:val="NoSpacing"/>
      </w:pPr>
      <w:r>
        <w:t xml:space="preserve"># RSXFS </w:t>
      </w:r>
      <w:proofErr w:type="spellStart"/>
      <w:r>
        <w:t>startdate</w:t>
      </w:r>
      <w:proofErr w:type="spellEnd"/>
      <w:r>
        <w:t xml:space="preserve"> </w:t>
      </w:r>
      <w:proofErr w:type="spellStart"/>
      <w:r>
        <w:t>foreend</w:t>
      </w:r>
      <w:proofErr w:type="spellEnd"/>
    </w:p>
    <w:p w14:paraId="7E4A6E82" w14:textId="77777777" w:rsidR="00BC069B" w:rsidRDefault="00BC069B" w:rsidP="00BC069B">
      <w:pPr>
        <w:pStyle w:val="NoSpacing"/>
      </w:pPr>
      <w:r>
        <w:t xml:space="preserve"># fore2 enddate+1 </w:t>
      </w:r>
      <w:proofErr w:type="spellStart"/>
      <w:r>
        <w:t>foreend</w:t>
      </w:r>
      <w:proofErr w:type="spellEnd"/>
      <w:r>
        <w:t xml:space="preserve"> 2</w:t>
      </w:r>
    </w:p>
    <w:p w14:paraId="087E7122" w14:textId="77777777" w:rsidR="00BC069B" w:rsidRDefault="00BC069B" w:rsidP="00BC069B">
      <w:pPr>
        <w:pStyle w:val="NoSpacing"/>
      </w:pPr>
      <w:r>
        <w:t xml:space="preserve"># upper2 enddate+1 </w:t>
      </w:r>
      <w:proofErr w:type="spellStart"/>
      <w:r>
        <w:t>foreend</w:t>
      </w:r>
      <w:proofErr w:type="spellEnd"/>
      <w:r>
        <w:t xml:space="preserve"> 3</w:t>
      </w:r>
    </w:p>
    <w:p w14:paraId="75C6DB39" w14:textId="77777777" w:rsidR="00BC069B" w:rsidRDefault="00BC069B" w:rsidP="00BC069B">
      <w:pPr>
        <w:pStyle w:val="NoSpacing"/>
      </w:pPr>
      <w:r>
        <w:t xml:space="preserve"># lower2 enddate+1 </w:t>
      </w:r>
      <w:proofErr w:type="spellStart"/>
      <w:r>
        <w:t>foreend</w:t>
      </w:r>
      <w:proofErr w:type="spellEnd"/>
      <w:r>
        <w:t xml:space="preserve"> 3</w:t>
      </w:r>
    </w:p>
    <w:p w14:paraId="68D50A8C" w14:textId="77777777" w:rsidR="00BC069B" w:rsidRDefault="00BC069B" w:rsidP="00BC069B">
      <w:pPr>
        <w:pStyle w:val="NoSpacing"/>
      </w:pPr>
    </w:p>
    <w:p w14:paraId="50028BFA" w14:textId="77777777" w:rsidR="00BC069B" w:rsidRDefault="00BC069B" w:rsidP="00BC069B">
      <w:pPr>
        <w:pStyle w:val="NoSpacing"/>
      </w:pPr>
      <w:r>
        <w:t>*********************************************************************************************</w:t>
      </w:r>
    </w:p>
    <w:p w14:paraId="0CC0DDF9" w14:textId="77777777" w:rsidR="00BC069B" w:rsidRDefault="00BC069B" w:rsidP="00BC069B">
      <w:pPr>
        <w:pStyle w:val="NoSpacing"/>
      </w:pPr>
      <w:r>
        <w:t>*** Forecast evaluation ***</w:t>
      </w:r>
    </w:p>
    <w:p w14:paraId="5E105F5D" w14:textId="77777777" w:rsidR="00BC069B" w:rsidRDefault="00BC069B" w:rsidP="00BC069B">
      <w:pPr>
        <w:pStyle w:val="NoSpacing"/>
      </w:pPr>
      <w:r>
        <w:t>*Theil U: Squared mean errors/Squared mean errors (no change forecast [last periods value=this periods forecast])</w:t>
      </w:r>
    </w:p>
    <w:p w14:paraId="35275EAF" w14:textId="77777777" w:rsidR="00BC069B" w:rsidRDefault="00BC069B" w:rsidP="00BC069B">
      <w:pPr>
        <w:pStyle w:val="NoSpacing"/>
      </w:pPr>
    </w:p>
    <w:p w14:paraId="426828A1" w14:textId="77777777" w:rsidR="00BC069B" w:rsidRDefault="00BC069B" w:rsidP="00BC069B">
      <w:pPr>
        <w:pStyle w:val="NoSpacing"/>
      </w:pPr>
      <w:r>
        <w:t>** Trend Evaluation **</w:t>
      </w:r>
    </w:p>
    <w:p w14:paraId="30EB8626" w14:textId="77777777" w:rsidR="00BC069B" w:rsidRDefault="00BC069B" w:rsidP="00BC069B">
      <w:pPr>
        <w:pStyle w:val="NoSpacing"/>
      </w:pPr>
      <w:proofErr w:type="spellStart"/>
      <w:r>
        <w:t>linreg</w:t>
      </w:r>
      <w:proofErr w:type="spellEnd"/>
      <w:r>
        <w:t>(define=</w:t>
      </w:r>
      <w:proofErr w:type="spellStart"/>
      <w:r>
        <w:t>trnd</w:t>
      </w:r>
      <w:proofErr w:type="spellEnd"/>
      <w:r>
        <w:t xml:space="preserve">) LRSXFS </w:t>
      </w:r>
      <w:proofErr w:type="spellStart"/>
      <w:r>
        <w:t>startdate</w:t>
      </w:r>
      <w:proofErr w:type="spellEnd"/>
      <w:r>
        <w:t xml:space="preserve"> </w:t>
      </w:r>
      <w:proofErr w:type="spellStart"/>
      <w:r>
        <w:t>enddate</w:t>
      </w:r>
      <w:proofErr w:type="spellEnd"/>
      <w:r>
        <w:t xml:space="preserve"> resids1</w:t>
      </w:r>
    </w:p>
    <w:p w14:paraId="56863B97" w14:textId="77777777" w:rsidR="00BC069B" w:rsidRDefault="00BC069B" w:rsidP="00BC069B">
      <w:pPr>
        <w:pStyle w:val="NoSpacing"/>
      </w:pPr>
      <w:r>
        <w:t># constant trend</w:t>
      </w:r>
    </w:p>
    <w:p w14:paraId="76A8FD3F" w14:textId="77777777" w:rsidR="00BC069B" w:rsidRDefault="00BC069B" w:rsidP="00BC069B">
      <w:pPr>
        <w:pStyle w:val="NoSpacing"/>
      </w:pPr>
      <w:proofErr w:type="spellStart"/>
      <w:r>
        <w:t>theil</w:t>
      </w:r>
      <w:proofErr w:type="spellEnd"/>
      <w:r>
        <w:t>(</w:t>
      </w:r>
      <w:proofErr w:type="spellStart"/>
      <w:r>
        <w:t>setup,steps</w:t>
      </w:r>
      <w:proofErr w:type="spellEnd"/>
      <w:r>
        <w:t>=24,to=</w:t>
      </w:r>
      <w:proofErr w:type="spellStart"/>
      <w:r>
        <w:t>foreend</w:t>
      </w:r>
      <w:proofErr w:type="spellEnd"/>
      <w:r>
        <w:t>)</w:t>
      </w:r>
    </w:p>
    <w:p w14:paraId="4C086195" w14:textId="77777777" w:rsidR="00BC069B" w:rsidRDefault="00BC069B" w:rsidP="00BC069B">
      <w:pPr>
        <w:pStyle w:val="NoSpacing"/>
      </w:pPr>
      <w:r>
        <w:t>#</w:t>
      </w:r>
      <w:proofErr w:type="spellStart"/>
      <w:r>
        <w:t>trnd</w:t>
      </w:r>
      <w:proofErr w:type="spellEnd"/>
    </w:p>
    <w:p w14:paraId="7894692B" w14:textId="77777777" w:rsidR="00BC069B" w:rsidRDefault="00BC069B" w:rsidP="00BC069B">
      <w:pPr>
        <w:pStyle w:val="NoSpacing"/>
      </w:pPr>
      <w:r>
        <w:lastRenderedPageBreak/>
        <w:t xml:space="preserve">do j = enddate+1, </w:t>
      </w:r>
      <w:proofErr w:type="spellStart"/>
      <w:r>
        <w:t>foreend</w:t>
      </w:r>
      <w:proofErr w:type="spellEnd"/>
    </w:p>
    <w:p w14:paraId="709380DE" w14:textId="77777777" w:rsidR="00BC069B" w:rsidRDefault="00BC069B" w:rsidP="00BC069B">
      <w:pPr>
        <w:pStyle w:val="NoSpacing"/>
      </w:pPr>
      <w:r>
        <w:t xml:space="preserve">  compute counter = counter+1</w:t>
      </w:r>
    </w:p>
    <w:p w14:paraId="65C3B45D" w14:textId="77777777" w:rsidR="00BC069B" w:rsidRDefault="00BC069B" w:rsidP="00BC069B">
      <w:pPr>
        <w:pStyle w:val="NoSpacing"/>
      </w:pPr>
      <w:r>
        <w:tab/>
      </w:r>
      <w:proofErr w:type="spellStart"/>
      <w:r>
        <w:t>theil</w:t>
      </w:r>
      <w:proofErr w:type="spellEnd"/>
      <w:r>
        <w:t>(</w:t>
      </w:r>
      <w:proofErr w:type="spellStart"/>
      <w:r>
        <w:t>noprint</w:t>
      </w:r>
      <w:proofErr w:type="spellEnd"/>
      <w:r>
        <w:t>) j</w:t>
      </w:r>
    </w:p>
    <w:p w14:paraId="1FEB4D65" w14:textId="77777777" w:rsidR="00BC069B" w:rsidRDefault="00BC069B" w:rsidP="00BC069B">
      <w:pPr>
        <w:pStyle w:val="NoSpacing"/>
      </w:pPr>
      <w:r>
        <w:tab/>
      </w:r>
      <w:proofErr w:type="spellStart"/>
      <w:r>
        <w:t>linreg</w:t>
      </w:r>
      <w:proofErr w:type="spellEnd"/>
      <w:r>
        <w:t>(</w:t>
      </w:r>
      <w:proofErr w:type="spellStart"/>
      <w:r>
        <w:t>noprint,define</w:t>
      </w:r>
      <w:proofErr w:type="spellEnd"/>
      <w:r>
        <w:t>=</w:t>
      </w:r>
      <w:proofErr w:type="spellStart"/>
      <w:r>
        <w:t>trnd</w:t>
      </w:r>
      <w:proofErr w:type="spellEnd"/>
      <w:r>
        <w:t xml:space="preserve">) LRSXFS </w:t>
      </w:r>
      <w:proofErr w:type="spellStart"/>
      <w:r>
        <w:t>startdate</w:t>
      </w:r>
      <w:proofErr w:type="spellEnd"/>
      <w:r>
        <w:t xml:space="preserve"> j resids1</w:t>
      </w:r>
    </w:p>
    <w:p w14:paraId="2104EDF7" w14:textId="77777777" w:rsidR="00BC069B" w:rsidRDefault="00BC069B" w:rsidP="00BC069B">
      <w:pPr>
        <w:pStyle w:val="NoSpacing"/>
      </w:pPr>
      <w:r>
        <w:t># constant trend</w:t>
      </w:r>
    </w:p>
    <w:p w14:paraId="5529E124" w14:textId="77777777" w:rsidR="00BC069B" w:rsidRDefault="00BC069B" w:rsidP="00BC069B">
      <w:pPr>
        <w:pStyle w:val="NoSpacing"/>
      </w:pPr>
      <w:r>
        <w:t>end do j</w:t>
      </w:r>
    </w:p>
    <w:p w14:paraId="42AEF5B3" w14:textId="77777777" w:rsidR="00BC069B" w:rsidRDefault="00BC069B" w:rsidP="00BC069B">
      <w:pPr>
        <w:pStyle w:val="NoSpacing"/>
      </w:pPr>
      <w:proofErr w:type="spellStart"/>
      <w:r>
        <w:t>theil</w:t>
      </w:r>
      <w:proofErr w:type="spellEnd"/>
      <w:r>
        <w:t>(dump)</w:t>
      </w:r>
    </w:p>
    <w:p w14:paraId="4D14A2C7" w14:textId="77777777" w:rsidR="00BC069B" w:rsidRDefault="00BC069B" w:rsidP="00BC069B">
      <w:pPr>
        <w:pStyle w:val="NoSpacing"/>
      </w:pPr>
    </w:p>
    <w:p w14:paraId="2BB58276" w14:textId="77777777" w:rsidR="00BC069B" w:rsidRDefault="00BC069B" w:rsidP="00BC069B">
      <w:pPr>
        <w:pStyle w:val="NoSpacing"/>
      </w:pPr>
      <w:r>
        <w:t>** ARIMA (1,1,1) Evaluation **</w:t>
      </w:r>
    </w:p>
    <w:p w14:paraId="6D5ABE5C" w14:textId="77777777" w:rsidR="00BC069B" w:rsidRDefault="00BC069B" w:rsidP="00BC069B">
      <w:pPr>
        <w:pStyle w:val="NoSpacing"/>
      </w:pPr>
      <w:proofErr w:type="spellStart"/>
      <w:r>
        <w:t>boxjenk</w:t>
      </w:r>
      <w:proofErr w:type="spellEnd"/>
      <w:r>
        <w:t>(</w:t>
      </w:r>
      <w:proofErr w:type="spellStart"/>
      <w:r>
        <w:t>constant,ar</w:t>
      </w:r>
      <w:proofErr w:type="spellEnd"/>
      <w:r>
        <w:t xml:space="preserve">=1,ma=1,diffs=1,define=arima1) LRSXFS </w:t>
      </w:r>
      <w:proofErr w:type="spellStart"/>
      <w:r>
        <w:t>startdate</w:t>
      </w:r>
      <w:proofErr w:type="spellEnd"/>
      <w:r>
        <w:t xml:space="preserve"> </w:t>
      </w:r>
      <w:proofErr w:type="spellStart"/>
      <w:r>
        <w:t>enddate</w:t>
      </w:r>
      <w:proofErr w:type="spellEnd"/>
      <w:r>
        <w:t xml:space="preserve"> resids2</w:t>
      </w:r>
    </w:p>
    <w:p w14:paraId="4D45B2ED" w14:textId="77777777" w:rsidR="00BC069B" w:rsidRDefault="00BC069B" w:rsidP="00BC069B">
      <w:pPr>
        <w:pStyle w:val="NoSpacing"/>
      </w:pPr>
      <w:proofErr w:type="spellStart"/>
      <w:r>
        <w:t>theil</w:t>
      </w:r>
      <w:proofErr w:type="spellEnd"/>
      <w:r>
        <w:t>(</w:t>
      </w:r>
      <w:proofErr w:type="spellStart"/>
      <w:r>
        <w:t>setup,steps</w:t>
      </w:r>
      <w:proofErr w:type="spellEnd"/>
      <w:r>
        <w:t>=24,to=</w:t>
      </w:r>
      <w:proofErr w:type="spellStart"/>
      <w:r>
        <w:t>foreend</w:t>
      </w:r>
      <w:proofErr w:type="spellEnd"/>
      <w:r>
        <w:t>)</w:t>
      </w:r>
    </w:p>
    <w:p w14:paraId="05EE1055" w14:textId="77777777" w:rsidR="00BC069B" w:rsidRDefault="00BC069B" w:rsidP="00BC069B">
      <w:pPr>
        <w:pStyle w:val="NoSpacing"/>
      </w:pPr>
      <w:r>
        <w:t>#arima1</w:t>
      </w:r>
    </w:p>
    <w:p w14:paraId="18F54561" w14:textId="77777777" w:rsidR="00BC069B" w:rsidRDefault="00BC069B" w:rsidP="00BC069B">
      <w:pPr>
        <w:pStyle w:val="NoSpacing"/>
      </w:pPr>
      <w:r>
        <w:t xml:space="preserve">do j = enddate+1, </w:t>
      </w:r>
      <w:proofErr w:type="spellStart"/>
      <w:r>
        <w:t>foreend</w:t>
      </w:r>
      <w:proofErr w:type="spellEnd"/>
    </w:p>
    <w:p w14:paraId="14734C12" w14:textId="77777777" w:rsidR="00BC069B" w:rsidRDefault="00BC069B" w:rsidP="00BC069B">
      <w:pPr>
        <w:pStyle w:val="NoSpacing"/>
      </w:pPr>
      <w:r>
        <w:t xml:space="preserve">  compute counter = counter+1</w:t>
      </w:r>
    </w:p>
    <w:p w14:paraId="2639FA00" w14:textId="77777777" w:rsidR="00BC069B" w:rsidRDefault="00BC069B" w:rsidP="00BC069B">
      <w:pPr>
        <w:pStyle w:val="NoSpacing"/>
      </w:pPr>
      <w:r>
        <w:tab/>
      </w:r>
      <w:proofErr w:type="spellStart"/>
      <w:r>
        <w:t>theil</w:t>
      </w:r>
      <w:proofErr w:type="spellEnd"/>
      <w:r>
        <w:t>(</w:t>
      </w:r>
      <w:proofErr w:type="spellStart"/>
      <w:r>
        <w:t>noprint</w:t>
      </w:r>
      <w:proofErr w:type="spellEnd"/>
      <w:r>
        <w:t>) j</w:t>
      </w:r>
    </w:p>
    <w:p w14:paraId="193892F7" w14:textId="77777777" w:rsidR="00BC069B" w:rsidRDefault="00BC069B" w:rsidP="00BC069B">
      <w:pPr>
        <w:pStyle w:val="NoSpacing"/>
      </w:pPr>
      <w:r>
        <w:tab/>
      </w:r>
      <w:proofErr w:type="spellStart"/>
      <w:r>
        <w:t>boxjenk</w:t>
      </w:r>
      <w:proofErr w:type="spellEnd"/>
      <w:r>
        <w:t>(</w:t>
      </w:r>
      <w:proofErr w:type="spellStart"/>
      <w:r>
        <w:t>noprint,constant,ar</w:t>
      </w:r>
      <w:proofErr w:type="spellEnd"/>
      <w:r>
        <w:t xml:space="preserve">=1,ma=1,diffs=1,define=arima1) LRSXFS </w:t>
      </w:r>
      <w:proofErr w:type="spellStart"/>
      <w:r>
        <w:t>startdate</w:t>
      </w:r>
      <w:proofErr w:type="spellEnd"/>
      <w:r>
        <w:t xml:space="preserve"> j resids2</w:t>
      </w:r>
    </w:p>
    <w:p w14:paraId="2A6AD3B7" w14:textId="77777777" w:rsidR="00BC069B" w:rsidRDefault="00BC069B" w:rsidP="00BC069B">
      <w:pPr>
        <w:pStyle w:val="NoSpacing"/>
      </w:pPr>
      <w:r>
        <w:t>end do j</w:t>
      </w:r>
    </w:p>
    <w:p w14:paraId="5F48DFFB" w14:textId="77777777" w:rsidR="00BC069B" w:rsidRDefault="00BC069B" w:rsidP="00BC069B">
      <w:pPr>
        <w:pStyle w:val="NoSpacing"/>
      </w:pPr>
      <w:proofErr w:type="spellStart"/>
      <w:r>
        <w:t>theil</w:t>
      </w:r>
      <w:proofErr w:type="spellEnd"/>
      <w:r>
        <w:t>(dump)</w:t>
      </w:r>
    </w:p>
    <w:p w14:paraId="09C58B7C" w14:textId="77777777" w:rsidR="00BC069B" w:rsidRDefault="00BC069B" w:rsidP="00BC069B">
      <w:pPr>
        <w:pStyle w:val="NoSpacing"/>
      </w:pPr>
    </w:p>
    <w:p w14:paraId="7A84CBB7" w14:textId="77777777" w:rsidR="00BC069B" w:rsidRDefault="00BC069B" w:rsidP="00BC069B">
      <w:pPr>
        <w:pStyle w:val="NoSpacing"/>
      </w:pPr>
      <w:r>
        <w:t>*********************************************************************************************</w:t>
      </w:r>
    </w:p>
    <w:p w14:paraId="53882A1C" w14:textId="77777777" w:rsidR="00BC069B" w:rsidRDefault="00BC069B" w:rsidP="00BC069B">
      <w:pPr>
        <w:pStyle w:val="NoSpacing"/>
      </w:pPr>
      <w:r>
        <w:t>*** Future Forecast ***</w:t>
      </w:r>
    </w:p>
    <w:p w14:paraId="29C44D1D" w14:textId="77777777" w:rsidR="00BC069B" w:rsidRDefault="00BC069B" w:rsidP="00BC069B">
      <w:pPr>
        <w:pStyle w:val="NoSpacing"/>
      </w:pPr>
      <w:r>
        <w:t>** ARIMA (1,1,1) Model **</w:t>
      </w:r>
    </w:p>
    <w:p w14:paraId="6ACF1C50" w14:textId="77777777" w:rsidR="00BC069B" w:rsidRDefault="00BC069B" w:rsidP="00BC069B">
      <w:pPr>
        <w:pStyle w:val="NoSpacing"/>
      </w:pPr>
      <w:proofErr w:type="spellStart"/>
      <w:r>
        <w:t>boxjenk</w:t>
      </w:r>
      <w:proofErr w:type="spellEnd"/>
      <w:r>
        <w:t>(</w:t>
      </w:r>
      <w:proofErr w:type="spellStart"/>
      <w:r>
        <w:t>constant,ar</w:t>
      </w:r>
      <w:proofErr w:type="spellEnd"/>
      <w:r>
        <w:t xml:space="preserve">=1,ma=1,diffs=1,define=arima1a) LRSXFS </w:t>
      </w:r>
      <w:proofErr w:type="spellStart"/>
      <w:r>
        <w:t>startdate</w:t>
      </w:r>
      <w:proofErr w:type="spellEnd"/>
      <w:r>
        <w:t xml:space="preserve"> </w:t>
      </w:r>
      <w:proofErr w:type="spellStart"/>
      <w:r>
        <w:t>foreend</w:t>
      </w:r>
      <w:proofErr w:type="spellEnd"/>
      <w:r>
        <w:t xml:space="preserve"> Lerror2</w:t>
      </w:r>
    </w:p>
    <w:p w14:paraId="267E0D8B" w14:textId="77777777" w:rsidR="00BC069B" w:rsidRDefault="00BC069B" w:rsidP="00BC069B">
      <w:pPr>
        <w:pStyle w:val="NoSpacing"/>
      </w:pPr>
    </w:p>
    <w:p w14:paraId="4CDA574D" w14:textId="77777777" w:rsidR="00BC069B" w:rsidRDefault="00BC069B" w:rsidP="00BC069B">
      <w:pPr>
        <w:pStyle w:val="NoSpacing"/>
      </w:pPr>
      <w:r>
        <w:t>uforecast(equation=arima1a,nostatic,stderrs=Lerror2,from=foreend+1,to=foreend2) Lfore3</w:t>
      </w:r>
    </w:p>
    <w:p w14:paraId="6F53FB96" w14:textId="77777777" w:rsidR="00BC069B" w:rsidRDefault="00BC069B" w:rsidP="00BC069B">
      <w:pPr>
        <w:pStyle w:val="NoSpacing"/>
      </w:pPr>
      <w:r>
        <w:t>set Lupper3 forestart2 foreend2 = Lfore3+1.96*(Lerror2)</w:t>
      </w:r>
    </w:p>
    <w:p w14:paraId="03E7A8CD" w14:textId="77777777" w:rsidR="00BC069B" w:rsidRDefault="00BC069B" w:rsidP="00BC069B">
      <w:pPr>
        <w:pStyle w:val="NoSpacing"/>
      </w:pPr>
      <w:r>
        <w:t>set Llower3 forestart2 foreend2 = Lfore3-1.96*(Lerror2)</w:t>
      </w:r>
    </w:p>
    <w:p w14:paraId="694364F6" w14:textId="77777777" w:rsidR="00BC069B" w:rsidRDefault="00BC069B" w:rsidP="00BC069B">
      <w:pPr>
        <w:pStyle w:val="NoSpacing"/>
      </w:pPr>
    </w:p>
    <w:p w14:paraId="59851CD0" w14:textId="77777777" w:rsidR="00BC069B" w:rsidRDefault="00BC069B" w:rsidP="00BC069B">
      <w:pPr>
        <w:pStyle w:val="NoSpacing"/>
      </w:pPr>
      <w:r>
        <w:t>set fore3 = exp(Lfore3)</w:t>
      </w:r>
    </w:p>
    <w:p w14:paraId="62AF4388" w14:textId="77777777" w:rsidR="00BC069B" w:rsidRDefault="00BC069B" w:rsidP="00BC069B">
      <w:pPr>
        <w:pStyle w:val="NoSpacing"/>
      </w:pPr>
      <w:r>
        <w:t>set upper3 = exp(Lupper3)</w:t>
      </w:r>
    </w:p>
    <w:p w14:paraId="78BEAECA" w14:textId="77777777" w:rsidR="00BC069B" w:rsidRDefault="00BC069B" w:rsidP="00BC069B">
      <w:pPr>
        <w:pStyle w:val="NoSpacing"/>
      </w:pPr>
      <w:r>
        <w:t>set lower3 = exp(Llower3)</w:t>
      </w:r>
    </w:p>
    <w:p w14:paraId="46447B49" w14:textId="77777777" w:rsidR="00BC069B" w:rsidRDefault="00BC069B" w:rsidP="00BC069B">
      <w:pPr>
        <w:pStyle w:val="NoSpacing"/>
      </w:pPr>
      <w:r>
        <w:t>set error3 = exp(Lerror3)</w:t>
      </w:r>
    </w:p>
    <w:p w14:paraId="4C3A7BC1" w14:textId="77777777" w:rsidR="00BC069B" w:rsidRDefault="00BC069B" w:rsidP="00BC069B">
      <w:pPr>
        <w:pStyle w:val="NoSpacing"/>
      </w:pPr>
    </w:p>
    <w:p w14:paraId="7AAA8BF4" w14:textId="77777777" w:rsidR="00BC069B" w:rsidRDefault="00BC069B" w:rsidP="00BC069B">
      <w:pPr>
        <w:pStyle w:val="NoSpacing"/>
      </w:pPr>
      <w:r>
        <w:t>graph(style=</w:t>
      </w:r>
      <w:proofErr w:type="spellStart"/>
      <w:r>
        <w:t>line,vlabel</w:t>
      </w:r>
      <w:proofErr w:type="spellEnd"/>
      <w:r>
        <w:t>="Log of Sales, Millions of USD", header="US Retail Sales, Log Level Forecast",</w:t>
      </w:r>
      <w:proofErr w:type="spellStart"/>
      <w:r>
        <w:t>ovcount</w:t>
      </w:r>
      <w:proofErr w:type="spellEnd"/>
      <w:r>
        <w:t>=2,ovsame, $</w:t>
      </w:r>
    </w:p>
    <w:p w14:paraId="7BC7FE9B" w14:textId="77777777" w:rsidR="00BC069B" w:rsidRDefault="00BC069B" w:rsidP="00BC069B">
      <w:pPr>
        <w:pStyle w:val="NoSpacing"/>
      </w:pPr>
      <w:r>
        <w:t xml:space="preserve">   overlay=fan, </w:t>
      </w:r>
      <w:proofErr w:type="spellStart"/>
      <w:r>
        <w:t>subheader</w:t>
      </w:r>
      <w:proofErr w:type="spellEnd"/>
      <w:r>
        <w:t>="ARIMA(1,1,1)") 4</w:t>
      </w:r>
    </w:p>
    <w:p w14:paraId="427F80F6" w14:textId="77777777" w:rsidR="00BC069B" w:rsidRDefault="00BC069B" w:rsidP="00BC069B">
      <w:pPr>
        <w:pStyle w:val="NoSpacing"/>
      </w:pPr>
      <w:r>
        <w:t xml:space="preserve"># LRSXFS </w:t>
      </w:r>
      <w:proofErr w:type="spellStart"/>
      <w:r>
        <w:t>startdate</w:t>
      </w:r>
      <w:proofErr w:type="spellEnd"/>
      <w:r>
        <w:t xml:space="preserve"> </w:t>
      </w:r>
      <w:proofErr w:type="spellStart"/>
      <w:r>
        <w:t>foreend</w:t>
      </w:r>
      <w:proofErr w:type="spellEnd"/>
    </w:p>
    <w:p w14:paraId="30833290" w14:textId="77777777" w:rsidR="00BC069B" w:rsidRDefault="00BC069B" w:rsidP="00BC069B">
      <w:pPr>
        <w:pStyle w:val="NoSpacing"/>
      </w:pPr>
      <w:r>
        <w:t># Lfore3 forestart2 foreend2 2</w:t>
      </w:r>
    </w:p>
    <w:p w14:paraId="343785F2" w14:textId="77777777" w:rsidR="00BC069B" w:rsidRDefault="00BC069B" w:rsidP="00BC069B">
      <w:pPr>
        <w:pStyle w:val="NoSpacing"/>
      </w:pPr>
      <w:r>
        <w:t># Lupper3 forestart2 foreend2 3</w:t>
      </w:r>
    </w:p>
    <w:p w14:paraId="511A6144" w14:textId="77777777" w:rsidR="00BC069B" w:rsidRDefault="00BC069B" w:rsidP="00BC069B">
      <w:pPr>
        <w:pStyle w:val="NoSpacing"/>
      </w:pPr>
      <w:r>
        <w:t># Llower3 forestart2 foreend2 3</w:t>
      </w:r>
    </w:p>
    <w:p w14:paraId="7C124B0F" w14:textId="77777777" w:rsidR="00BC069B" w:rsidRDefault="00BC069B" w:rsidP="00BC069B">
      <w:pPr>
        <w:pStyle w:val="NoSpacing"/>
      </w:pPr>
    </w:p>
    <w:p w14:paraId="64D68B16" w14:textId="77777777" w:rsidR="00BC069B" w:rsidRDefault="00BC069B" w:rsidP="00BC069B">
      <w:pPr>
        <w:pStyle w:val="NoSpacing"/>
      </w:pPr>
    </w:p>
    <w:p w14:paraId="15A2C8F3" w14:textId="77777777" w:rsidR="00BC069B" w:rsidRDefault="00BC069B" w:rsidP="00BC069B">
      <w:pPr>
        <w:pStyle w:val="NoSpacing"/>
      </w:pPr>
      <w:r>
        <w:t>graph(style=</w:t>
      </w:r>
      <w:proofErr w:type="spellStart"/>
      <w:r>
        <w:t>line,vlabel</w:t>
      </w:r>
      <w:proofErr w:type="spellEnd"/>
      <w:r>
        <w:t>="Sales, Millions of USD", header="US Retail Sales, Level Forecast",</w:t>
      </w:r>
      <w:proofErr w:type="spellStart"/>
      <w:r>
        <w:t>ovcount</w:t>
      </w:r>
      <w:proofErr w:type="spellEnd"/>
      <w:r>
        <w:t>=2,ovsame, $</w:t>
      </w:r>
    </w:p>
    <w:p w14:paraId="2103D2B8" w14:textId="77777777" w:rsidR="00BC069B" w:rsidRDefault="00BC069B" w:rsidP="00BC069B">
      <w:pPr>
        <w:pStyle w:val="NoSpacing"/>
      </w:pPr>
      <w:r>
        <w:t xml:space="preserve">   overlay=fan, </w:t>
      </w:r>
      <w:proofErr w:type="spellStart"/>
      <w:r>
        <w:t>subheader</w:t>
      </w:r>
      <w:proofErr w:type="spellEnd"/>
      <w:r>
        <w:t>="ARIMA(1,1,1)") 4</w:t>
      </w:r>
    </w:p>
    <w:p w14:paraId="2AB7986A" w14:textId="77777777" w:rsidR="00BC069B" w:rsidRDefault="00BC069B" w:rsidP="00BC069B">
      <w:pPr>
        <w:pStyle w:val="NoSpacing"/>
      </w:pPr>
      <w:r>
        <w:t xml:space="preserve"># RSXFS </w:t>
      </w:r>
      <w:proofErr w:type="spellStart"/>
      <w:r>
        <w:t>startdate</w:t>
      </w:r>
      <w:proofErr w:type="spellEnd"/>
      <w:r>
        <w:t xml:space="preserve"> </w:t>
      </w:r>
      <w:proofErr w:type="spellStart"/>
      <w:r>
        <w:t>foreend</w:t>
      </w:r>
      <w:proofErr w:type="spellEnd"/>
    </w:p>
    <w:p w14:paraId="605EDD7E" w14:textId="77777777" w:rsidR="00BC069B" w:rsidRDefault="00BC069B" w:rsidP="00BC069B">
      <w:pPr>
        <w:pStyle w:val="NoSpacing"/>
      </w:pPr>
      <w:r>
        <w:t># fore3 forestart2 foreend2 2</w:t>
      </w:r>
    </w:p>
    <w:p w14:paraId="32641373" w14:textId="77777777" w:rsidR="00BC069B" w:rsidRDefault="00BC069B" w:rsidP="00BC069B">
      <w:pPr>
        <w:pStyle w:val="NoSpacing"/>
      </w:pPr>
      <w:r>
        <w:lastRenderedPageBreak/>
        <w:t># upper3 forestart2 foreend2 3</w:t>
      </w:r>
    </w:p>
    <w:p w14:paraId="1E327104" w14:textId="444AF31A" w:rsidR="00A52062" w:rsidRDefault="00BC069B" w:rsidP="00BC069B">
      <w:pPr>
        <w:pStyle w:val="NoSpacing"/>
      </w:pPr>
      <w:r>
        <w:t># lower3 forestart2 foreend2 3</w:t>
      </w:r>
    </w:p>
    <w:sectPr w:rsidR="00A520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5677E" w14:textId="77777777" w:rsidR="00BA3472" w:rsidRDefault="00BA3472" w:rsidP="00D715ED">
      <w:pPr>
        <w:spacing w:after="0" w:line="240" w:lineRule="auto"/>
      </w:pPr>
      <w:r>
        <w:separator/>
      </w:r>
    </w:p>
  </w:endnote>
  <w:endnote w:type="continuationSeparator" w:id="0">
    <w:p w14:paraId="4A29C96C" w14:textId="77777777" w:rsidR="00BA3472" w:rsidRDefault="00BA3472" w:rsidP="00D7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3E8FA" w14:textId="77777777" w:rsidR="00BA3472" w:rsidRDefault="00BA3472" w:rsidP="00D715ED">
      <w:pPr>
        <w:spacing w:after="0" w:line="240" w:lineRule="auto"/>
      </w:pPr>
      <w:r>
        <w:separator/>
      </w:r>
    </w:p>
  </w:footnote>
  <w:footnote w:type="continuationSeparator" w:id="0">
    <w:p w14:paraId="774F17A2" w14:textId="77777777" w:rsidR="00BA3472" w:rsidRDefault="00BA3472" w:rsidP="00D715ED">
      <w:pPr>
        <w:spacing w:after="0" w:line="240" w:lineRule="auto"/>
      </w:pPr>
      <w:r>
        <w:continuationSeparator/>
      </w:r>
    </w:p>
  </w:footnote>
  <w:footnote w:id="1">
    <w:p w14:paraId="3CF12AA2" w14:textId="77777777" w:rsidR="00A423AD" w:rsidRDefault="00D715ED" w:rsidP="00A423AD">
      <w:pPr>
        <w:pStyle w:val="NormalWeb"/>
        <w:ind w:left="567" w:hanging="567"/>
      </w:pPr>
      <w:r>
        <w:rPr>
          <w:rStyle w:val="FootnoteReference"/>
        </w:rPr>
        <w:footnoteRef/>
      </w:r>
      <w:r>
        <w:t xml:space="preserve"> </w:t>
      </w:r>
      <w:r w:rsidR="00A423AD" w:rsidRPr="00A423AD">
        <w:rPr>
          <w:sz w:val="16"/>
          <w:szCs w:val="16"/>
        </w:rPr>
        <w:t xml:space="preserve">“How Is Online Shopping Affecting Retail Employment?” </w:t>
      </w:r>
      <w:r w:rsidR="00A423AD" w:rsidRPr="00A423AD">
        <w:rPr>
          <w:i/>
          <w:iCs/>
          <w:sz w:val="16"/>
          <w:szCs w:val="16"/>
        </w:rPr>
        <w:t>Liberty Street Economics</w:t>
      </w:r>
      <w:r w:rsidR="00A423AD" w:rsidRPr="00A423AD">
        <w:rPr>
          <w:sz w:val="16"/>
          <w:szCs w:val="16"/>
        </w:rPr>
        <w:t>, libertystreeteconomics.newyorkfed.org/2017/10/how-is-online-shopping-affecting-retail-employment.html.</w:t>
      </w:r>
    </w:p>
    <w:p w14:paraId="5390F239" w14:textId="0AFD63BE" w:rsidR="00D715ED" w:rsidRDefault="00D715ED">
      <w:pPr>
        <w:pStyle w:val="FootnoteText"/>
      </w:pPr>
    </w:p>
  </w:footnote>
  <w:footnote w:id="2">
    <w:p w14:paraId="3DBC4E1D" w14:textId="77777777" w:rsidR="00DA0947" w:rsidRPr="00DA0947" w:rsidRDefault="00A423AD" w:rsidP="00DA0947">
      <w:pPr>
        <w:pStyle w:val="NormalWeb"/>
        <w:ind w:left="567" w:hanging="567"/>
        <w:rPr>
          <w:sz w:val="16"/>
          <w:szCs w:val="16"/>
        </w:rPr>
      </w:pPr>
      <w:r>
        <w:rPr>
          <w:rStyle w:val="FootnoteReference"/>
        </w:rPr>
        <w:footnoteRef/>
      </w:r>
      <w:r>
        <w:t xml:space="preserve"> </w:t>
      </w:r>
      <w:r w:rsidR="00DA0947" w:rsidRPr="00DA0947">
        <w:rPr>
          <w:sz w:val="16"/>
          <w:szCs w:val="16"/>
        </w:rPr>
        <w:t xml:space="preserve">“How Is Online Shopping Affecting Retail Employment?” </w:t>
      </w:r>
      <w:r w:rsidR="00DA0947" w:rsidRPr="00DA0947">
        <w:rPr>
          <w:i/>
          <w:iCs/>
          <w:sz w:val="16"/>
          <w:szCs w:val="16"/>
        </w:rPr>
        <w:t>Liberty Street Economics</w:t>
      </w:r>
      <w:r w:rsidR="00DA0947" w:rsidRPr="00DA0947">
        <w:rPr>
          <w:sz w:val="16"/>
          <w:szCs w:val="16"/>
        </w:rPr>
        <w:t>, libertystreeteconomics.newyorkfed.org/2017/10/how-is-online-shopping-affecting-retail-employment.html.</w:t>
      </w:r>
    </w:p>
    <w:p w14:paraId="6815A30A" w14:textId="7C0D8393" w:rsidR="00A423AD" w:rsidRDefault="00A423A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106C6"/>
    <w:multiLevelType w:val="hybridMultilevel"/>
    <w:tmpl w:val="94367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3B"/>
    <w:rsid w:val="000E3BA6"/>
    <w:rsid w:val="00134142"/>
    <w:rsid w:val="001417D7"/>
    <w:rsid w:val="0019373B"/>
    <w:rsid w:val="00193B39"/>
    <w:rsid w:val="001A6744"/>
    <w:rsid w:val="00214DAC"/>
    <w:rsid w:val="00253F2E"/>
    <w:rsid w:val="002B6AEF"/>
    <w:rsid w:val="0030318A"/>
    <w:rsid w:val="0043689F"/>
    <w:rsid w:val="004C2E76"/>
    <w:rsid w:val="0050745A"/>
    <w:rsid w:val="00546E4F"/>
    <w:rsid w:val="00550CF0"/>
    <w:rsid w:val="00590867"/>
    <w:rsid w:val="005F50C9"/>
    <w:rsid w:val="0065657E"/>
    <w:rsid w:val="00690691"/>
    <w:rsid w:val="00696A42"/>
    <w:rsid w:val="006F7BB8"/>
    <w:rsid w:val="007348AA"/>
    <w:rsid w:val="007624A1"/>
    <w:rsid w:val="00775191"/>
    <w:rsid w:val="0077553D"/>
    <w:rsid w:val="007779D9"/>
    <w:rsid w:val="007F7053"/>
    <w:rsid w:val="00801FD7"/>
    <w:rsid w:val="0083021C"/>
    <w:rsid w:val="00870E4B"/>
    <w:rsid w:val="008724F3"/>
    <w:rsid w:val="0088416B"/>
    <w:rsid w:val="00891565"/>
    <w:rsid w:val="00926CAB"/>
    <w:rsid w:val="0094358C"/>
    <w:rsid w:val="00953D3D"/>
    <w:rsid w:val="009665E1"/>
    <w:rsid w:val="009666AA"/>
    <w:rsid w:val="009A40F5"/>
    <w:rsid w:val="009A45D9"/>
    <w:rsid w:val="009B32FE"/>
    <w:rsid w:val="009E2B78"/>
    <w:rsid w:val="009E42B1"/>
    <w:rsid w:val="009E4993"/>
    <w:rsid w:val="009E7599"/>
    <w:rsid w:val="00A423AD"/>
    <w:rsid w:val="00A52062"/>
    <w:rsid w:val="00AA5B53"/>
    <w:rsid w:val="00AC28A3"/>
    <w:rsid w:val="00AF135D"/>
    <w:rsid w:val="00BA3472"/>
    <w:rsid w:val="00BC069B"/>
    <w:rsid w:val="00BC0A1B"/>
    <w:rsid w:val="00BC52FB"/>
    <w:rsid w:val="00C25E07"/>
    <w:rsid w:val="00C3662B"/>
    <w:rsid w:val="00CC1BC6"/>
    <w:rsid w:val="00CD161F"/>
    <w:rsid w:val="00CD7332"/>
    <w:rsid w:val="00CD7839"/>
    <w:rsid w:val="00CE48A9"/>
    <w:rsid w:val="00D03C30"/>
    <w:rsid w:val="00D715ED"/>
    <w:rsid w:val="00D74266"/>
    <w:rsid w:val="00D80EBD"/>
    <w:rsid w:val="00DA0947"/>
    <w:rsid w:val="00DC35E2"/>
    <w:rsid w:val="00DC3F6B"/>
    <w:rsid w:val="00DE6788"/>
    <w:rsid w:val="00DF71F6"/>
    <w:rsid w:val="00E05B9E"/>
    <w:rsid w:val="00E21D25"/>
    <w:rsid w:val="00E37D42"/>
    <w:rsid w:val="00E44B22"/>
    <w:rsid w:val="00E75279"/>
    <w:rsid w:val="00E801EF"/>
    <w:rsid w:val="00EA113C"/>
    <w:rsid w:val="00EA11BB"/>
    <w:rsid w:val="00F37859"/>
    <w:rsid w:val="00F671BB"/>
    <w:rsid w:val="00F7346E"/>
    <w:rsid w:val="00FD417A"/>
    <w:rsid w:val="00FE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C134"/>
  <w15:chartTrackingRefBased/>
  <w15:docId w15:val="{5F60E38F-3079-4D21-94B9-3F4766A2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3B"/>
    <w:pPr>
      <w:ind w:left="720"/>
      <w:contextualSpacing/>
    </w:pPr>
  </w:style>
  <w:style w:type="character" w:styleId="Hyperlink">
    <w:name w:val="Hyperlink"/>
    <w:basedOn w:val="DefaultParagraphFont"/>
    <w:uiPriority w:val="99"/>
    <w:semiHidden/>
    <w:unhideWhenUsed/>
    <w:rsid w:val="008724F3"/>
    <w:rPr>
      <w:color w:val="0000FF"/>
      <w:u w:val="single"/>
    </w:rPr>
  </w:style>
  <w:style w:type="paragraph" w:styleId="Caption">
    <w:name w:val="caption"/>
    <w:basedOn w:val="Normal"/>
    <w:next w:val="Normal"/>
    <w:uiPriority w:val="35"/>
    <w:unhideWhenUsed/>
    <w:qFormat/>
    <w:rsid w:val="009E499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75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5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5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D715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5ED"/>
    <w:rPr>
      <w:sz w:val="20"/>
      <w:szCs w:val="20"/>
    </w:rPr>
  </w:style>
  <w:style w:type="character" w:styleId="FootnoteReference">
    <w:name w:val="footnote reference"/>
    <w:basedOn w:val="DefaultParagraphFont"/>
    <w:uiPriority w:val="99"/>
    <w:semiHidden/>
    <w:unhideWhenUsed/>
    <w:rsid w:val="00D715ED"/>
    <w:rPr>
      <w:vertAlign w:val="superscript"/>
    </w:rPr>
  </w:style>
  <w:style w:type="paragraph" w:styleId="NormalWeb">
    <w:name w:val="Normal (Web)"/>
    <w:basedOn w:val="Normal"/>
    <w:uiPriority w:val="99"/>
    <w:semiHidden/>
    <w:unhideWhenUsed/>
    <w:rsid w:val="00A423A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C069B"/>
    <w:pPr>
      <w:spacing w:after="0" w:line="240" w:lineRule="auto"/>
    </w:pPr>
  </w:style>
  <w:style w:type="table" w:styleId="TableGrid">
    <w:name w:val="Table Grid"/>
    <w:basedOn w:val="TableNormal"/>
    <w:uiPriority w:val="39"/>
    <w:rsid w:val="005F5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3057">
      <w:bodyDiv w:val="1"/>
      <w:marLeft w:val="0"/>
      <w:marRight w:val="0"/>
      <w:marTop w:val="0"/>
      <w:marBottom w:val="0"/>
      <w:divBdr>
        <w:top w:val="none" w:sz="0" w:space="0" w:color="auto"/>
        <w:left w:val="none" w:sz="0" w:space="0" w:color="auto"/>
        <w:bottom w:val="none" w:sz="0" w:space="0" w:color="auto"/>
        <w:right w:val="none" w:sz="0" w:space="0" w:color="auto"/>
      </w:divBdr>
    </w:div>
    <w:div w:id="198816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RSXF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Bogley</dc:creator>
  <cp:keywords/>
  <dc:description/>
  <cp:lastModifiedBy>Ian Bogley</cp:lastModifiedBy>
  <cp:revision>72</cp:revision>
  <dcterms:created xsi:type="dcterms:W3CDTF">2020-02-28T20:15:00Z</dcterms:created>
  <dcterms:modified xsi:type="dcterms:W3CDTF">2020-05-17T19:46:00Z</dcterms:modified>
</cp:coreProperties>
</file>