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03/06/2021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20:00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Ana Luiza Ormeni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Giuseppe Almeida Lanna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Isabel Pereira Boroni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Lucas General Ferreira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Nagila Camila Felix de Oliveira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Rafael de Almeida Silva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Vitória de Matos Dias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Entre em contato com seus colegas de equipe para conversarem sobre possíveis problemas de pesquisa que relacionem os pilares de Governo Aberto e o tema de mobilidade ativa.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Esclarecer se a base de dados deverá vir a partir de um pedido a 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Coletar possíveis temas e bibliografias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já existem disponíveis os dados sobre segurança pública nas estações de metrô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região a ser analisada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 público alvo da análise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sugerido realizar um projeto de pesquisa para analisar os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temas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pública relacionada à mobilidade urbana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Segurança pública em estações de metrô em São Paulo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entre a região de moradia e facilidade de mobilidade/deslocamento dentro da cidade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Nível de serviço do transporte público da cidade de São Paulo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ciclomobilidade em São Paulo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Desigualdade de gênero nos serviços de transporte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Assíncrona, com tarefas divididas pelos integrantes do grupo para serem desenvolvidas durante as semanas de trabalho. Síncrona em determinados momentos a serem marcados pelo grupo por meio de videoconferência.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