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D2B" w:color="auto" w:val="clear"/>
            <w:tcMar>
              <w:top w:type="dxa" w:w="360"/>
              <w:left w:type="dxa" w:w="400"/>
              <w:bottom w:type="dxa" w:w="320"/>
              <w:right w:type="dxa" w:w="40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0A36E"/>
                <w:spacing w:val="40"/>
                <w:sz w:val="18"/>
                <w:szCs w:val="18"/>
              </w:rPr>
              <w:t xml:space="preserve">DAKAR AUTOTRACK</w:t>
            </w:r>
          </w:p>
          <w:p>
            <w:pPr>
              <w:spacing w:after="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Le passeport numérique</w:t>
            </w:r>
          </w:p>
          <w:p>
            <w:pPr>
              <w:spacing w:after="160" w:before="0" w:line="240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des véhicules au terminal</w:t>
            </w:r>
          </w:p>
          <w:p>
            <w:pPr>
              <w:spacing w:after="60" w:before="0" w:line="276" w:lineRule="auto"/>
            </w:pPr>
            <w:r>
              <w:rPr>
                <w:rFonts w:ascii="Arial" w:cs="Arial" w:eastAsia="Arial" w:hAnsi="Arial"/>
                <w:color w:val="B9C3CF"/>
                <w:sz w:val="24"/>
                <w:szCs w:val="24"/>
              </w:rPr>
              <w:t xml:space="preserve">Retrouver chaque véhicule, connaître son état et vérifier s'il peut sortir, depuis une seule interface.</w:t>
            </w:r>
          </w:p>
        </w:tc>
      </w:tr>
    </w:tbl>
    <w:p>
      <w:pPr>
        <w:spacing w:after="16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/>
      </w:r>
    </w:p>
    <w:p>
      <w:pPr>
        <w:spacing w:after="60" w:before="0" w:line="276" w:lineRule="auto"/>
        <w:jc w:val="center"/>
      </w:pPr>
      <w:r>
        <w:drawing>
          <wp:inline distT="0" distB="0" distL="0" distR="0">
            <wp:extent cx="6096000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Arial" w:cs="Arial" w:eastAsia="Arial" w:hAnsi="Arial"/>
          <w:i/>
          <w:iCs/>
          <w:color w:val="56606B"/>
          <w:sz w:val="16"/>
          <w:szCs w:val="16"/>
        </w:rPr>
        <w:t xml:space="preserve">Poste de supervision : plan du parc, passeport numérique du véhicule et assistant de recherche (données fictives de démonstration).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4"/>
                <w:szCs w:val="24"/>
              </w:rPr>
              <w:t xml:space="preserve">Où est-il ?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Place </w:t>
            </w:r>
            <w:r>
              <w:rPr>
                <w:rFonts w:ascii="Arial" w:cs="Arial" w:eastAsia="Arial" w:hAnsi="Arial"/>
                <w:b/>
                <w:bCs/>
                <w:color w:val="0F1D2B"/>
                <w:sz w:val="19"/>
                <w:szCs w:val="19"/>
              </w:rPr>
              <w:t xml:space="preserve">confirmée par scan</w:t>
            </w: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 (QR / RFID), avec l'heure et l'agent.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4"/>
                <w:szCs w:val="24"/>
              </w:rPr>
              <w:t xml:space="preserve">Dans quel état ?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19"/>
                <w:szCs w:val="19"/>
              </w:rPr>
              <w:t xml:space="preserve">Photos et réserves</w:t>
            </w: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 à la réception, rattachées au VIN.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4"/>
                <w:szCs w:val="24"/>
              </w:rPr>
              <w:t xml:space="preserve">Peut-il sortir ?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19"/>
                <w:szCs w:val="19"/>
              </w:rPr>
              <w:t xml:space="preserve">Formalités, ticket signé et contrôle</w:t>
            </w: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 au portail, sans papier.</w:t>
            </w:r>
          </w:p>
        </w:tc>
      </w:tr>
    </w:tbl>
    <w:p>
      <w:r>
        <w:br w:type="page"/>
      </w:r>
    </w:p>
    <w:p>
      <w:pPr>
        <w:spacing w:after="40" w:before="0" w:line="276" w:lineRule="auto"/>
      </w:pPr>
      <w:r>
        <w:rPr>
          <w:rFonts w:ascii="Arial" w:cs="Arial" w:eastAsia="Arial" w:hAnsi="Arial"/>
          <w:b/>
          <w:bCs/>
          <w:color w:val="B94E12"/>
          <w:spacing w:val="30"/>
          <w:sz w:val="16"/>
          <w:szCs w:val="16"/>
        </w:rPr>
        <w:t xml:space="preserve">VOS ENJEUX</w:t>
      </w:r>
    </w:p>
    <w:p>
      <w:pPr>
        <w:pStyle w:val="Heading1"/>
        <w:keepNext/>
        <w:spacing w:after="120" w:before="0" w:line="276" w:lineRule="auto"/>
      </w:pPr>
      <w:r>
        <w:rPr>
          <w:rFonts w:ascii="Arial" w:cs="Arial" w:eastAsia="Arial" w:hAnsi="Arial"/>
          <w:b/>
          <w:bCs/>
          <w:color w:val="0F1D2B"/>
          <w:sz w:val="34"/>
          <w:szCs w:val="34"/>
        </w:rPr>
        <w:t xml:space="preserve">Un parc roulier qui grandit, des informations dispersées</w:t>
      </w:r>
    </w:p>
    <w:p>
      <w:pPr>
        <w:spacing w:after="12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>Sur un terminal roulier, chaque véhicule passe par de nombreuses mains : déchargement, stationnement, déplacements, formalités douanières, remise au client. Quand l'information vit sur des feuilles, des tableurs et des appels radio, les mêmes difficultés reviennent :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03"/>
        <w:gridCol w:w="100"/>
        <w:gridCol w:w="4903"/>
      </w:tblGrid>
      <w:tr>
        <w:trPr>
          <w:cantSplit/>
        </w:trPr>
        <w:tc>
          <w:tcPr>
            <w:tcW w:type="dxa" w:w="4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Recherche des véhicules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: des agents mobilisés pour retrouver un VIN sur des milliers de places.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Écarts d'inventaire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: un véhicule déplacé sans trace devient introuvable.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Litiges sur l'état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: sans photo datée à la réception, difficile de trancher.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  <w:tc>
          <w:tcPr>
            <w:tcW w:type="dxa" w:w="49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Sorties à sécuriser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: vérifier le bon véhicule, le BAE, le paiement et le bénéficiaire.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Clients et transitaires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qui appellent pour savoir si leur véhicule est prêt.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Pilotage à l'aveugle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: peu d'indicateurs fiables sur les délais et la qualité.</w:t>
            </w:r>
          </w:p>
        </w:tc>
      </w:tr>
    </w:tbl>
    <w:p>
      <w:pPr>
        <w:spacing w:after="8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/>
      </w:r>
    </w:p>
    <w:p>
      <w:pPr>
        <w:spacing w:after="40" w:before="0" w:line="276" w:lineRule="auto"/>
      </w:pPr>
      <w:r>
        <w:rPr>
          <w:rFonts w:ascii="Arial" w:cs="Arial" w:eastAsia="Arial" w:hAnsi="Arial"/>
          <w:b/>
          <w:bCs/>
          <w:color w:val="B94E12"/>
          <w:spacing w:val="30"/>
          <w:sz w:val="16"/>
          <w:szCs w:val="16"/>
        </w:rPr>
        <w:t xml:space="preserve">LA SOLUTION</w:t>
      </w:r>
    </w:p>
    <w:p>
      <w:pPr>
        <w:pStyle w:val="Heading1"/>
        <w:keepNext/>
        <w:spacing w:after="120" w:before="0" w:line="276" w:lineRule="auto"/>
      </w:pPr>
      <w:r>
        <w:rPr>
          <w:rFonts w:ascii="Arial" w:cs="Arial" w:eastAsia="Arial" w:hAnsi="Arial"/>
          <w:b/>
          <w:bCs/>
          <w:color w:val="0F1D2B"/>
          <w:sz w:val="34"/>
          <w:szCs w:val="34"/>
        </w:rPr>
        <w:t xml:space="preserve">Un passeport numérique, du navire au portail</w:t>
      </w:r>
    </w:p>
    <w:p>
      <w:pPr>
        <w:spacing w:after="16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>Dakar AutoTrack crée pour chaque véhicule un </w:t>
      </w:r>
      <w:r>
        <w:rPr>
          <w:rFonts w:ascii="Arial" w:cs="Arial" w:eastAsia="Arial" w:hAnsi="Arial"/>
          <w:b/>
          <w:bCs/>
          <w:color w:val="0F1D2B"/>
          <w:sz w:val="20"/>
          <w:szCs w:val="20"/>
        </w:rPr>
        <w:t xml:space="preserve">passeport numérique</w:t>
      </w:r>
      <w:r>
        <w:rPr>
          <w:rFonts w:ascii="Arial" w:cs="Arial" w:eastAsia="Arial" w:hAnsi="Arial"/>
          <w:color w:val="0F1D2B"/>
          <w:sz w:val="20"/>
          <w:szCs w:val="20"/>
        </w:rPr>
        <w:t xml:space="preserve"> unique, alimenté à chaque étape par un simple scan. La direction, les agents de parc, le portail et les clients consultent la même information, à jour.</w:t>
      </w:r>
    </w:p>
    <w:tbl>
      <w:tblPr>
        <w:tblW w:type="dxa" w:w="99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81"/>
        <w:gridCol w:w="1981"/>
        <w:gridCol w:w="1981"/>
        <w:gridCol w:w="1981"/>
        <w:gridCol w:w="1981"/>
      </w:tblGrid>
      <w:tr>
        <w:trPr>
          <w:cantSplit/>
        </w:trPr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601A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601A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601A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601A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4E12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0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Réception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6606B"/>
                <w:sz w:val="16"/>
                <w:szCs w:val="16"/>
              </w:rPr>
              <w:t xml:space="preserve">Lecture du VIN assistée par photo, confirmée par l'agent.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0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État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6606B"/>
                <w:sz w:val="16"/>
                <w:szCs w:val="16"/>
              </w:rPr>
              <w:t xml:space="preserve">8 photos, réserves, carburant, clés : l'état est daté.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0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Stationnement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6606B"/>
                <w:sz w:val="16"/>
                <w:szCs w:val="16"/>
              </w:rPr>
              <w:t xml:space="preserve">Scan du QR de la place : position confirmée.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0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Ticket client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6606B"/>
                <w:sz w:val="16"/>
                <w:szCs w:val="16"/>
              </w:rPr>
              <w:t xml:space="preserve">Formalités reçues → ticket QR signé, usage unique.</w:t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00"/>
              <w:left w:type="dxa" w:w="90"/>
              <w:bottom w:type="dxa" w:w="80"/>
              <w:right w:type="dxa" w:w="90"/>
            </w:tcMar>
            <w:vAlign w:val="top"/>
          </w:tcPr>
          <w:p>
            <w:pPr>
              <w:spacing w:after="4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Sortie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Arial" w:cs="Arial" w:eastAsia="Arial" w:hAnsi="Arial"/>
                <w:color w:val="56606B"/>
                <w:sz w:val="16"/>
                <w:szCs w:val="16"/>
              </w:rPr>
              <w:t xml:space="preserve">Contrôles automatiques + vérifications de l'agent.</w:t>
            </w:r>
          </w:p>
        </w:tc>
      </w:tr>
      <w:tr>
        <w:trPr>
          <w:cantSplit/>
        </w:trPr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4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drawing>
                <wp:inline distT="0" distB="0" distL="0" distR="0">
                  <wp:extent cx="102870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4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drawing>
                <wp:inline distT="0" distB="0" distL="0" distR="0">
                  <wp:extent cx="102870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4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drawing>
                <wp:inline distT="0" distB="0" distL="0" distR="0">
                  <wp:extent cx="102870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4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drawing>
                <wp:inline distT="0" distB="0" distL="0" distR="0">
                  <wp:extent cx="102870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4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drawing>
                <wp:inline distT="0" distB="0" distL="0" distR="0">
                  <wp:extent cx="1028700" cy="2228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spacing w:after="40" w:before="0" w:line="276" w:lineRule="auto"/>
      </w:pPr>
      <w:r>
        <w:rPr>
          <w:rFonts w:ascii="Arial" w:cs="Arial" w:eastAsia="Arial" w:hAnsi="Arial"/>
          <w:b/>
          <w:bCs/>
          <w:color w:val="B94E12"/>
          <w:spacing w:val="30"/>
          <w:sz w:val="16"/>
          <w:szCs w:val="16"/>
        </w:rPr>
        <w:t xml:space="preserve">UNE PLATEFORME, QUATRE PROFILS</w:t>
      </w:r>
    </w:p>
    <w:p>
      <w:pPr>
        <w:pStyle w:val="Heading1"/>
        <w:keepNext/>
        <w:spacing w:after="120" w:before="0" w:line="276" w:lineRule="auto"/>
      </w:pPr>
      <w:r>
        <w:rPr>
          <w:rFonts w:ascii="Arial" w:cs="Arial" w:eastAsia="Arial" w:hAnsi="Arial"/>
          <w:b/>
          <w:bCs/>
          <w:color w:val="0F1D2B"/>
          <w:sz w:val="34"/>
          <w:szCs w:val="34"/>
        </w:rPr>
        <w:t xml:space="preserve">Chacun voit ce dont il a besoin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606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D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Direction &amp; superviseurs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DCD7CB" w:sz="4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Poste web : plan du parc en temps réel, passeport de chaque véhicule, tableau des enlèvements, mouvements, indicateurs du pilote, gestion des zones et des accès.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19"/>
                <w:szCs w:val="19"/>
              </w:rPr>
              <w:t xml:space="preserve">Agents de parc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DCD7CB" w:sz="4"/>
              <w:right w:val="none" w:color="FFFFFF" w:sz="0"/>
            </w:tcBorders>
            <w:shd w:fill="F3F1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Application mobile : réception, photos, stationnement et déplacements par scan, inventaire d'une allée en quelques minutes, assistant vocal.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D2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Agents de portail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DCD7CB" w:sz="4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Contrôle de sortie : scan du ticket, vérifications automatiques (BAE, paiement, ticket non utilisé) et manuelles (identité, état, clés).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19"/>
                <w:szCs w:val="19"/>
              </w:rPr>
              <w:t xml:space="preserve">Clients &amp; transitaires</w:t>
            </w:r>
          </w:p>
        </w:tc>
        <w:tc>
          <w:tcPr>
            <w:tcW w:type="dxa" w:w="7606"/>
            <w:tcBorders>
              <w:top w:val="none" w:color="FFFFFF" w:sz="0"/>
              <w:left w:val="none" w:color="FFFFFF" w:sz="0"/>
              <w:bottom w:val="single" w:color="DCD7CB" w:sz="4"/>
              <w:right w:val="none" w:color="FFFFFF" w:sz="0"/>
            </w:tcBorders>
            <w:shd w:fill="F3F1E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19"/>
                <w:szCs w:val="19"/>
              </w:rPr>
              <w:t xml:space="preserve">Espace mobile avec le n° de BL et un code SMS : statut du véhicule, alerte quand il est prêt, ticket de retrait, file d'attente au portail.</w:t>
            </w:r>
          </w:p>
        </w:tc>
      </w:tr>
    </w:tbl>
    <w:p>
      <w:pPr>
        <w:spacing w:after="8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/>
      </w:r>
    </w:p>
    <w:p>
      <w:pPr>
        <w:spacing w:after="40" w:before="0" w:line="276" w:lineRule="auto"/>
      </w:pPr>
      <w:r>
        <w:rPr>
          <w:rFonts w:ascii="Arial" w:cs="Arial" w:eastAsia="Arial" w:hAnsi="Arial"/>
          <w:b/>
          <w:bCs/>
          <w:color w:val="B94E12"/>
          <w:spacing w:val="30"/>
          <w:sz w:val="16"/>
          <w:szCs w:val="16"/>
        </w:rPr>
        <w:t xml:space="preserve">INNOVATIONS QR &amp; RFID</w:t>
      </w:r>
    </w:p>
    <w:p>
      <w:pPr>
        <w:pStyle w:val="Heading1"/>
        <w:keepNext/>
        <w:spacing w:after="120" w:before="0" w:line="276" w:lineRule="auto"/>
      </w:pPr>
      <w:r>
        <w:rPr>
          <w:rFonts w:ascii="Arial" w:cs="Arial" w:eastAsia="Arial" w:hAnsi="Arial"/>
          <w:b/>
          <w:bCs/>
          <w:color w:val="0F1D2B"/>
          <w:sz w:val="34"/>
          <w:szCs w:val="34"/>
        </w:rPr>
        <w:t xml:space="preserve">La traçabilité sans effort de saisie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3"/>
        <w:gridCol w:w="200"/>
        <w:gridCol w:w="4853"/>
      </w:tblGrid>
      <w:tr>
        <w:trPr>
          <w:cantSplit/>
        </w:trPr>
        <w:tc>
          <w:tcPr>
            <w:tcW w:type="dxa" w:w="4853"/>
            <w:tcBorders>
              <w:top w:val="single" w:color="DCD7CB" w:sz="4"/>
              <w:left w:val="single" w:color="DCD7CB" w:sz="4"/>
              <w:bottom w:val="single" w:color="DCD7CB" w:sz="4"/>
              <w:right w:val="single" w:color="DCD7CB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1"/>
                <w:szCs w:val="21"/>
              </w:rPr>
              <w:t xml:space="preserve">Étiquette hybride QR + RFID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0F1D2B"/>
                <w:sz w:val="18"/>
                <w:szCs w:val="18"/>
              </w:rPr>
              <w:t xml:space="preserve">Un QR lisible par tout smartphone et une puce RFID lue au passage des portiques. Variante réutilisable, récupérée au portail de sortie.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  <w:tc>
          <w:tcPr>
            <w:tcW w:type="dxa" w:w="4853"/>
            <w:tcBorders>
              <w:top w:val="single" w:color="DCD7CB" w:sz="4"/>
              <w:left w:val="single" w:color="DCD7CB" w:sz="4"/>
              <w:bottom w:val="single" w:color="DCD7CB" w:sz="4"/>
              <w:right w:val="single" w:color="DCD7CB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1"/>
                <w:szCs w:val="21"/>
              </w:rPr>
              <w:t xml:space="preserve">Portiques de zone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0F1D2B"/>
                <w:sz w:val="18"/>
                <w:szCs w:val="18"/>
              </w:rPr>
              <w:t xml:space="preserve">Lecture automatique à l'entrée des zones : on sait dans quelle zone se trouve un véhicule, même sans scan de l'agent.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53"/>
            <w:tcBorders>
              <w:top w:val="single" w:color="DCD7CB" w:sz="4"/>
              <w:left w:val="single" w:color="DCD7CB" w:sz="4"/>
              <w:bottom w:val="single" w:color="DCD7CB" w:sz="4"/>
              <w:right w:val="single" w:color="DCD7CB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1"/>
                <w:szCs w:val="21"/>
              </w:rPr>
              <w:t xml:space="preserve">Inventaire en rafale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0F1D2B"/>
                <w:sz w:val="18"/>
                <w:szCs w:val="18"/>
              </w:rPr>
              <w:t xml:space="preserve">L'agent filme une allée : plusieurs QR lus d'un coup, écarts signalés immédiatement (place vide, véhicule inattendu).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  <w:tc>
          <w:tcPr>
            <w:tcW w:type="dxa" w:w="4853"/>
            <w:tcBorders>
              <w:top w:val="single" w:color="DCD7CB" w:sz="4"/>
              <w:left w:val="single" w:color="DCD7CB" w:sz="4"/>
              <w:bottom w:val="single" w:color="DCD7CB" w:sz="4"/>
              <w:right w:val="single" w:color="DCD7CB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1"/>
                <w:szCs w:val="21"/>
              </w:rPr>
              <w:t xml:space="preserve">Carte « fraîcheur »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0F1D2B"/>
                <w:sz w:val="18"/>
                <w:szCs w:val="18"/>
              </w:rPr>
              <w:t xml:space="preserve">Chaque place indique depuis quand elle a été lue : les zones à recontrôler apparaissent en un coup d'œil.</w:t>
            </w:r>
          </w:p>
        </w:tc>
      </w:tr>
      <w:tr>
        <w:trPr>
          <w:cantSplit/>
        </w:trPr>
        <w:tc>
          <w:tcPr>
            <w:tcW w:type="dxa" w:w="9906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53"/>
            <w:tcBorders>
              <w:top w:val="single" w:color="DCD7CB" w:sz="4"/>
              <w:left w:val="single" w:color="DCD7CB" w:sz="4"/>
              <w:bottom w:val="single" w:color="DCD7CB" w:sz="4"/>
              <w:right w:val="single" w:color="DCD7CB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1"/>
                <w:szCs w:val="21"/>
              </w:rPr>
              <w:t xml:space="preserve">Armoire à clés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0F1D2B"/>
                <w:sz w:val="18"/>
                <w:szCs w:val="18"/>
              </w:rPr>
              <w:t xml:space="preserve">QR « KEY » sur chaque porte-clé : qui détient quelle clé, et contrôle de la clé au portail.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  <w:tc>
          <w:tcPr>
            <w:tcW w:type="dxa" w:w="4853"/>
            <w:tcBorders>
              <w:top w:val="single" w:color="DCD7CB" w:sz="4"/>
              <w:left w:val="single" w:color="DCD7CB" w:sz="4"/>
              <w:bottom w:val="single" w:color="DCD7CB" w:sz="4"/>
              <w:right w:val="single" w:color="DCD7CB" w:sz="4"/>
            </w:tcBorders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z w:val="21"/>
                <w:szCs w:val="21"/>
              </w:rPr>
              <w:t xml:space="preserve">Chaîne de garde</w:t>
            </w:r>
          </w:p>
          <w:p>
            <w:pPr>
              <w:spacing w:after="0" w:before="0" w:line="252" w:lineRule="auto"/>
            </w:pPr>
            <w:r>
              <w:rPr>
                <w:rFonts w:ascii="Arial" w:cs="Arial" w:eastAsia="Arial" w:hAnsi="Arial"/>
                <w:color w:val="0F1D2B"/>
                <w:sz w:val="18"/>
                <w:szCs w:val="18"/>
              </w:rPr>
              <w:t xml:space="preserve">Chaque lecture (QR, portique, rafale) est horodatée et rattachée à l'agent : un historique opposable en cas de litige.</w:t>
            </w:r>
          </w:p>
        </w:tc>
      </w:tr>
    </w:tbl>
    <w:p>
      <w:r>
        <w:br w:type="pag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0"/>
        <w:gridCol w:w="200"/>
        <w:gridCol w:w="4606"/>
      </w:tblGrid>
      <w:tr>
        <w:trPr>
          <w:cantSplit/>
        </w:trP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pacing w:val="30"/>
                <w:sz w:val="16"/>
                <w:szCs w:val="16"/>
              </w:rPr>
              <w:t xml:space="preserve">INTELLIGENCE ARTIFICIELLE</w:t>
            </w:r>
          </w:p>
          <w:p>
            <w:pPr>
              <w:pStyle w:val="Heading2"/>
              <w:keepNext/>
              <w:spacing w:after="8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4"/>
                <w:szCs w:val="24"/>
              </w:rPr>
              <w:t xml:space="preserve">Une IA utile, toujours sous contrôle humain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Lecture assistée du VIN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par photo, sur le téléphone, hors ligne ; caractères douteux signalés.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Assistant conversationnel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(voix, photo, texte) pour les agents, les superviseurs et les clients.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Réponses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uniquement à partir des données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du terminal, avec leurs 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L'assistant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propose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, l'humain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valide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: chaque action est journalisée.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0"/>
            </w:tcMar>
            <w:vAlign w:val="top"/>
          </w:tcPr>
          <w:p>
            <w:pPr>
              <w:spacing w:after="40" w:before="0" w:line="276" w:lineRule="auto"/>
            </w:pPr>
            <w:r>
              <w:drawing>
                <wp:inline distT="0" distB="0" distL="0" distR="0">
                  <wp:extent cx="2762250" cy="1838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i/>
                <w:iCs/>
                <w:color w:val="56606B"/>
                <w:sz w:val="15"/>
                <w:szCs w:val="15"/>
              </w:rPr>
              <w:t xml:space="preserve">Contrôle de sortie au portail : ticket valide, contrôles automatiques et manuels.</w:t>
            </w:r>
          </w:p>
        </w:tc>
      </w:tr>
    </w:tbl>
    <w:p>
      <w:pPr>
        <w:spacing w:after="6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/>
      </w:r>
    </w:p>
    <w:p>
      <w:pPr>
        <w:spacing w:after="40" w:before="0" w:line="276" w:lineRule="auto"/>
      </w:pPr>
      <w:r>
        <w:rPr>
          <w:rFonts w:ascii="Arial" w:cs="Arial" w:eastAsia="Arial" w:hAnsi="Arial"/>
          <w:b/>
          <w:bCs/>
          <w:color w:val="B94E12"/>
          <w:spacing w:val="30"/>
          <w:sz w:val="16"/>
          <w:szCs w:val="16"/>
        </w:rPr>
        <w:t xml:space="preserve">BÉNÉFICES ATTENDUS</w:t>
      </w:r>
    </w:p>
    <w:p>
      <w:pPr>
        <w:pStyle w:val="Heading2"/>
        <w:keepNext/>
        <w:spacing w:after="80" w:before="0" w:line="276" w:lineRule="auto"/>
      </w:pPr>
      <w:r>
        <w:rPr>
          <w:rFonts w:ascii="Arial" w:cs="Arial" w:eastAsia="Arial" w:hAnsi="Arial"/>
          <w:b/>
          <w:bCs/>
          <w:color w:val="0F1D2B"/>
          <w:sz w:val="24"/>
          <w:szCs w:val="24"/>
        </w:rPr>
        <w:t xml:space="preserve">Ce que le pilote permet de mesurer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76"/>
        <w:gridCol w:w="2476"/>
        <w:gridCol w:w="2477"/>
        <w:gridCol w:w="2477"/>
      </w:tblGrid>
      <w:tr>
        <w:trPr>
          <w:cantSplit/>
        </w:trPr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F0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45C3C"/>
                <w:sz w:val="20"/>
                <w:szCs w:val="20"/>
              </w:rPr>
              <w:t xml:space="preserve">Temps de recherche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145C3C"/>
                <w:sz w:val="17"/>
                <w:szCs w:val="17"/>
              </w:rPr>
              <w:t xml:space="preserve">d'un véhicule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F0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45C3C"/>
                <w:sz w:val="20"/>
                <w:szCs w:val="20"/>
              </w:rPr>
              <w:t xml:space="preserve">Fiabilité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145C3C"/>
                <w:sz w:val="17"/>
                <w:szCs w:val="17"/>
              </w:rPr>
              <w:t xml:space="preserve">de l'inventaire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F0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45C3C"/>
                <w:sz w:val="20"/>
                <w:szCs w:val="20"/>
              </w:rPr>
              <w:t xml:space="preserve">Délai de préparation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145C3C"/>
                <w:sz w:val="17"/>
                <w:szCs w:val="17"/>
              </w:rPr>
              <w:t xml:space="preserve">d'un enlèvement</w:t>
            </w:r>
          </w:p>
        </w:tc>
        <w:tc>
          <w:tcPr>
            <w:tcW w:type="dxa" w:w="24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F0E5" w:color="auto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145C3C"/>
                <w:sz w:val="20"/>
                <w:szCs w:val="20"/>
              </w:rPr>
              <w:t xml:space="preserve">Traçabilité</w:t>
            </w:r>
          </w:p>
          <w:p>
            <w:pPr>
              <w:spacing w:after="0" w:before="0" w:line="276" w:lineRule="auto"/>
              <w:jc w:val="center"/>
            </w:pPr>
            <w:r>
              <w:rPr>
                <w:rFonts w:ascii="Arial" w:cs="Arial" w:eastAsia="Arial" w:hAnsi="Arial"/>
                <w:color w:val="145C3C"/>
                <w:sz w:val="17"/>
                <w:szCs w:val="17"/>
              </w:rPr>
              <w:t xml:space="preserve">des mouvements</w:t>
            </w:r>
          </w:p>
        </w:tc>
      </w:tr>
    </w:tbl>
    <w:p>
      <w:pPr>
        <w:spacing w:after="160" w:before="80" w:line="276" w:lineRule="auto"/>
      </w:pPr>
      <w:r>
        <w:rPr>
          <w:rFonts w:ascii="Arial" w:cs="Arial" w:eastAsia="Arial" w:hAnsi="Arial"/>
          <w:i/>
          <w:iCs/>
          <w:color w:val="56606B"/>
          <w:sz w:val="17"/>
          <w:szCs w:val="17"/>
        </w:rPr>
        <w:t xml:space="preserve">Les quatre indicateurs sont suivis chaque semaine dans le tableau de bord du pilote. Les objectifs chiffrés sont fixés avec vous au lancement, à partir d'une mesure de référence sur votre parc.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53"/>
        <w:gridCol w:w="200"/>
        <w:gridCol w:w="4853"/>
      </w:tblGrid>
      <w:tr>
        <w:trPr>
          <w:cantSplit/>
        </w:trP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pacing w:val="30"/>
                <w:sz w:val="16"/>
                <w:szCs w:val="16"/>
              </w:rPr>
              <w:t xml:space="preserve">TECHNOLOGIE &amp; SÉCURITÉ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Web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Angular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, mobile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Flutter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(Android / iOS), serveur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Spring Boot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, base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PostgreSQL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Accès par profil, jetons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JWT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, mots de passe chiffrés, blocage après 5 échecs.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Tickets de retrait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signés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 (HMAC), valables 48 h, </w:t>
            </w: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usage unique</w:t>
            </w: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Hébergement sur site ou dans le cloud ; API ouverte (documentation Swagger).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100" w:before="0" w:line="276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/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B94E12"/>
                <w:spacing w:val="30"/>
                <w:sz w:val="16"/>
                <w:szCs w:val="16"/>
              </w:rPr>
              <w:t xml:space="preserve">INTÉGRATIONS PRÉVUES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Systèmes d'exploitation du terminal (escales, manifestes).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Plateforme de formalités (BAE, paiements).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Passerelle SMS pour les clients et transitaires.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 w:lineRule="auto"/>
            </w:pPr>
            <w:r>
              <w:rPr>
                <w:rFonts w:ascii="Arial" w:cs="Arial" w:eastAsia="Arial" w:hAnsi="Arial"/>
                <w:color w:val="0F1D2B"/>
                <w:sz w:val="20"/>
                <w:szCs w:val="20"/>
              </w:rPr>
              <w:t xml:space="preserve">Lecteurs et portiques RFID du marché.</w:t>
            </w:r>
          </w:p>
        </w:tc>
      </w:tr>
    </w:tbl>
    <w:p>
      <w:pPr>
        <w:spacing w:after="6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/>
      </w:r>
    </w:p>
    <w:p>
      <w:pPr>
        <w:spacing w:after="40" w:before="0" w:line="276" w:lineRule="auto"/>
      </w:pPr>
      <w:r>
        <w:rPr>
          <w:rFonts w:ascii="Arial" w:cs="Arial" w:eastAsia="Arial" w:hAnsi="Arial"/>
          <w:b/>
          <w:bCs/>
          <w:color w:val="B94E12"/>
          <w:spacing w:val="30"/>
          <w:sz w:val="16"/>
          <w:szCs w:val="16"/>
        </w:rPr>
        <w:t xml:space="preserve">DÉMARRER</w:t>
      </w:r>
    </w:p>
    <w:p>
      <w:pPr>
        <w:pStyle w:val="Heading2"/>
        <w:keepNext/>
        <w:spacing w:after="80" w:before="0" w:line="276" w:lineRule="auto"/>
      </w:pPr>
      <w:r>
        <w:rPr>
          <w:rFonts w:ascii="Arial" w:cs="Arial" w:eastAsia="Arial" w:hAnsi="Arial"/>
          <w:b/>
          <w:bCs/>
          <w:color w:val="0F1D2B"/>
          <w:sz w:val="24"/>
          <w:szCs w:val="24"/>
        </w:rPr>
        <w:t xml:space="preserve">Un pilote sur une zone, puis l'extension au parc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2"/>
        <w:gridCol w:w="3302"/>
        <w:gridCol w:w="3302"/>
      </w:tblGrid>
      <w:tr>
        <w:trPr>
          <w:cantSplit/>
        </w:trPr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40"/>
              <w:left w:type="dxa" w:w="180"/>
              <w:bottom w:type="dxa" w:w="14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1 · Cadrage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17"/>
                <w:szCs w:val="17"/>
              </w:rPr>
              <w:t xml:space="preserve">Choix de la zone pilote, mesure de référence, pose des QR et paramétrage des accès.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1EB" w:color="auto" w:val="clear"/>
            <w:tcMar>
              <w:top w:type="dxa" w:w="140"/>
              <w:left w:type="dxa" w:w="180"/>
              <w:bottom w:type="dxa" w:w="14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0F1D2B"/>
                <w:sz w:val="20"/>
                <w:szCs w:val="20"/>
              </w:rPr>
              <w:t xml:space="preserve">2 · Pilote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0F1D2B"/>
                <w:sz w:val="17"/>
                <w:szCs w:val="17"/>
              </w:rPr>
              <w:t xml:space="preserve">Agents équipés, portail en contrôle numérique, suivi hebdomadaire des indicateurs.</w:t>
            </w:r>
          </w:p>
        </w:tc>
        <w:tc>
          <w:tcPr>
            <w:tcW w:type="dxa" w:w="33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D2B" w:color="auto" w:val="clear"/>
            <w:tcMar>
              <w:top w:type="dxa" w:w="140"/>
              <w:left w:type="dxa" w:w="180"/>
              <w:bottom w:type="dxa" w:w="140"/>
              <w:right w:type="dxa" w:w="160"/>
            </w:tcMar>
            <w:vAlign w:val="top"/>
          </w:tcPr>
          <w:p>
            <w:pPr>
              <w:spacing w:after="4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· Extension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color w:val="B9C3CF"/>
                <w:sz w:val="17"/>
                <w:szCs w:val="17"/>
              </w:rPr>
              <w:t xml:space="preserve">Bilan chiffré, intégrations, déploiement progressif aux autres zones.</w:t>
            </w:r>
          </w:p>
        </w:tc>
      </w:tr>
    </w:tbl>
    <w:p>
      <w:pPr>
        <w:spacing w:after="120" w:before="0" w:line="276" w:lineRule="auto"/>
      </w:pPr>
      <w:r>
        <w:rPr>
          <w:rFonts w:ascii="Arial" w:cs="Arial" w:eastAsia="Arial" w:hAnsi="Arial"/>
          <w:color w:val="0F1D2B"/>
          <w:sz w:val="20"/>
          <w:szCs w:val="20"/>
        </w:rPr>
        <w:t xml:space="preserve"/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4E12" w:color="auto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top"/>
          </w:tcPr>
          <w:p>
            <w:pPr>
              <w:spacing w:after="6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Parlons de votre terminal</w:t>
            </w:r>
          </w:p>
          <w:p>
            <w:pPr>
              <w:spacing w:after="100" w:before="0" w:line="276" w:lineRule="auto"/>
            </w:pPr>
            <w:r>
              <w:rPr>
                <w:rFonts w:ascii="Arial" w:cs="Arial" w:eastAsia="Arial" w:hAnsi="Arial"/>
                <w:color w:val="B9C3CF"/>
                <w:sz w:val="19"/>
                <w:szCs w:val="19"/>
              </w:rPr>
              <w:t xml:space="preserve">Démonstration du prototype sur demande : poste de supervision, application agent, portail et espace client.</w:t>
            </w:r>
          </w:p>
          <w:p>
            <w:pPr>
              <w:spacing w:after="0" w:before="0" w:line="276" w:lineRule="auto"/>
            </w:pPr>
            <w:r>
              <w:rPr>
                <w:rFonts w:ascii="Arial" w:cs="Arial" w:eastAsia="Arial" w:hAnsi="Arial"/>
                <w:b/>
                <w:bCs/>
                <w:color w:val="F0A36E"/>
                <w:sz w:val="20"/>
                <w:szCs w:val="20"/>
              </w:rPr>
              <w:t xml:space="preserve">[Nom du commercial]  ·  [Téléphone]  ·  [E-mail]</w:t>
            </w:r>
          </w:p>
        </w:tc>
      </w:tr>
    </w:tbl>
    <w:sectPr>
      <w:footerReference w:type="default" r:id="rId7"/>
      <w:pgSz w:w="11906" w:h="16838" w:orient="portrait"/>
      <w:pgMar w:top="900" w:right="1000" w:bottom="900" w:left="100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 w:lineRule="auto"/>
    </w:pPr>
    <w:r>
      <w:rPr>
        <w:rFonts w:ascii="Arial" w:cs="Arial" w:eastAsia="Arial" w:hAnsi="Arial"/>
        <w:color w:val="56606B"/>
        <w:sz w:val="14"/>
        <w:szCs w:val="14"/>
      </w:rPr>
      <w:t xml:space="preserve">Dakar AutoTrack · fiche produit · document commercial · captures issues du prototype, données fictives</w:t>
    </w:r>
    <w:r>
      <w:rPr>
        <w:rFonts w:ascii="Arial" w:cs="Arial" w:eastAsia="Arial" w:hAnsi="Arial"/>
        <w:color w:val="0F1D2B"/>
        <w:sz w:val="14"/>
        <w:szCs w:val="14"/>
      </w:rPr>
      <w:t xml:space="preserve">	</w:t>
    </w:r>
    <w:r>
      <w:rPr>
        <w:rFonts w:ascii="Arial" w:cs="Arial" w:eastAsia="Arial" w:hAnsi="Arial"/>
        <w:color w:val="56606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00" w:hanging="240"/>
      </w:pPr>
      <w:rPr>
        <w:color w:val="D9601A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D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0F1D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1D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a94d5e10ab5f083a6e89f9b49b65e6e1f1102ba.jpg"/><Relationship Id="rId9" Type="http://schemas.openxmlformats.org/officeDocument/2006/relationships/image" Target="media/cdec9a9b78b6561d4706d1b016456aedf2dd1036.jpg"/><Relationship Id="rId10" Type="http://schemas.openxmlformats.org/officeDocument/2006/relationships/image" Target="media/3a1fdb9cec7133c906b353cfdc2c75579cea954d.jpg"/><Relationship Id="rId11" Type="http://schemas.openxmlformats.org/officeDocument/2006/relationships/image" Target="media/41a8234d70344e4f280c04c32cbc14f42f85a71e.jpg"/><Relationship Id="rId12" Type="http://schemas.openxmlformats.org/officeDocument/2006/relationships/image" Target="media/91a5e641a0904ab64fe7ce23db015ebf5ebb089d.jpg"/><Relationship Id="rId13" Type="http://schemas.openxmlformats.org/officeDocument/2006/relationships/image" Target="media/7d9ee9442addaf0d60516170cd21d998597db428.jpg"/><Relationship Id="rId14" Type="http://schemas.openxmlformats.org/officeDocument/2006/relationships/image" Target="media/f2b00cebc17dfb510798337f6f86c6f60eaeb94d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Dakar AutoTrack — fiche produit</dc:title>
  <dc:creator>Dakar AutoTrack</dc:creator>
  <dc:description>Fiche produit commerciale destinée aux directions de terminaux</dc:description>
  <cp:lastModifiedBy>Un-named</cp:lastModifiedBy>
  <cp:revision>1</cp:revision>
  <dcterms:created xsi:type="dcterms:W3CDTF">2026-09-23T11:50:19.767Z</dcterms:created>
  <dcterms:modified xsi:type="dcterms:W3CDTF">2026-09-23T11:50:19.767Z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