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0"/>
      </w:pPr>
      <w:r>
        <w:t>一、投资意见</w:t>
      </w:r>
    </w:p>
    <w:p>
      <w:pPr>
        <w:pStyle w:val="162"/>
        <w:rPr>
          <w:strike/>
          <w:dstrike w:val="0"/>
        </w:rPr>
      </w:pPr>
      <w:r>
        <w:t>本报告对该股票</w:t>
      </w:r>
      <w:r>
        <w:rPr>
          <w:rFonts w:hint="eastAsia"/>
          <w:lang w:eastAsia="zh-CN"/>
        </w:rPr>
        <w:t>给予买入评级</w:t>
      </w:r>
      <w:r>
        <w:t>，</w:t>
      </w:r>
      <w:r>
        <w:rPr>
          <w:rFonts w:hint="eastAsia"/>
          <w:lang w:val="en-US" w:eastAsia="zh-CN"/>
        </w:rPr>
        <w:t>12个月内</w:t>
      </w:r>
      <w:r>
        <w:t>目标价为7.22</w:t>
      </w:r>
      <w:r>
        <w:rPr>
          <w:rFonts w:hint="eastAsia"/>
          <w:lang w:eastAsia="zh-CN"/>
        </w:rPr>
        <w:t>元</w:t>
      </w:r>
      <w:r>
        <w:t>。</w:t>
      </w:r>
      <w:r>
        <w:rPr>
          <w:rFonts w:hint="eastAsia"/>
          <w:strike/>
          <w:dstrike w:val="0"/>
          <w:lang w:eastAsia="zh-CN"/>
        </w:rPr>
        <w:t>短期来看，</w:t>
      </w:r>
      <w:r>
        <w:rPr>
          <w:rFonts w:hint="eastAsia"/>
          <w:strike/>
          <w:dstrike w:val="0"/>
          <w:lang w:val="en-US" w:eastAsia="zh-CN"/>
        </w:rPr>
        <w:t>5日内该股</w:t>
      </w:r>
      <w:r>
        <w:rPr>
          <w:rFonts w:hint="eastAsia"/>
          <w:strike/>
          <w:dstrike w:val="0"/>
          <w:lang w:eastAsia="zh-CN"/>
        </w:rPr>
        <w:t>历史相似</w:t>
      </w:r>
      <w:r>
        <w:rPr>
          <w:rFonts w:hint="eastAsia"/>
          <w:strike/>
          <w:dstrike w:val="0"/>
          <w:lang w:val="en-US" w:eastAsia="zh-CN"/>
        </w:rPr>
        <w:t>K线正收益52只，负收益48只，最高涨幅11%，最低-6.31%。根据智能算法预测，该股明日上涨概率68%。</w:t>
      </w:r>
    </w:p>
    <w:p>
      <w:pPr>
        <w:pStyle w:val="160"/>
      </w:pPr>
      <w:r>
        <w:t>二、基本信息分析</w:t>
      </w:r>
    </w:p>
    <w:p>
      <w:pPr>
        <w:pStyle w:val="161"/>
      </w:pPr>
      <w:r>
        <w:t>2.1.公司介绍</w:t>
      </w:r>
      <w:bookmarkStart w:id="0" w:name="_GoBack"/>
      <w:bookmarkEnd w:id="0"/>
    </w:p>
    <w:p>
      <w:pPr>
        <w:pStyle w:val="162"/>
      </w:pPr>
      <w:r>
        <w:t>公司是中国最大的商业银行，经过持续努力和稳健发展，已经迈入世界领先大银行行列，拥有优质的客户基础、多元的业务结构、强劲的创新能力和市场竞争力，向全球532万公司客户和4.96亿个人客户提供广泛的金融产品和服务。通过持续推动改革创新和经营转型，资产负债业务在结构调整中保持稳定的盈利水平，零售金融、资产管理和投资银行成为盈利增长的重要引擎，领先的互联网金融发展推动了经营管理模式和服务方式的根本变革。国际化、综合化经营格局不断完善，境外网络扩展至42个国家和地区，海外业务和基金、保险、租赁等综合化子公司的盈利贡献不断提升。2015年获评《欧洲货币》“全球新兴市场最佳银行”，连续三年位列《银行家》全球1000家大银行和美国《福布斯》全球企业2000强榜首。</w:t>
      </w:r>
    </w:p>
    <w:p>
      <w:pPr>
        <w:pStyle w:val="161"/>
      </w:pPr>
      <w:r>
        <w:t>2.2.行业分析</w:t>
      </w:r>
    </w:p>
    <w:p>
      <w:pPr>
        <w:pStyle w:val="162"/>
      </w:pPr>
      <w:r>
        <w:t>根据</w:t>
      </w:r>
      <w:r>
        <w:rPr>
          <w:rFonts w:hint="eastAsia"/>
          <w:lang w:eastAsia="zh-CN"/>
        </w:rPr>
        <w:t>申万一级</w:t>
      </w:r>
      <w:r>
        <w:t>行业分类，该股票属于银行</w:t>
      </w:r>
      <w:r>
        <w:rPr>
          <w:rFonts w:hint="eastAsia"/>
          <w:lang w:eastAsia="zh-CN"/>
        </w:rPr>
        <w:t>行业</w:t>
      </w:r>
      <w:r>
        <w:t>，该行业近期研究报告平均打分为2.4，</w:t>
      </w:r>
      <w:r>
        <w:rPr>
          <w:rFonts w:hint="eastAsia"/>
          <w:lang w:eastAsia="zh-CN"/>
        </w:rPr>
        <w:t>机构一致看好。该行业</w:t>
      </w:r>
      <w:r>
        <w:rPr>
          <w:rFonts w:hint="eastAsia"/>
          <w:lang w:val="en-US" w:eastAsia="zh-CN"/>
        </w:rPr>
        <w:t>净资产收益率中位数10.06%，</w:t>
      </w:r>
      <w:r>
        <w:rPr>
          <w:rFonts w:hint="eastAsia"/>
          <w:lang w:eastAsia="zh-CN"/>
        </w:rPr>
        <w:t>根据万德一致性盈利预测，银行</w:t>
      </w:r>
      <w:r>
        <w:t>业</w:t>
      </w:r>
      <w:r>
        <w:rPr>
          <w:rFonts w:hint="eastAsia"/>
          <w:lang w:eastAsia="zh-CN"/>
        </w:rPr>
        <w:t>未来两年复合增速中位数</w:t>
      </w:r>
      <w:r>
        <w:rPr>
          <w:rFonts w:hint="eastAsia"/>
          <w:lang w:val="en-US" w:eastAsia="zh-CN"/>
        </w:rPr>
        <w:t>6.9%,PEG中位数1.31。</w:t>
      </w:r>
    </w:p>
    <w:p>
      <w:pPr>
        <w:pStyle w:val="161"/>
      </w:pPr>
      <w:r>
        <w:t>2.3.关键指标</w:t>
      </w:r>
    </w:p>
    <w:p>
      <w:pPr>
        <w:pStyle w:val="162"/>
      </w:pPr>
      <w:r>
        <w:t>如下图，该股票近5年ROE\FCF\PE\PB变化情况。根据中证行业分类，该股票属于1</w:t>
      </w:r>
      <w:r>
        <w:rPr>
          <w:rFonts w:hint="eastAsia"/>
          <w:lang w:eastAsia="zh-CN"/>
        </w:rPr>
        <w:t>银行</w:t>
      </w:r>
      <w:r>
        <w:t>行业，该行业加权平均PE（TTM）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8.65</w:t>
      </w:r>
      <w:r>
        <w:t>，PB为</w:t>
      </w:r>
      <w:r>
        <w:rPr>
          <w:rFonts w:hint="eastAsia"/>
          <w:lang w:val="en-US" w:eastAsia="zh-CN"/>
        </w:rPr>
        <w:t>1.16</w:t>
      </w:r>
      <w:r>
        <w:t>, 其个股PE为7.51,PB为1.06</w:t>
      </w:r>
    </w:p>
    <w:p>
      <w:pPr>
        <w:jc w:val="center"/>
      </w:pPr>
      <w:r>
        <w:drawing>
          <wp:inline distT="0" distB="0" distL="114300" distR="114300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1"/>
      </w:pPr>
      <w:r>
        <w:t>2.4.财务状况</w:t>
      </w:r>
    </w:p>
    <w:p>
      <w:pPr>
        <w:pStyle w:val="162"/>
      </w:pPr>
      <w:r>
        <w:t>该股票与行业在盈利、成长、偿债、营运四个维度中位数的对比如下图，该股票在第三季度报告期内，近5年ROE值为[11.2351, 11.9403, 13.8131, 16.3203, 17.4422]，其ROE在行业排名11，分位数为前14.10%，近5年EPS增速值为[1.5873, 1.6129, -1.5873, 6.7797, 11.3208]；其EPS增速在行业排名29，分位数为前37.18%；企业自由现金流/收入占比为</w:t>
      </w:r>
      <w:r>
        <w:rPr>
          <w:rFonts w:hint="eastAsia"/>
          <w:lang w:val="en-US" w:eastAsia="zh-CN"/>
        </w:rPr>
        <w:t>5%</w:t>
      </w:r>
      <w:r>
        <w:t>，在行业排名</w:t>
      </w:r>
      <w:r>
        <w:rPr>
          <w:rFonts w:hint="eastAsia"/>
          <w:lang w:val="en-US" w:eastAsia="zh-CN"/>
        </w:rPr>
        <w:t>3</w:t>
      </w:r>
      <w:r>
        <w:t>，整体财务</w:t>
      </w:r>
      <w:r>
        <w:rPr>
          <w:rFonts w:hint="eastAsia"/>
          <w:lang w:eastAsia="zh-CN"/>
        </w:rPr>
        <w:t>良好</w:t>
      </w:r>
      <w:r>
        <w:t>。</w:t>
      </w:r>
    </w:p>
    <w:p>
      <w:pPr>
        <w:jc w:val="center"/>
      </w:pPr>
      <w:r>
        <w:drawing>
          <wp:inline distT="0" distB="0" distL="114300" distR="114300">
            <wp:extent cx="2286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0"/>
      </w:pPr>
      <w:r>
        <w:t>三、资金流分析</w:t>
      </w:r>
    </w:p>
    <w:p>
      <w:pPr>
        <w:pStyle w:val="162"/>
      </w:pPr>
      <w:r>
        <w:t>如下图，近9日机构、大户、中户、小户的资金净流入情况。</w:t>
      </w:r>
    </w:p>
    <w:p>
      <w:pPr>
        <w:jc w:val="center"/>
      </w:pPr>
      <w:r>
        <w:drawing>
          <wp:inline distT="0" distB="0" distL="114300" distR="114300">
            <wp:extent cx="228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0"/>
      </w:pPr>
      <w:r>
        <w:t>四、情绪面分析</w:t>
      </w:r>
    </w:p>
    <w:p>
      <w:pPr>
        <w:pStyle w:val="162"/>
      </w:pPr>
      <w:r>
        <w:t>该股票雪球热度当日排名**，新增热度**，近期热度持续**。实时舆情为**，近期舆情呈**。</w:t>
      </w:r>
    </w:p>
    <w:p>
      <w:pPr>
        <w:pStyle w:val="160"/>
      </w:pPr>
      <w:r>
        <w:t>五、行为事件分析</w:t>
      </w:r>
    </w:p>
    <w:p>
      <w:pPr>
        <w:pStyle w:val="162"/>
      </w:pPr>
      <w:r>
        <w:t>近期存在异常事件，南方水灾导致部分原材料工厂停工，可能对**价格造成影响，预计对该股票作用**。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6E28FE"/>
    <w:rsid w:val="4230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4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48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49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0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1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0">
    <w:name w:val="Default Paragraph Font"/>
    <w:unhideWhenUsed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3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uiPriority w:val="99"/>
    <w:pPr>
      <w:spacing w:after="120" w:line="480" w:lineRule="auto"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mphasis"/>
    <w:basedOn w:val="30"/>
    <w:qFormat/>
    <w:uiPriority w:val="20"/>
    <w:rPr>
      <w:i/>
      <w:iCs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30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3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30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30"/>
    <w:link w:val="2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30"/>
    <w:link w:val="2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30"/>
    <w:link w:val="19"/>
    <w:qFormat/>
    <w:uiPriority w:val="99"/>
  </w:style>
  <w:style w:type="character" w:customStyle="1" w:styleId="141">
    <w:name w:val="Body Text 2 Char"/>
    <w:basedOn w:val="30"/>
    <w:link w:val="26"/>
    <w:qFormat/>
    <w:uiPriority w:val="99"/>
  </w:style>
  <w:style w:type="character" w:customStyle="1" w:styleId="142">
    <w:name w:val="Body Text 3 Char"/>
    <w:basedOn w:val="30"/>
    <w:link w:val="17"/>
    <w:qFormat/>
    <w:uiPriority w:val="99"/>
    <w:rPr>
      <w:sz w:val="16"/>
      <w:szCs w:val="16"/>
    </w:rPr>
  </w:style>
  <w:style w:type="character" w:customStyle="1" w:styleId="143">
    <w:name w:val="Macro Text Char"/>
    <w:basedOn w:val="30"/>
    <w:link w:val="13"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30"/>
    <w:link w:val="14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30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30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30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30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30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30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30"/>
    <w:link w:val="152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160">
    <w:name w:val="New Heading 2"/>
    <w:basedOn w:val="3"/>
    <w:uiPriority w:val="0"/>
    <w:rPr>
      <w:rFonts w:ascii="宋体" w:hAnsi="宋体" w:eastAsia="宋体"/>
    </w:rPr>
  </w:style>
  <w:style w:type="paragraph" w:customStyle="1" w:styleId="161">
    <w:name w:val="New Heading 3"/>
    <w:basedOn w:val="3"/>
    <w:uiPriority w:val="0"/>
    <w:rPr>
      <w:rFonts w:ascii="宋体" w:hAnsi="宋体" w:eastAsia="宋体"/>
    </w:rPr>
  </w:style>
  <w:style w:type="paragraph" w:customStyle="1" w:styleId="162">
    <w:name w:val="New Normal"/>
    <w:basedOn w:val="1"/>
    <w:uiPriority w:val="0"/>
    <w:pPr>
      <w:ind w:firstLine="400"/>
    </w:pPr>
    <w:rPr>
      <w:rFonts w:ascii="宋体" w:hAns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WPS_123638050</cp:lastModifiedBy>
  <cp:lastPrinted>2018-01-25T05:14:12Z</cp:lastPrinted>
  <dcterms:modified xsi:type="dcterms:W3CDTF">2018-01-29T05:35:45Z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