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2"/>
      </w:pPr>
      <w:r>
        <w:t>一、投资意见</w:t>
      </w:r>
    </w:p>
    <w:p>
      <w:pPr>
        <w:pStyle w:val="NewNormal"/>
      </w:pPr>
      <w:r>
        <w:t>本报告对该股票长期建议：0001，预测目标价为0000。根据各方面综合测算，短期操作建议观望。</w:t>
      </w:r>
    </w:p>
    <w:p>
      <w:pPr>
        <w:pStyle w:val="NewHeading2"/>
      </w:pPr>
      <w:r>
        <w:t>二、基本信息分析</w:t>
      </w:r>
    </w:p>
    <w:p>
      <w:pPr>
        <w:pStyle w:val="NewHeading3"/>
      </w:pPr>
      <w:r>
        <w:t>2.1.公司介绍</w:t>
      </w:r>
    </w:p>
    <w:p>
      <w:pPr>
        <w:pStyle w:val="NewNormal"/>
      </w:pPr>
      <w:r>
        <w:t>公司是国内白酒行业的标志性企业，主要生产销售世界三大名酒之一的茅台酒，同时进行饮料、食品、包装材料的生产和销售，防伪技术开发，信息产业相关产品的研制开发。茅台酒历史悠久，源远流长，是酱香型白酒的典型代表，享有“国酒”的美称。公司产品形成了低度、高中低档、极品三大系列70多个规格品种，全方位跻身市场，从而占据了白酒市场制高点，称雄于中国极品酒市场。</w:t>
      </w:r>
    </w:p>
    <w:p>
      <w:pPr>
        <w:pStyle w:val="NewHeading3"/>
      </w:pPr>
      <w:r>
        <w:t>2.2.行业分析</w:t>
      </w:r>
    </w:p>
    <w:p>
      <w:pPr>
        <w:pStyle w:val="NewNormal"/>
      </w:pPr>
      <w:r>
        <w:t>根据万德行业分类，该股票属于0007，该行业近期研究报告平均打分为0003_0，建议0003_1。该行业处于上升周期，且行业集中度较高，该公司**产品在行业占有量为*，属于寡头地位，且产品供不求。</w:t>
      </w:r>
    </w:p>
    <w:p>
      <w:pPr>
        <w:pStyle w:val="NewHeading3"/>
      </w:pPr>
      <w:r>
        <w:t>2.3.关键指标</w:t>
      </w:r>
    </w:p>
    <w:p>
      <w:pPr>
        <w:pStyle w:val="NewNormal"/>
      </w:pPr>
      <w:r>
        <w:t>如下图，该股票近5年ROE\FCF\PE\PB变化情况。根据中证行业分类，该股票属于**，该行业于**，加权平均PE（TTM）为0005，PB为0006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4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3"/>
      </w:pPr>
      <w:r>
        <w:t>2.4.财务状况</w:t>
      </w:r>
    </w:p>
    <w:p>
      <w:pPr>
        <w:pStyle w:val="NewNormal"/>
      </w:pPr>
      <w:r>
        <w:t>如下图，可以看出，该股票**能力较强，**能力稍显不足，且较去年同期有所**。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52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2"/>
      </w:pPr>
      <w:r>
        <w:t>三、资金流分析</w:t>
      </w:r>
    </w:p>
    <w:p>
      <w:pPr>
        <w:pStyle w:val="NewNormal"/>
      </w:pPr>
      <w:r>
        <w:t>如下图，近日主力资金持续净流*，大户持续**，散户持续**。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52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2"/>
      </w:pPr>
      <w:r>
        <w:t>四、情绪面分析</w:t>
      </w:r>
    </w:p>
    <w:p>
      <w:pPr>
        <w:pStyle w:val="NewNormal"/>
      </w:pPr>
      <w:r>
        <w:t>该股票雪球热度当日排名**，新增热度**，近期热度持续**。实时舆情为**，近期舆情呈**。</w:t>
      </w:r>
    </w:p>
    <w:p>
      <w:pPr>
        <w:pStyle w:val="NewHeading2"/>
      </w:pPr>
      <w:r>
        <w:t>五、行为事件分析</w:t>
      </w:r>
    </w:p>
    <w:p>
      <w:pPr>
        <w:pStyle w:val="NewNormal"/>
      </w:pPr>
      <w:r>
        <w:t>近期存在异常事件，南方水灾导致部分原材料工厂停工，可能对**价格造成影响，预计对该股票作用**。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2">
    <w:name w:val="New Heading 2"/>
    <w:basedOn w:val="Heading2"/>
    <w:rPr>
      <w:rFonts w:ascii="宋体" w:hAnsi="宋体" w:eastAsia="宋体"/>
    </w:rPr>
  </w:style>
  <w:style w:type="paragraph" w:customStyle="1" w:styleId="NewHeading3">
    <w:name w:val="New Heading 3"/>
    <w:basedOn w:val="Heading2"/>
    <w:rPr>
      <w:rFonts w:ascii="宋体" w:hAnsi="宋体" w:eastAsia="宋体"/>
    </w:rPr>
  </w:style>
  <w:style w:type="paragraph" w:customStyle="1" w:styleId="NewNormal">
    <w:name w:val="New Normal"/>
    <w:basedOn w:val="Normal"/>
    <w:pPr>
      <w:ind w:firstLine="400"/>
    </w:pPr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1" Type="http://schemas.openxmlformats.org/officeDocument/2006/relationships/image" Target="media/image3.png"/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