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263E5A"/>
          <w:sz w:val="20"/>
        </w:rPr>
        <w:t>ZEBA ACADEMY</w:t>
      </w:r>
      <w:r>
        <w:rPr>
          <w:color w:val="464646"/>
          <w:sz w:val="18"/>
        </w:rPr>
        <w:t xml:space="preserve">  /  zeba.academy  /  Instructor – Sufyan bin Uzayr</w:t>
      </w:r>
    </w:p>
    <w:p>
      <w:pPr>
        <w:spacing w:before="40" w:after="0"/>
        <w:jc w:val="center"/>
      </w:pPr>
      <w:r>
        <w:rPr>
          <w:b/>
          <w:color w:val="102F53"/>
          <w:sz w:val="36"/>
        </w:rPr>
        <w:t>Lab Practicum 01: Empirical Parallel Computing</w:t>
      </w:r>
    </w:p>
    <w:p>
      <w:pPr>
        <w:spacing w:before="0" w:after="160"/>
        <w:jc w:val="center"/>
      </w:pPr>
      <w:r>
        <w:rPr>
          <w:i/>
          <w:color w:val="2E5B96"/>
          <w:sz w:val="21"/>
        </w:rPr>
        <w:t>Silicon Profiling, Multi-Core Scaling Limits, and Concurrency Hazards</w:t>
      </w:r>
    </w:p>
    <w:tbl>
      <w:tblPr>
        <w:tblW w:type="auto" w:w="0"/>
        <w:jc w:val="center"/>
        <w:tblLayout w:type="fixed"/>
        <w:tblLook w:firstColumn="1" w:firstRow="1" w:lastColumn="0" w:lastRow="0" w:noHBand="0" w:noVBand="1" w:val="04A0"/>
        <w:tblBorders>
          <w:top w:val="single" w:sz="6" w:space="0" w:color="B8C4D6"/>
          <w:left w:val="single" w:sz="6" w:space="0" w:color="B8C4D6"/>
          <w:bottom w:val="single" w:sz="6" w:space="0" w:color="B8C4D6"/>
          <w:right w:val="single" w:sz="6" w:space="0" w:color="B8C4D6"/>
          <w:insideH w:val="single" w:sz="6" w:space="0" w:color="B8C4D6"/>
          <w:insideV w:val="single" w:sz="6" w:space="0" w:color="B8C4D6"/>
        </w:tblBorders>
      </w:tblPr>
      <w:tblGrid>
        <w:gridCol w:w="2613"/>
        <w:gridCol w:w="2613"/>
        <w:gridCol w:w="2613"/>
        <w:gridCol w:w="2613"/>
      </w:tblGrid>
      <w:tr>
        <w:tc>
          <w:tcPr>
            <w:tcW w:type="dxa" w:w="2016"/>
            <w:tcMar>
              <w:top w:w="70" w:type="dxa"/>
              <w:start w:w="80" w:type="dxa"/>
              <w:bottom w:w="70" w:type="dxa"/>
              <w:end w:w="80" w:type="dxa"/>
            </w:tcMar>
            <w:shd w:fill="EAF0F7"/>
            <w:vAlign w:val="center"/>
          </w:tcPr>
          <w:p>
            <w:r/>
            <w:r>
              <w:rPr>
                <w:b/>
                <w:color w:val="263E5A"/>
                <w:sz w:val="15"/>
              </w:rPr>
              <w:t>STUDENT NAME</w:t>
            </w:r>
          </w:p>
        </w:tc>
        <w:tc>
          <w:tcPr>
            <w:tcW w:type="dxa" w:w="1872"/>
            <w:tcMar>
              <w:top w:w="70" w:type="dxa"/>
              <w:start w:w="80" w:type="dxa"/>
              <w:bottom w:w="70" w:type="dxa"/>
              <w:end w:w="80" w:type="dxa"/>
            </w:tcMar>
            <w:shd w:fill="EAF0F7"/>
            <w:vAlign w:val="center"/>
          </w:tcPr>
          <w:p>
            <w:r/>
            <w:r>
              <w:rPr>
                <w:b/>
                <w:color w:val="263E5A"/>
                <w:sz w:val="15"/>
              </w:rPr>
              <w:t>STUDENT ID</w:t>
            </w:r>
          </w:p>
        </w:tc>
        <w:tc>
          <w:tcPr>
            <w:tcW w:type="dxa" w:w="3024"/>
            <w:tcMar>
              <w:top w:w="70" w:type="dxa"/>
              <w:start w:w="80" w:type="dxa"/>
              <w:bottom w:w="70" w:type="dxa"/>
              <w:end w:w="80" w:type="dxa"/>
            </w:tcMar>
            <w:shd w:fill="EAF0F7"/>
            <w:vAlign w:val="center"/>
          </w:tcPr>
          <w:p>
            <w:r/>
            <w:r>
              <w:rPr>
                <w:b/>
                <w:color w:val="263E5A"/>
                <w:sz w:val="15"/>
              </w:rPr>
              <w:t>HOST CPU / SOC MODEL</w:t>
            </w:r>
          </w:p>
        </w:tc>
        <w:tc>
          <w:tcPr>
            <w:tcW w:type="dxa" w:w="2592"/>
            <w:tcMar>
              <w:top w:w="70" w:type="dxa"/>
              <w:start w:w="80" w:type="dxa"/>
              <w:bottom w:w="70" w:type="dxa"/>
              <w:end w:w="80" w:type="dxa"/>
            </w:tcMar>
            <w:shd w:fill="EAF0F7"/>
            <w:vAlign w:val="center"/>
          </w:tcPr>
          <w:p>
            <w:r/>
            <w:r>
              <w:rPr>
                <w:b/>
                <w:color w:val="263E5A"/>
                <w:sz w:val="15"/>
              </w:rPr>
              <w:t>OPERATING SYSTEM &amp; KERNEL</w:t>
            </w:r>
          </w:p>
        </w:tc>
      </w:tr>
      <w:tr>
        <w:tc>
          <w:tcPr>
            <w:tcW w:type="dxa" w:w="2016"/>
            <w:tcMar>
              <w:top w:w="70" w:type="dxa"/>
              <w:start w:w="80" w:type="dxa"/>
              <w:bottom w:w="70" w:type="dxa"/>
              <w:end w:w="80" w:type="dxa"/>
            </w:tcMar>
            <w:vAlign w:val="center"/>
          </w:tcPr>
          <w:p>
            <w:r/>
            <w:r>
              <w:rPr>
                <w:b w:val="0"/>
                <w:sz w:val="17"/>
              </w:rPr>
              <w:t>Mardan Ibragimov</w:t>
            </w:r>
          </w:p>
        </w:tc>
        <w:tc>
          <w:tcPr>
            <w:tcW w:type="dxa" w:w="1872"/>
            <w:tcMar>
              <w:top w:w="70" w:type="dxa"/>
              <w:start w:w="80" w:type="dxa"/>
              <w:bottom w:w="70" w:type="dxa"/>
              <w:end w:w="80" w:type="dxa"/>
            </w:tcMar>
            <w:vAlign w:val="center"/>
          </w:tcPr>
          <w:p>
            <w:r>
              <w:t>230103054</w:t>
            </w:r>
            <w:r>
              <w:rPr>
                <w:b w:val="0"/>
                <w:sz w:val="17"/>
              </w:rPr>
            </w:r>
          </w:p>
        </w:tc>
        <w:tc>
          <w:tcPr>
            <w:tcW w:type="dxa" w:w="3024"/>
            <w:tcMar>
              <w:top w:w="70" w:type="dxa"/>
              <w:start w:w="80" w:type="dxa"/>
              <w:bottom w:w="70" w:type="dxa"/>
              <w:end w:w="80" w:type="dxa"/>
            </w:tcMar>
            <w:vAlign w:val="center"/>
          </w:tcPr>
          <w:p>
            <w:r/>
            <w:r>
              <w:rPr>
                <w:b w:val="0"/>
                <w:sz w:val="17"/>
              </w:rPr>
              <w:t>Intel Core i7-12700H</w:t>
            </w:r>
          </w:p>
        </w:tc>
        <w:tc>
          <w:tcPr>
            <w:tcW w:type="dxa" w:w="2592"/>
            <w:tcMar>
              <w:top w:w="70" w:type="dxa"/>
              <w:start w:w="80" w:type="dxa"/>
              <w:bottom w:w="70" w:type="dxa"/>
              <w:end w:w="80" w:type="dxa"/>
            </w:tcMar>
            <w:vAlign w:val="center"/>
          </w:tcPr>
          <w:p>
            <w:r/>
            <w:r>
              <w:rPr>
                <w:b w:val="0"/>
                <w:sz w:val="17"/>
              </w:rPr>
              <w:t>Windows 11 Pro / 10.0.26200</w:t>
            </w:r>
          </w:p>
        </w:tc>
      </w:tr>
    </w:tbl>
    <w:p>
      <w:pPr>
        <w:spacing w:before="140" w:after="80"/>
      </w:pPr>
      <w:r>
        <w:rPr>
          <w:b/>
          <w:color w:val="3C3C3C"/>
          <w:sz w:val="17"/>
        </w:rPr>
        <w:t>Duration: 90 minutes  |  Format: Solo In-Class Lab  |  Weight: 5% of Course Grade</w:t>
      </w:r>
    </w:p>
    <w:tbl>
      <w:tblPr>
        <w:tblW w:type="auto" w:w="0"/>
        <w:tblLook w:firstColumn="1" w:firstRow="1" w:lastColumn="0" w:lastRow="0" w:noHBand="0" w:noVBand="1" w:val="04A0"/>
        <w:tblBorders>
          <w:top w:val="single" w:sz="8" w:space="0" w:color="5B8AC4"/>
          <w:left w:val="single" w:sz="8" w:space="0" w:color="5B8AC4"/>
          <w:bottom w:val="single" w:sz="8" w:space="0" w:color="5B8AC4"/>
          <w:right w:val="single" w:sz="8" w:space="0" w:color="5B8AC4"/>
          <w:insideH w:val="single" w:sz="8" w:space="0" w:color="5B8AC4"/>
          <w:insideV w:val="single" w:sz="8" w:space="0" w:color="5B8AC4"/>
        </w:tblBorders>
      </w:tblPr>
      <w:tblGrid>
        <w:gridCol w:w="10454"/>
      </w:tblGrid>
      <w:tr>
        <w:tc>
          <w:tcPr>
            <w:tcW w:type="dxa" w:w="10454"/>
            <w:shd w:fill="EEF6FF"/>
            <w:tcMar>
              <w:top w:w="90" w:type="dxa"/>
              <w:start w:w="100" w:type="dxa"/>
              <w:bottom w:w="90" w:type="dxa"/>
              <w:end w:w="100" w:type="dxa"/>
            </w:tcMar>
          </w:tcPr>
          <w:p>
            <w:r>
              <w:rPr>
                <w:b/>
                <w:color w:val="23568D"/>
                <w:sz w:val="17"/>
              </w:rPr>
              <w:t xml:space="preserve">Generative AI &amp; Tooling Policy: </w:t>
            </w:r>
            <w:r>
              <w:rPr>
                <w:sz w:val="17"/>
              </w:rPr>
              <w:t>LLMs were used to generate the benchmark code and prepare this report. All timings, counter outputs, and hardware measurements shown below were obtained from the local host machine; no benchmark values were fabricated.</w:t>
            </w:r>
          </w:p>
        </w:tc>
      </w:tr>
    </w:tbl>
    <w:tbl>
      <w:tblPr>
        <w:tblW w:type="auto" w:w="0"/>
        <w:jc w:val="center"/>
        <w:tblLayout w:type="autofit"/>
        <w:tblLook w:firstColumn="1" w:firstRow="1" w:lastColumn="0" w:lastRow="0" w:noHBand="0" w:noVBand="1" w:val="04A0"/>
      </w:tblPr>
      <w:tblGrid>
        <w:gridCol w:w="10454"/>
      </w:tblGrid>
      <w:tr>
        <w:tc>
          <w:tcPr>
            <w:tcW w:type="dxa" w:w="10454"/>
            <w:shd w:fill="14243A"/>
            <w:tcMar>
              <w:top w:w="90" w:type="dxa"/>
              <w:start w:w="120" w:type="dxa"/>
              <w:bottom w:w="90" w:type="dxa"/>
              <w:end w:w="120" w:type="dxa"/>
            </w:tcMar>
          </w:tcPr>
          <w:p>
            <w:pPr>
              <w:spacing w:after="0"/>
            </w:pPr>
            <w:r>
              <w:rPr>
                <w:b/>
                <w:color w:val="FFFFFF"/>
                <w:sz w:val="22"/>
              </w:rPr>
              <w:t>TASK 1: Host Silicon Audit &amp; Flynn’s Taxonomy Mapping</w:t>
            </w:r>
            <w:r>
              <w:rPr>
                <w:color w:val="DCE4EE"/>
                <w:sz w:val="18"/>
              </w:rPr>
              <w:t xml:space="preserve">    15 Minutes | 20 Points</w:t>
            </w:r>
          </w:p>
        </w:tc>
      </w:tr>
    </w:tbl>
    <w:p>
      <w:pPr>
        <w:spacing w:after="0"/>
      </w:pPr>
    </w:p>
    <w:tbl>
      <w:tblPr>
        <w:tblW w:type="auto" w:w="0"/>
        <w:jc w:val="center"/>
        <w:tblLayout w:type="fixed"/>
        <w:tblLook w:firstColumn="1" w:firstRow="1" w:lastColumn="0" w:lastRow="0" w:noHBand="0" w:noVBand="1" w:val="04A0"/>
        <w:tblBorders>
          <w:top w:val="single" w:sz="6" w:space="0" w:color="B8C4D6"/>
          <w:left w:val="single" w:sz="6" w:space="0" w:color="B8C4D6"/>
          <w:bottom w:val="single" w:sz="6" w:space="0" w:color="B8C4D6"/>
          <w:right w:val="single" w:sz="6" w:space="0" w:color="B8C4D6"/>
          <w:insideH w:val="single" w:sz="6" w:space="0" w:color="B8C4D6"/>
          <w:insideV w:val="single" w:sz="6" w:space="0" w:color="B8C4D6"/>
        </w:tblBorders>
      </w:tblPr>
      <w:tblGrid>
        <w:gridCol w:w="2613"/>
        <w:gridCol w:w="2613"/>
        <w:gridCol w:w="2613"/>
        <w:gridCol w:w="2613"/>
      </w:tblGrid>
      <w:tr>
        <w:tc>
          <w:tcPr>
            <w:tcW w:type="dxa" w:w="2613"/>
            <w:tcMar>
              <w:top w:w="60" w:type="dxa"/>
              <w:start w:w="70" w:type="dxa"/>
              <w:bottom w:w="60" w:type="dxa"/>
              <w:end w:w="70" w:type="dxa"/>
            </w:tcMar>
            <w:shd w:fill="EAF0F7"/>
            <w:vAlign w:val="center"/>
          </w:tcPr>
          <w:p>
            <w:r/>
            <w:r>
              <w:rPr>
                <w:b/>
                <w:color w:val="263E5A"/>
                <w:sz w:val="16"/>
              </w:rPr>
              <w:t>CPU Model &amp; Architecture</w:t>
            </w:r>
          </w:p>
        </w:tc>
        <w:tc>
          <w:tcPr>
            <w:tcW w:type="dxa" w:w="2613"/>
            <w:tcMar>
              <w:top w:w="60" w:type="dxa"/>
              <w:start w:w="70" w:type="dxa"/>
              <w:bottom w:w="60" w:type="dxa"/>
              <w:end w:w="70" w:type="dxa"/>
            </w:tcMar>
            <w:vAlign w:val="center"/>
          </w:tcPr>
          <w:p>
            <w:r/>
            <w:r>
              <w:rPr>
                <w:b w:val="0"/>
                <w:sz w:val="17"/>
              </w:rPr>
              <w:t>Intel Core i7-12700H / x86-64 (AMD64)</w:t>
            </w:r>
          </w:p>
        </w:tc>
        <w:tc>
          <w:tcPr>
            <w:tcW w:type="dxa" w:w="2613"/>
            <w:tcMar>
              <w:top w:w="60" w:type="dxa"/>
              <w:start w:w="70" w:type="dxa"/>
              <w:bottom w:w="60" w:type="dxa"/>
              <w:end w:w="70" w:type="dxa"/>
            </w:tcMar>
            <w:shd w:fill="EAF0F7"/>
            <w:vAlign w:val="center"/>
          </w:tcPr>
          <w:p>
            <w:r/>
            <w:r>
              <w:rPr>
                <w:b/>
                <w:color w:val="263E5A"/>
                <w:sz w:val="16"/>
              </w:rPr>
              <w:t>Base &amp; Max Boost Clock</w:t>
            </w:r>
          </w:p>
        </w:tc>
        <w:tc>
          <w:tcPr>
            <w:tcW w:type="dxa" w:w="2613"/>
            <w:tcMar>
              <w:top w:w="60" w:type="dxa"/>
              <w:start w:w="70" w:type="dxa"/>
              <w:bottom w:w="60" w:type="dxa"/>
              <w:end w:w="70" w:type="dxa"/>
            </w:tcMar>
            <w:vAlign w:val="center"/>
          </w:tcPr>
          <w:p>
            <w:r/>
            <w:r>
              <w:rPr>
                <w:b w:val="0"/>
                <w:sz w:val="17"/>
              </w:rPr>
              <w:t>2.30 GHz measured / 4.70 GHz max turbo</w:t>
            </w:r>
          </w:p>
        </w:tc>
      </w:tr>
      <w:tr>
        <w:tc>
          <w:tcPr>
            <w:tcW w:type="dxa" w:w="2613"/>
            <w:tcMar>
              <w:top w:w="60" w:type="dxa"/>
              <w:start w:w="70" w:type="dxa"/>
              <w:bottom w:w="60" w:type="dxa"/>
              <w:end w:w="70" w:type="dxa"/>
            </w:tcMar>
            <w:shd w:fill="EAF0F7"/>
            <w:vAlign w:val="center"/>
          </w:tcPr>
          <w:p>
            <w:r/>
            <w:r>
              <w:rPr>
                <w:b/>
                <w:color w:val="263E5A"/>
                <w:sz w:val="16"/>
              </w:rPr>
              <w:t>Physical Hardware Cores</w:t>
            </w:r>
          </w:p>
        </w:tc>
        <w:tc>
          <w:tcPr>
            <w:tcW w:type="dxa" w:w="2613"/>
            <w:tcMar>
              <w:top w:w="60" w:type="dxa"/>
              <w:start w:w="70" w:type="dxa"/>
              <w:bottom w:w="60" w:type="dxa"/>
              <w:end w:w="70" w:type="dxa"/>
            </w:tcMar>
            <w:vAlign w:val="center"/>
          </w:tcPr>
          <w:p>
            <w:r/>
            <w:r>
              <w:rPr>
                <w:b w:val="0"/>
                <w:sz w:val="17"/>
              </w:rPr>
              <w:t>14 (6 Performance + 8 Efficient)</w:t>
            </w:r>
          </w:p>
        </w:tc>
        <w:tc>
          <w:tcPr>
            <w:tcW w:type="dxa" w:w="2613"/>
            <w:tcMar>
              <w:top w:w="60" w:type="dxa"/>
              <w:start w:w="70" w:type="dxa"/>
              <w:bottom w:w="60" w:type="dxa"/>
              <w:end w:w="70" w:type="dxa"/>
            </w:tcMar>
            <w:shd w:fill="EAF0F7"/>
            <w:vAlign w:val="center"/>
          </w:tcPr>
          <w:p>
            <w:r/>
            <w:r>
              <w:rPr>
                <w:b/>
                <w:color w:val="263E5A"/>
                <w:sz w:val="16"/>
              </w:rPr>
              <w:t>Logical Cores (SMT/Threads)</w:t>
            </w:r>
          </w:p>
        </w:tc>
        <w:tc>
          <w:tcPr>
            <w:tcW w:type="dxa" w:w="2613"/>
            <w:tcMar>
              <w:top w:w="60" w:type="dxa"/>
              <w:start w:w="70" w:type="dxa"/>
              <w:bottom w:w="60" w:type="dxa"/>
              <w:end w:w="70" w:type="dxa"/>
            </w:tcMar>
            <w:vAlign w:val="center"/>
          </w:tcPr>
          <w:p>
            <w:r/>
            <w:r>
              <w:rPr>
                <w:b w:val="0"/>
                <w:sz w:val="17"/>
              </w:rPr>
              <w:t>20 hardware threads</w:t>
            </w:r>
          </w:p>
        </w:tc>
      </w:tr>
      <w:tr>
        <w:tc>
          <w:tcPr>
            <w:tcW w:type="dxa" w:w="2613"/>
            <w:tcMar>
              <w:top w:w="60" w:type="dxa"/>
              <w:start w:w="70" w:type="dxa"/>
              <w:bottom w:w="60" w:type="dxa"/>
              <w:end w:w="70" w:type="dxa"/>
            </w:tcMar>
            <w:shd w:fill="EAF0F7"/>
            <w:vAlign w:val="center"/>
          </w:tcPr>
          <w:p>
            <w:r/>
            <w:r>
              <w:rPr>
                <w:b/>
                <w:color w:val="263E5A"/>
                <w:sz w:val="16"/>
              </w:rPr>
              <w:t>L1 Data / Instruction Cache</w:t>
            </w:r>
          </w:p>
        </w:tc>
        <w:tc>
          <w:tcPr>
            <w:tcW w:type="dxa" w:w="2613"/>
            <w:tcMar>
              <w:top w:w="60" w:type="dxa"/>
              <w:start w:w="70" w:type="dxa"/>
              <w:bottom w:w="60" w:type="dxa"/>
              <w:end w:w="70" w:type="dxa"/>
            </w:tcMar>
            <w:vAlign w:val="center"/>
          </w:tcPr>
          <w:p>
            <w:r/>
            <w:r>
              <w:rPr>
                <w:b w:val="0"/>
                <w:sz w:val="17"/>
              </w:rPr>
              <w:t>L1d 544 KB total / L1i 704 KB total</w:t>
            </w:r>
          </w:p>
        </w:tc>
        <w:tc>
          <w:tcPr>
            <w:tcW w:type="dxa" w:w="2613"/>
            <w:tcMar>
              <w:top w:w="60" w:type="dxa"/>
              <w:start w:w="70" w:type="dxa"/>
              <w:bottom w:w="60" w:type="dxa"/>
              <w:end w:w="70" w:type="dxa"/>
            </w:tcMar>
            <w:shd w:fill="EAF0F7"/>
            <w:vAlign w:val="center"/>
          </w:tcPr>
          <w:p>
            <w:r/>
            <w:r>
              <w:rPr>
                <w:b/>
                <w:color w:val="263E5A"/>
                <w:sz w:val="16"/>
              </w:rPr>
              <w:t>L2 Cache (Total)</w:t>
            </w:r>
          </w:p>
        </w:tc>
        <w:tc>
          <w:tcPr>
            <w:tcW w:type="dxa" w:w="2613"/>
            <w:tcMar>
              <w:top w:w="60" w:type="dxa"/>
              <w:start w:w="70" w:type="dxa"/>
              <w:bottom w:w="60" w:type="dxa"/>
              <w:end w:w="70" w:type="dxa"/>
            </w:tcMar>
            <w:vAlign w:val="center"/>
          </w:tcPr>
          <w:p>
            <w:r/>
            <w:r>
              <w:rPr>
                <w:b w:val="0"/>
                <w:sz w:val="17"/>
              </w:rPr>
              <w:t>11,776 KB (11.5 MB)</w:t>
            </w:r>
          </w:p>
        </w:tc>
      </w:tr>
      <w:tr>
        <w:tc>
          <w:tcPr>
            <w:tcW w:type="dxa" w:w="2613"/>
            <w:tcMar>
              <w:top w:w="60" w:type="dxa"/>
              <w:start w:w="70" w:type="dxa"/>
              <w:bottom w:w="60" w:type="dxa"/>
              <w:end w:w="70" w:type="dxa"/>
            </w:tcMar>
            <w:shd w:fill="EAF0F7"/>
            <w:vAlign w:val="center"/>
          </w:tcPr>
          <w:p>
            <w:r/>
            <w:r>
              <w:rPr>
                <w:b/>
                <w:color w:val="263E5A"/>
                <w:sz w:val="16"/>
              </w:rPr>
              <w:t>L3 Shared Last-Level Cache</w:t>
            </w:r>
          </w:p>
        </w:tc>
        <w:tc>
          <w:tcPr>
            <w:tcW w:type="dxa" w:w="2613"/>
            <w:tcMar>
              <w:top w:w="60" w:type="dxa"/>
              <w:start w:w="70" w:type="dxa"/>
              <w:bottom w:w="60" w:type="dxa"/>
              <w:end w:w="70" w:type="dxa"/>
            </w:tcMar>
            <w:vAlign w:val="center"/>
          </w:tcPr>
          <w:p>
            <w:r/>
            <w:r>
              <w:rPr>
                <w:b w:val="0"/>
                <w:sz w:val="17"/>
              </w:rPr>
              <w:t>24,576 KB (24 MB)</w:t>
            </w:r>
          </w:p>
        </w:tc>
        <w:tc>
          <w:tcPr>
            <w:tcW w:type="dxa" w:w="2613"/>
            <w:tcMar>
              <w:top w:w="60" w:type="dxa"/>
              <w:start w:w="70" w:type="dxa"/>
              <w:bottom w:w="60" w:type="dxa"/>
              <w:end w:w="70" w:type="dxa"/>
            </w:tcMar>
            <w:shd w:fill="EAF0F7"/>
            <w:vAlign w:val="center"/>
          </w:tcPr>
          <w:p>
            <w:r/>
            <w:r>
              <w:rPr>
                <w:b/>
                <w:color w:val="263E5A"/>
                <w:sz w:val="16"/>
              </w:rPr>
              <w:t>SIMD Vector Extensions</w:t>
            </w:r>
          </w:p>
        </w:tc>
        <w:tc>
          <w:tcPr>
            <w:tcW w:type="dxa" w:w="2613"/>
            <w:tcMar>
              <w:top w:w="60" w:type="dxa"/>
              <w:start w:w="70" w:type="dxa"/>
              <w:bottom w:w="60" w:type="dxa"/>
              <w:end w:w="70" w:type="dxa"/>
            </w:tcMar>
            <w:vAlign w:val="center"/>
          </w:tcPr>
          <w:p>
            <w:r/>
            <w:r>
              <w:rPr>
                <w:b w:val="0"/>
                <w:sz w:val="17"/>
              </w:rPr>
              <w:t>SSE4.1, SSE4.2, AVX2</w:t>
            </w:r>
          </w:p>
        </w:tc>
      </w:tr>
      <w:tr>
        <w:tc>
          <w:tcPr>
            <w:tcW w:type="dxa" w:w="2613"/>
            <w:tcMar>
              <w:top w:w="60" w:type="dxa"/>
              <w:start w:w="70" w:type="dxa"/>
              <w:bottom w:w="60" w:type="dxa"/>
              <w:end w:w="70" w:type="dxa"/>
            </w:tcMar>
            <w:shd w:fill="EAF0F7"/>
            <w:vAlign w:val="center"/>
          </w:tcPr>
          <w:p>
            <w:r/>
            <w:r>
              <w:rPr>
                <w:b/>
                <w:color w:val="263E5A"/>
                <w:sz w:val="16"/>
              </w:rPr>
              <w:t>Operating System</w:t>
            </w:r>
          </w:p>
        </w:tc>
        <w:tc>
          <w:tcPr>
            <w:tcW w:type="dxa" w:w="2613"/>
            <w:tcMar>
              <w:top w:w="60" w:type="dxa"/>
              <w:start w:w="70" w:type="dxa"/>
              <w:bottom w:w="60" w:type="dxa"/>
              <w:end w:w="70" w:type="dxa"/>
            </w:tcMar>
            <w:vAlign w:val="center"/>
          </w:tcPr>
          <w:p>
            <w:r/>
            <w:r>
              <w:rPr>
                <w:b w:val="0"/>
                <w:sz w:val="17"/>
              </w:rPr>
              <w:t>Windows 11 Pro, build 10.0.26200</w:t>
            </w:r>
          </w:p>
        </w:tc>
        <w:tc>
          <w:tcPr>
            <w:tcW w:type="dxa" w:w="2613"/>
            <w:tcMar>
              <w:top w:w="60" w:type="dxa"/>
              <w:start w:w="70" w:type="dxa"/>
              <w:bottom w:w="60" w:type="dxa"/>
              <w:end w:w="70" w:type="dxa"/>
            </w:tcMar>
            <w:shd w:fill="EAF0F7"/>
            <w:vAlign w:val="center"/>
          </w:tcPr>
          <w:p>
            <w:r/>
            <w:r>
              <w:rPr>
                <w:b/>
                <w:color w:val="263E5A"/>
                <w:sz w:val="16"/>
              </w:rPr>
              <w:t>Benchmark Runtime</w:t>
            </w:r>
          </w:p>
        </w:tc>
        <w:tc>
          <w:tcPr>
            <w:tcW w:type="dxa" w:w="2613"/>
            <w:tcMar>
              <w:top w:w="60" w:type="dxa"/>
              <w:start w:w="70" w:type="dxa"/>
              <w:bottom w:w="60" w:type="dxa"/>
              <w:end w:w="70" w:type="dxa"/>
            </w:tcMar>
            <w:vAlign w:val="center"/>
          </w:tcPr>
          <w:p>
            <w:r/>
            <w:r>
              <w:rPr>
                <w:b w:val="0"/>
                <w:sz w:val="17"/>
              </w:rPr>
              <w:t>C# / .NET Threads</w:t>
            </w:r>
          </w:p>
        </w:tc>
      </w:tr>
    </w:tbl>
    <w:p>
      <w:pPr>
        <w:spacing w:before="80" w:after="40"/>
      </w:pPr>
      <w:r>
        <w:rPr>
          <w:b/>
          <w:sz w:val="20"/>
        </w:rPr>
        <w:t xml:space="preserve">Q1.1: </w:t>
      </w:r>
      <w:r>
        <w:rPr>
          <w:sz w:val="20"/>
        </w:rPr>
        <w:t>Map your host machine's execution modes into Flynn's Taxonomy.</w:t>
      </w:r>
    </w:p>
    <w:tbl>
      <w:tblPr>
        <w:tblW w:type="auto" w:w="0"/>
        <w:jc w:val="center"/>
        <w:tblLook w:firstColumn="1" w:firstRow="1" w:lastColumn="0" w:lastRow="0" w:noHBand="0" w:noVBand="1" w:val="04A0"/>
        <w:tblBorders>
          <w:top w:val="single" w:sz="5" w:space="0" w:color="A9B6C8"/>
          <w:left w:val="single" w:sz="5" w:space="0" w:color="A9B6C8"/>
          <w:bottom w:val="single" w:sz="5" w:space="0" w:color="A9B6C8"/>
          <w:right w:val="single" w:sz="5" w:space="0" w:color="A9B6C8"/>
          <w:insideH w:val="single" w:sz="5" w:space="0" w:color="A9B6C8"/>
          <w:insideV w:val="single" w:sz="5" w:space="0" w:color="A9B6C8"/>
        </w:tblBorders>
      </w:tblPr>
      <w:tblGrid>
        <w:gridCol w:w="10454"/>
      </w:tblGrid>
      <w:tr>
        <w:tc>
          <w:tcPr>
            <w:tcW w:type="dxa" w:w="10454"/>
            <w:shd w:fill="F7F9FC"/>
            <w:tcMar>
              <w:top w:w="100" w:type="dxa"/>
              <w:start w:w="120" w:type="dxa"/>
              <w:bottom w:w="100" w:type="dxa"/>
              <w:end w:w="120" w:type="dxa"/>
            </w:tcMar>
          </w:tcPr>
          <w:p>
            <w:pPr>
              <w:spacing w:after="0"/>
            </w:pPr>
            <w:r>
              <w:rPr>
                <w:sz w:val="19"/>
              </w:rPr>
              <w:t>SISD: A single-threaded workload, such as one compiler pass or a serial loop, uses one instruction stream on one data stream at a time. SIMD: The i7-12700H supports AVX2, allowing one instruction to operate on multiple packed data elements during vectorizable workloads such as matrix arithmetic. MIMD: Windows can schedule independent threads and processes across the CPU’s 14 physical cores / 20 logical threads, so different cores can execute different instruction streams on different data simultaneously.</w:t>
            </w:r>
          </w:p>
        </w:tc>
      </w:tr>
    </w:tbl>
    <w:p>
      <w:pPr>
        <w:spacing w:before="120" w:after="60"/>
        <w:jc w:val="center"/>
      </w:pPr>
      <w:r>
        <w:drawing>
          <wp:inline xmlns:a="http://schemas.openxmlformats.org/drawingml/2006/main" xmlns:pic="http://schemas.openxmlformats.org/drawingml/2006/picture">
            <wp:extent cx="5989320" cy="3243375"/>
            <wp:docPr id="1" name="Picture 1"/>
            <wp:cNvGraphicFramePr>
              <a:graphicFrameLocks noChangeAspect="1"/>
            </wp:cNvGraphicFramePr>
            <a:graphic>
              <a:graphicData uri="http://schemas.openxmlformats.org/drawingml/2006/picture">
                <pic:pic>
                  <pic:nvPicPr>
                    <pic:cNvPr id="0" name="059e9382-14d5-4daa-b829-fdf0d15e241c.png"/>
                    <pic:cNvPicPr/>
                  </pic:nvPicPr>
                  <pic:blipFill>
                    <a:blip r:embed="rId9"/>
                    <a:stretch>
                      <a:fillRect/>
                    </a:stretch>
                  </pic:blipFill>
                  <pic:spPr>
                    <a:xfrm>
                      <a:off x="0" y="0"/>
                      <a:ext cx="5989320" cy="3243375"/>
                    </a:xfrm>
                    <a:prstGeom prst="rect"/>
                  </pic:spPr>
                </pic:pic>
              </a:graphicData>
            </a:graphic>
          </wp:inline>
        </w:drawing>
      </w:r>
    </w:p>
    <w:p>
      <w:pPr>
        <w:spacing w:after="160"/>
        <w:jc w:val="center"/>
      </w:pPr>
      <w:r>
        <w:rPr>
          <w:i/>
          <w:color w:val="5A5A5A"/>
          <w:sz w:val="16"/>
        </w:rPr>
        <w:t>Figure 1. Local host audit output captured during Task 1.</w:t>
      </w:r>
    </w:p>
    <w:tbl>
      <w:tblPr>
        <w:tblW w:type="auto" w:w="0"/>
        <w:jc w:val="center"/>
        <w:tblLayout w:type="autofit"/>
        <w:tblLook w:firstColumn="1" w:firstRow="1" w:lastColumn="0" w:lastRow="0" w:noHBand="0" w:noVBand="1" w:val="04A0"/>
      </w:tblPr>
      <w:tblGrid>
        <w:gridCol w:w="10454"/>
      </w:tblGrid>
      <w:tr>
        <w:tc>
          <w:tcPr>
            <w:tcW w:type="dxa" w:w="10454"/>
            <w:shd w:fill="14243A"/>
            <w:tcMar>
              <w:top w:w="90" w:type="dxa"/>
              <w:start w:w="120" w:type="dxa"/>
              <w:bottom w:w="90" w:type="dxa"/>
              <w:end w:w="120" w:type="dxa"/>
            </w:tcMar>
          </w:tcPr>
          <w:p>
            <w:pPr>
              <w:spacing w:after="0"/>
            </w:pPr>
            <w:r>
              <w:rPr>
                <w:b/>
                <w:color w:val="FFFFFF"/>
                <w:sz w:val="22"/>
              </w:rPr>
              <w:t>TASK 2: Multi-Thread Scaling Benchmark &amp; Contention Wall</w:t>
            </w:r>
            <w:r>
              <w:rPr>
                <w:color w:val="DCE4EE"/>
                <w:sz w:val="18"/>
              </w:rPr>
              <w:t xml:space="preserve">    35 Minutes | 30 Points</w:t>
            </w:r>
          </w:p>
        </w:tc>
      </w:tr>
    </w:tbl>
    <w:p>
      <w:pPr>
        <w:spacing w:after="0"/>
      </w:pPr>
    </w:p>
    <w:p>
      <w:pPr>
        <w:spacing w:after="80"/>
      </w:pPr>
      <w:r>
        <w:rPr>
          <w:b/>
          <w:sz w:val="18"/>
        </w:rPr>
        <w:t xml:space="preserve">Workload Algorithm: </w:t>
      </w:r>
      <w:r>
        <w:rPr>
          <w:sz w:val="18"/>
        </w:rPr>
        <w:t>Prime counting from 2 to 5,000,000</w:t>
      </w:r>
      <w:r>
        <w:rPr>
          <w:b/>
          <w:sz w:val="18"/>
        </w:rPr>
        <w:t xml:space="preserve">    Language &amp; Runtime: </w:t>
      </w:r>
      <w:r>
        <w:rPr>
          <w:sz w:val="18"/>
        </w:rPr>
        <w:t>C# / .NET Threads</w:t>
      </w:r>
    </w:p>
    <w:tbl>
      <w:tblPr>
        <w:tblW w:type="auto" w:w="0"/>
        <w:jc w:val="center"/>
        <w:tblLayout w:type="fixed"/>
        <w:tblLook w:firstColumn="1" w:firstRow="1" w:lastColumn="0" w:lastRow="0" w:noHBand="0" w:noVBand="1" w:val="04A0"/>
        <w:tblBorders>
          <w:top w:val="single" w:sz="6" w:space="0" w:color="B8C4D6"/>
          <w:left w:val="single" w:sz="6" w:space="0" w:color="B8C4D6"/>
          <w:bottom w:val="single" w:sz="6" w:space="0" w:color="B8C4D6"/>
          <w:right w:val="single" w:sz="6" w:space="0" w:color="B8C4D6"/>
          <w:insideH w:val="single" w:sz="6" w:space="0" w:color="B8C4D6"/>
          <w:insideV w:val="single" w:sz="6" w:space="0" w:color="B8C4D6"/>
        </w:tblBorders>
      </w:tblPr>
      <w:tblGrid>
        <w:gridCol w:w="1493"/>
        <w:gridCol w:w="1493"/>
        <w:gridCol w:w="1493"/>
        <w:gridCol w:w="1493"/>
        <w:gridCol w:w="1493"/>
        <w:gridCol w:w="1493"/>
        <w:gridCol w:w="1493"/>
      </w:tblGrid>
      <w:tr>
        <w:trPr>
          <w:tblHeader w:val="true"/>
        </w:trPr>
        <w:tc>
          <w:tcPr>
            <w:tcW w:type="dxa" w:w="1493"/>
            <w:shd w:fill="14243A"/>
            <w:vAlign w:val="center"/>
          </w:tcPr>
          <w:p>
            <w:pPr>
              <w:jc w:val="center"/>
            </w:pPr>
            <w:r/>
            <w:r>
              <w:rPr>
                <w:b/>
                <w:color w:val="FFFFFF"/>
                <w:sz w:val="15"/>
              </w:rPr>
              <w:t>Threads (N)</w:t>
            </w:r>
          </w:p>
        </w:tc>
        <w:tc>
          <w:tcPr>
            <w:tcW w:type="dxa" w:w="1493"/>
            <w:shd w:fill="14243A"/>
            <w:vAlign w:val="center"/>
          </w:tcPr>
          <w:p>
            <w:pPr>
              <w:jc w:val="center"/>
            </w:pPr>
            <w:r/>
            <w:r>
              <w:rPr>
                <w:b/>
                <w:color w:val="FFFFFF"/>
                <w:sz w:val="15"/>
              </w:rPr>
              <w:t>Run 1 (s)</w:t>
            </w:r>
          </w:p>
        </w:tc>
        <w:tc>
          <w:tcPr>
            <w:tcW w:type="dxa" w:w="1493"/>
            <w:shd w:fill="14243A"/>
            <w:vAlign w:val="center"/>
          </w:tcPr>
          <w:p>
            <w:pPr>
              <w:jc w:val="center"/>
            </w:pPr>
            <w:r/>
            <w:r>
              <w:rPr>
                <w:b/>
                <w:color w:val="FFFFFF"/>
                <w:sz w:val="15"/>
              </w:rPr>
              <w:t>Run 2 (s)</w:t>
            </w:r>
          </w:p>
        </w:tc>
        <w:tc>
          <w:tcPr>
            <w:tcW w:type="dxa" w:w="1493"/>
            <w:shd w:fill="14243A"/>
            <w:vAlign w:val="center"/>
          </w:tcPr>
          <w:p>
            <w:pPr>
              <w:jc w:val="center"/>
            </w:pPr>
            <w:r/>
            <w:r>
              <w:rPr>
                <w:b/>
                <w:color w:val="FFFFFF"/>
                <w:sz w:val="15"/>
              </w:rPr>
              <w:t>Run 3 (s)</w:t>
            </w:r>
          </w:p>
        </w:tc>
        <w:tc>
          <w:tcPr>
            <w:tcW w:type="dxa" w:w="1493"/>
            <w:shd w:fill="14243A"/>
            <w:vAlign w:val="center"/>
          </w:tcPr>
          <w:p>
            <w:pPr>
              <w:jc w:val="center"/>
            </w:pPr>
            <w:r/>
            <w:r>
              <w:rPr>
                <w:b/>
                <w:color w:val="FFFFFF"/>
                <w:sz w:val="15"/>
              </w:rPr>
              <w:t>Avg Time TN (s)</w:t>
            </w:r>
          </w:p>
        </w:tc>
        <w:tc>
          <w:tcPr>
            <w:tcW w:type="dxa" w:w="1493"/>
            <w:shd w:fill="14243A"/>
            <w:vAlign w:val="center"/>
          </w:tcPr>
          <w:p>
            <w:pPr>
              <w:jc w:val="center"/>
            </w:pPr>
            <w:r/>
            <w:r>
              <w:rPr>
                <w:b/>
                <w:color w:val="FFFFFF"/>
                <w:sz w:val="15"/>
              </w:rPr>
              <w:t>Speedup SN</w:t>
            </w:r>
          </w:p>
        </w:tc>
        <w:tc>
          <w:tcPr>
            <w:tcW w:type="dxa" w:w="1493"/>
            <w:shd w:fill="14243A"/>
            <w:vAlign w:val="center"/>
          </w:tcPr>
          <w:p>
            <w:pPr>
              <w:jc w:val="center"/>
            </w:pPr>
            <w:r/>
            <w:r>
              <w:rPr>
                <w:b/>
                <w:color w:val="FFFFFF"/>
                <w:sz w:val="15"/>
              </w:rPr>
              <w:t>Efficiency EN</w:t>
            </w:r>
          </w:p>
        </w:tc>
      </w:tr>
      <w:tr>
        <w:tc>
          <w:tcPr>
            <w:tcW w:type="dxa" w:w="1493"/>
            <w:vAlign w:val="center"/>
          </w:tcPr>
          <w:p>
            <w:pPr>
              <w:jc w:val="center"/>
            </w:pPr>
            <w:r/>
            <w:r>
              <w:rPr>
                <w:b w:val="0"/>
                <w:sz w:val="16"/>
              </w:rPr>
              <w:t>1</w:t>
            </w:r>
          </w:p>
        </w:tc>
        <w:tc>
          <w:tcPr>
            <w:tcW w:type="dxa" w:w="1493"/>
            <w:vAlign w:val="center"/>
          </w:tcPr>
          <w:p>
            <w:pPr>
              <w:jc w:val="center"/>
            </w:pPr>
            <w:r/>
            <w:r>
              <w:rPr>
                <w:b w:val="0"/>
                <w:sz w:val="16"/>
              </w:rPr>
              <w:t>0.4622</w:t>
            </w:r>
          </w:p>
        </w:tc>
        <w:tc>
          <w:tcPr>
            <w:tcW w:type="dxa" w:w="1493"/>
            <w:vAlign w:val="center"/>
          </w:tcPr>
          <w:p>
            <w:pPr>
              <w:jc w:val="center"/>
            </w:pPr>
            <w:r/>
            <w:r>
              <w:rPr>
                <w:b w:val="0"/>
                <w:sz w:val="16"/>
              </w:rPr>
              <w:t>0.4477</w:t>
            </w:r>
          </w:p>
        </w:tc>
        <w:tc>
          <w:tcPr>
            <w:tcW w:type="dxa" w:w="1493"/>
            <w:vAlign w:val="center"/>
          </w:tcPr>
          <w:p>
            <w:pPr>
              <w:jc w:val="center"/>
            </w:pPr>
            <w:r/>
            <w:r>
              <w:rPr>
                <w:b w:val="0"/>
                <w:sz w:val="16"/>
              </w:rPr>
              <w:t>0.4494</w:t>
            </w:r>
          </w:p>
        </w:tc>
        <w:tc>
          <w:tcPr>
            <w:tcW w:type="dxa" w:w="1493"/>
            <w:vAlign w:val="center"/>
          </w:tcPr>
          <w:p>
            <w:pPr>
              <w:jc w:val="center"/>
            </w:pPr>
            <w:r/>
            <w:r>
              <w:rPr>
                <w:b w:val="0"/>
                <w:sz w:val="16"/>
              </w:rPr>
              <w:t>0.4531</w:t>
            </w:r>
          </w:p>
        </w:tc>
        <w:tc>
          <w:tcPr>
            <w:tcW w:type="dxa" w:w="1493"/>
            <w:vAlign w:val="center"/>
          </w:tcPr>
          <w:p>
            <w:pPr>
              <w:jc w:val="center"/>
            </w:pPr>
            <w:r/>
            <w:r>
              <w:rPr>
                <w:b w:val="0"/>
                <w:sz w:val="16"/>
              </w:rPr>
              <w:t>1.000×</w:t>
            </w:r>
          </w:p>
        </w:tc>
        <w:tc>
          <w:tcPr>
            <w:tcW w:type="dxa" w:w="1493"/>
            <w:vAlign w:val="center"/>
          </w:tcPr>
          <w:p>
            <w:pPr>
              <w:jc w:val="center"/>
            </w:pPr>
            <w:r/>
            <w:r>
              <w:rPr>
                <w:b w:val="0"/>
                <w:sz w:val="16"/>
              </w:rPr>
              <w:t>100.0%</w:t>
            </w:r>
          </w:p>
        </w:tc>
      </w:tr>
      <w:tr>
        <w:tc>
          <w:tcPr>
            <w:tcW w:type="dxa" w:w="1493"/>
            <w:shd w:fill="F6F8FB"/>
            <w:vAlign w:val="center"/>
          </w:tcPr>
          <w:p>
            <w:pPr>
              <w:jc w:val="center"/>
            </w:pPr>
            <w:r/>
            <w:r>
              <w:rPr>
                <w:b w:val="0"/>
                <w:sz w:val="16"/>
              </w:rPr>
              <w:t>2</w:t>
            </w:r>
          </w:p>
        </w:tc>
        <w:tc>
          <w:tcPr>
            <w:tcW w:type="dxa" w:w="1493"/>
            <w:shd w:fill="F6F8FB"/>
            <w:vAlign w:val="center"/>
          </w:tcPr>
          <w:p>
            <w:pPr>
              <w:jc w:val="center"/>
            </w:pPr>
            <w:r/>
            <w:r>
              <w:rPr>
                <w:b w:val="0"/>
                <w:sz w:val="16"/>
              </w:rPr>
              <w:t>0.2791</w:t>
            </w:r>
          </w:p>
        </w:tc>
        <w:tc>
          <w:tcPr>
            <w:tcW w:type="dxa" w:w="1493"/>
            <w:shd w:fill="F6F8FB"/>
            <w:vAlign w:val="center"/>
          </w:tcPr>
          <w:p>
            <w:pPr>
              <w:jc w:val="center"/>
            </w:pPr>
            <w:r/>
            <w:r>
              <w:rPr>
                <w:b w:val="0"/>
                <w:sz w:val="16"/>
              </w:rPr>
              <w:t>0.4740</w:t>
            </w:r>
          </w:p>
        </w:tc>
        <w:tc>
          <w:tcPr>
            <w:tcW w:type="dxa" w:w="1493"/>
            <w:shd w:fill="F6F8FB"/>
            <w:vAlign w:val="center"/>
          </w:tcPr>
          <w:p>
            <w:pPr>
              <w:jc w:val="center"/>
            </w:pPr>
            <w:r/>
            <w:r>
              <w:rPr>
                <w:b w:val="0"/>
                <w:sz w:val="16"/>
              </w:rPr>
              <w:t>0.5344</w:t>
            </w:r>
          </w:p>
        </w:tc>
        <w:tc>
          <w:tcPr>
            <w:tcW w:type="dxa" w:w="1493"/>
            <w:shd w:fill="F6F8FB"/>
            <w:vAlign w:val="center"/>
          </w:tcPr>
          <w:p>
            <w:pPr>
              <w:jc w:val="center"/>
            </w:pPr>
            <w:r/>
            <w:r>
              <w:rPr>
                <w:b w:val="0"/>
                <w:sz w:val="16"/>
              </w:rPr>
              <w:t>0.4292</w:t>
            </w:r>
          </w:p>
        </w:tc>
        <w:tc>
          <w:tcPr>
            <w:tcW w:type="dxa" w:w="1493"/>
            <w:shd w:fill="F6F8FB"/>
            <w:vAlign w:val="center"/>
          </w:tcPr>
          <w:p>
            <w:pPr>
              <w:jc w:val="center"/>
            </w:pPr>
            <w:r/>
            <w:r>
              <w:rPr>
                <w:b w:val="0"/>
                <w:sz w:val="16"/>
              </w:rPr>
              <w:t>1.056×</w:t>
            </w:r>
          </w:p>
        </w:tc>
        <w:tc>
          <w:tcPr>
            <w:tcW w:type="dxa" w:w="1493"/>
            <w:shd w:fill="F6F8FB"/>
            <w:vAlign w:val="center"/>
          </w:tcPr>
          <w:p>
            <w:pPr>
              <w:jc w:val="center"/>
            </w:pPr>
            <w:r/>
            <w:r>
              <w:rPr>
                <w:b w:val="0"/>
                <w:sz w:val="16"/>
              </w:rPr>
              <w:t>52.8%</w:t>
            </w:r>
          </w:p>
        </w:tc>
      </w:tr>
      <w:tr>
        <w:tc>
          <w:tcPr>
            <w:tcW w:type="dxa" w:w="1493"/>
            <w:vAlign w:val="center"/>
          </w:tcPr>
          <w:p>
            <w:pPr>
              <w:jc w:val="center"/>
            </w:pPr>
            <w:r/>
            <w:r>
              <w:rPr>
                <w:b w:val="0"/>
                <w:sz w:val="16"/>
              </w:rPr>
              <w:t>4</w:t>
            </w:r>
          </w:p>
        </w:tc>
        <w:tc>
          <w:tcPr>
            <w:tcW w:type="dxa" w:w="1493"/>
            <w:vAlign w:val="center"/>
          </w:tcPr>
          <w:p>
            <w:pPr>
              <w:jc w:val="center"/>
            </w:pPr>
            <w:r/>
            <w:r>
              <w:rPr>
                <w:b w:val="0"/>
                <w:sz w:val="16"/>
              </w:rPr>
              <w:t>0.3050</w:t>
            </w:r>
          </w:p>
        </w:tc>
        <w:tc>
          <w:tcPr>
            <w:tcW w:type="dxa" w:w="1493"/>
            <w:vAlign w:val="center"/>
          </w:tcPr>
          <w:p>
            <w:pPr>
              <w:jc w:val="center"/>
            </w:pPr>
            <w:r/>
            <w:r>
              <w:rPr>
                <w:b w:val="0"/>
                <w:sz w:val="16"/>
              </w:rPr>
              <w:t>0.2770</w:t>
            </w:r>
          </w:p>
        </w:tc>
        <w:tc>
          <w:tcPr>
            <w:tcW w:type="dxa" w:w="1493"/>
            <w:vAlign w:val="center"/>
          </w:tcPr>
          <w:p>
            <w:pPr>
              <w:jc w:val="center"/>
            </w:pPr>
            <w:r/>
            <w:r>
              <w:rPr>
                <w:b w:val="0"/>
                <w:sz w:val="16"/>
              </w:rPr>
              <w:t>0.2764</w:t>
            </w:r>
          </w:p>
        </w:tc>
        <w:tc>
          <w:tcPr>
            <w:tcW w:type="dxa" w:w="1493"/>
            <w:vAlign w:val="center"/>
          </w:tcPr>
          <w:p>
            <w:pPr>
              <w:jc w:val="center"/>
            </w:pPr>
            <w:r/>
            <w:r>
              <w:rPr>
                <w:b w:val="0"/>
                <w:sz w:val="16"/>
              </w:rPr>
              <w:t>0.2861</w:t>
            </w:r>
          </w:p>
        </w:tc>
        <w:tc>
          <w:tcPr>
            <w:tcW w:type="dxa" w:w="1493"/>
            <w:vAlign w:val="center"/>
          </w:tcPr>
          <w:p>
            <w:pPr>
              <w:jc w:val="center"/>
            </w:pPr>
            <w:r/>
            <w:r>
              <w:rPr>
                <w:b w:val="0"/>
                <w:sz w:val="16"/>
              </w:rPr>
              <w:t>1.584×</w:t>
            </w:r>
          </w:p>
        </w:tc>
        <w:tc>
          <w:tcPr>
            <w:tcW w:type="dxa" w:w="1493"/>
            <w:vAlign w:val="center"/>
          </w:tcPr>
          <w:p>
            <w:pPr>
              <w:jc w:val="center"/>
            </w:pPr>
            <w:r/>
            <w:r>
              <w:rPr>
                <w:b w:val="0"/>
                <w:sz w:val="16"/>
              </w:rPr>
              <w:t>39.6%</w:t>
            </w:r>
          </w:p>
        </w:tc>
      </w:tr>
      <w:tr>
        <w:tc>
          <w:tcPr>
            <w:tcW w:type="dxa" w:w="1493"/>
            <w:shd w:fill="F6F8FB"/>
            <w:vAlign w:val="center"/>
          </w:tcPr>
          <w:p>
            <w:pPr>
              <w:jc w:val="center"/>
            </w:pPr>
            <w:r/>
            <w:r>
              <w:rPr>
                <w:b w:val="0"/>
                <w:sz w:val="16"/>
              </w:rPr>
              <w:t>8</w:t>
            </w:r>
          </w:p>
        </w:tc>
        <w:tc>
          <w:tcPr>
            <w:tcW w:type="dxa" w:w="1493"/>
            <w:shd w:fill="F6F8FB"/>
            <w:vAlign w:val="center"/>
          </w:tcPr>
          <w:p>
            <w:pPr>
              <w:jc w:val="center"/>
            </w:pPr>
            <w:r/>
            <w:r>
              <w:rPr>
                <w:b w:val="0"/>
                <w:sz w:val="16"/>
              </w:rPr>
              <w:t>0.1639</w:t>
            </w:r>
          </w:p>
        </w:tc>
        <w:tc>
          <w:tcPr>
            <w:tcW w:type="dxa" w:w="1493"/>
            <w:shd w:fill="F6F8FB"/>
            <w:vAlign w:val="center"/>
          </w:tcPr>
          <w:p>
            <w:pPr>
              <w:jc w:val="center"/>
            </w:pPr>
            <w:r/>
            <w:r>
              <w:rPr>
                <w:b w:val="0"/>
                <w:sz w:val="16"/>
              </w:rPr>
              <w:t>0.1650</w:t>
            </w:r>
          </w:p>
        </w:tc>
        <w:tc>
          <w:tcPr>
            <w:tcW w:type="dxa" w:w="1493"/>
            <w:shd w:fill="F6F8FB"/>
            <w:vAlign w:val="center"/>
          </w:tcPr>
          <w:p>
            <w:pPr>
              <w:jc w:val="center"/>
            </w:pPr>
            <w:r/>
            <w:r>
              <w:rPr>
                <w:b w:val="0"/>
                <w:sz w:val="16"/>
              </w:rPr>
              <w:t>0.1434</w:t>
            </w:r>
          </w:p>
        </w:tc>
        <w:tc>
          <w:tcPr>
            <w:tcW w:type="dxa" w:w="1493"/>
            <w:shd w:fill="F6F8FB"/>
            <w:vAlign w:val="center"/>
          </w:tcPr>
          <w:p>
            <w:pPr>
              <w:jc w:val="center"/>
            </w:pPr>
            <w:r/>
            <w:r>
              <w:rPr>
                <w:b w:val="0"/>
                <w:sz w:val="16"/>
              </w:rPr>
              <w:t>0.1574</w:t>
            </w:r>
          </w:p>
        </w:tc>
        <w:tc>
          <w:tcPr>
            <w:tcW w:type="dxa" w:w="1493"/>
            <w:shd w:fill="F6F8FB"/>
            <w:vAlign w:val="center"/>
          </w:tcPr>
          <w:p>
            <w:pPr>
              <w:jc w:val="center"/>
            </w:pPr>
            <w:r/>
            <w:r>
              <w:rPr>
                <w:b w:val="0"/>
                <w:sz w:val="16"/>
              </w:rPr>
              <w:t>2.878×</w:t>
            </w:r>
          </w:p>
        </w:tc>
        <w:tc>
          <w:tcPr>
            <w:tcW w:type="dxa" w:w="1493"/>
            <w:shd w:fill="F6F8FB"/>
            <w:vAlign w:val="center"/>
          </w:tcPr>
          <w:p>
            <w:pPr>
              <w:jc w:val="center"/>
            </w:pPr>
            <w:r/>
            <w:r>
              <w:rPr>
                <w:b w:val="0"/>
                <w:sz w:val="16"/>
              </w:rPr>
              <w:t>36.0%</w:t>
            </w:r>
          </w:p>
        </w:tc>
      </w:tr>
      <w:tr>
        <w:tc>
          <w:tcPr>
            <w:tcW w:type="dxa" w:w="1493"/>
            <w:vAlign w:val="center"/>
          </w:tcPr>
          <w:p>
            <w:pPr>
              <w:jc w:val="center"/>
            </w:pPr>
            <w:r/>
            <w:r>
              <w:rPr>
                <w:b w:val="0"/>
                <w:sz w:val="16"/>
              </w:rPr>
              <w:t>16</w:t>
            </w:r>
          </w:p>
        </w:tc>
        <w:tc>
          <w:tcPr>
            <w:tcW w:type="dxa" w:w="1493"/>
            <w:vAlign w:val="center"/>
          </w:tcPr>
          <w:p>
            <w:pPr>
              <w:jc w:val="center"/>
            </w:pPr>
            <w:r/>
            <w:r>
              <w:rPr>
                <w:b w:val="0"/>
                <w:sz w:val="16"/>
              </w:rPr>
              <w:t>0.1221</w:t>
            </w:r>
          </w:p>
        </w:tc>
        <w:tc>
          <w:tcPr>
            <w:tcW w:type="dxa" w:w="1493"/>
            <w:vAlign w:val="center"/>
          </w:tcPr>
          <w:p>
            <w:pPr>
              <w:jc w:val="center"/>
            </w:pPr>
            <w:r/>
            <w:r>
              <w:rPr>
                <w:b w:val="0"/>
                <w:sz w:val="16"/>
              </w:rPr>
              <w:t>0.1218</w:t>
            </w:r>
          </w:p>
        </w:tc>
        <w:tc>
          <w:tcPr>
            <w:tcW w:type="dxa" w:w="1493"/>
            <w:vAlign w:val="center"/>
          </w:tcPr>
          <w:p>
            <w:pPr>
              <w:jc w:val="center"/>
            </w:pPr>
            <w:r/>
            <w:r>
              <w:rPr>
                <w:b w:val="0"/>
                <w:sz w:val="16"/>
              </w:rPr>
              <w:t>0.1212</w:t>
            </w:r>
          </w:p>
        </w:tc>
        <w:tc>
          <w:tcPr>
            <w:tcW w:type="dxa" w:w="1493"/>
            <w:vAlign w:val="center"/>
          </w:tcPr>
          <w:p>
            <w:pPr>
              <w:jc w:val="center"/>
            </w:pPr>
            <w:r/>
            <w:r>
              <w:rPr>
                <w:b w:val="0"/>
                <w:sz w:val="16"/>
              </w:rPr>
              <w:t>0.1217</w:t>
            </w:r>
          </w:p>
        </w:tc>
        <w:tc>
          <w:tcPr>
            <w:tcW w:type="dxa" w:w="1493"/>
            <w:vAlign w:val="center"/>
          </w:tcPr>
          <w:p>
            <w:pPr>
              <w:jc w:val="center"/>
            </w:pPr>
            <w:r/>
            <w:r>
              <w:rPr>
                <w:b w:val="0"/>
                <w:sz w:val="16"/>
              </w:rPr>
              <w:t>3.723×</w:t>
            </w:r>
          </w:p>
        </w:tc>
        <w:tc>
          <w:tcPr>
            <w:tcW w:type="dxa" w:w="1493"/>
            <w:vAlign w:val="center"/>
          </w:tcPr>
          <w:p>
            <w:pPr>
              <w:jc w:val="center"/>
            </w:pPr>
            <w:r/>
            <w:r>
              <w:rPr>
                <w:b w:val="0"/>
                <w:sz w:val="16"/>
              </w:rPr>
              <w:t>23.3%</w:t>
            </w:r>
          </w:p>
        </w:tc>
      </w:tr>
      <w:tr>
        <w:tc>
          <w:tcPr>
            <w:tcW w:type="dxa" w:w="1493"/>
            <w:shd w:fill="F6F8FB"/>
            <w:vAlign w:val="center"/>
          </w:tcPr>
          <w:p>
            <w:pPr>
              <w:jc w:val="center"/>
            </w:pPr>
            <w:r/>
            <w:r>
              <w:rPr>
                <w:b w:val="0"/>
                <w:sz w:val="16"/>
              </w:rPr>
              <w:t>32</w:t>
            </w:r>
          </w:p>
        </w:tc>
        <w:tc>
          <w:tcPr>
            <w:tcW w:type="dxa" w:w="1493"/>
            <w:shd w:fill="F6F8FB"/>
            <w:vAlign w:val="center"/>
          </w:tcPr>
          <w:p>
            <w:pPr>
              <w:jc w:val="center"/>
            </w:pPr>
            <w:r/>
            <w:r>
              <w:rPr>
                <w:b w:val="0"/>
                <w:sz w:val="16"/>
              </w:rPr>
              <w:t>0.0948</w:t>
            </w:r>
          </w:p>
        </w:tc>
        <w:tc>
          <w:tcPr>
            <w:tcW w:type="dxa" w:w="1493"/>
            <w:shd w:fill="F6F8FB"/>
            <w:vAlign w:val="center"/>
          </w:tcPr>
          <w:p>
            <w:pPr>
              <w:jc w:val="center"/>
            </w:pPr>
            <w:r/>
            <w:r>
              <w:rPr>
                <w:b w:val="0"/>
                <w:sz w:val="16"/>
              </w:rPr>
              <w:t>0.0913</w:t>
            </w:r>
          </w:p>
        </w:tc>
        <w:tc>
          <w:tcPr>
            <w:tcW w:type="dxa" w:w="1493"/>
            <w:shd w:fill="F6F8FB"/>
            <w:vAlign w:val="center"/>
          </w:tcPr>
          <w:p>
            <w:pPr>
              <w:jc w:val="center"/>
            </w:pPr>
            <w:r/>
            <w:r>
              <w:rPr>
                <w:b w:val="0"/>
                <w:sz w:val="16"/>
              </w:rPr>
              <w:t>0.0961</w:t>
            </w:r>
          </w:p>
        </w:tc>
        <w:tc>
          <w:tcPr>
            <w:tcW w:type="dxa" w:w="1493"/>
            <w:shd w:fill="F6F8FB"/>
            <w:vAlign w:val="center"/>
          </w:tcPr>
          <w:p>
            <w:pPr>
              <w:jc w:val="center"/>
            </w:pPr>
            <w:r/>
            <w:r>
              <w:rPr>
                <w:b w:val="0"/>
                <w:sz w:val="16"/>
              </w:rPr>
              <w:t>0.0940</w:t>
            </w:r>
          </w:p>
        </w:tc>
        <w:tc>
          <w:tcPr>
            <w:tcW w:type="dxa" w:w="1493"/>
            <w:shd w:fill="F6F8FB"/>
            <w:vAlign w:val="center"/>
          </w:tcPr>
          <w:p>
            <w:pPr>
              <w:jc w:val="center"/>
            </w:pPr>
            <w:r/>
            <w:r>
              <w:rPr>
                <w:b w:val="0"/>
                <w:sz w:val="16"/>
              </w:rPr>
              <w:t>4.819×</w:t>
            </w:r>
          </w:p>
        </w:tc>
        <w:tc>
          <w:tcPr>
            <w:tcW w:type="dxa" w:w="1493"/>
            <w:shd w:fill="F6F8FB"/>
            <w:vAlign w:val="center"/>
          </w:tcPr>
          <w:p>
            <w:pPr>
              <w:jc w:val="center"/>
            </w:pPr>
            <w:r/>
            <w:r>
              <w:rPr>
                <w:b w:val="0"/>
                <w:sz w:val="16"/>
              </w:rPr>
              <w:t>15.1%</w:t>
            </w:r>
          </w:p>
        </w:tc>
      </w:tr>
    </w:tbl>
    <w:p>
      <w:pPr>
        <w:spacing w:before="80" w:after="40"/>
      </w:pPr>
      <w:r>
        <w:rPr>
          <w:b/>
          <w:sz w:val="20"/>
        </w:rPr>
        <w:t xml:space="preserve">Q2.1: </w:t>
      </w:r>
      <w:r>
        <w:rPr>
          <w:sz w:val="20"/>
        </w:rPr>
        <w:t>Scaling Saturation &amp; Hardware Contention Analysis</w:t>
      </w:r>
    </w:p>
    <w:tbl>
      <w:tblPr>
        <w:tblW w:type="auto" w:w="0"/>
        <w:jc w:val="center"/>
        <w:tblLook w:firstColumn="1" w:firstRow="1" w:lastColumn="0" w:lastRow="0" w:noHBand="0" w:noVBand="1" w:val="04A0"/>
        <w:tblBorders>
          <w:top w:val="single" w:sz="5" w:space="0" w:color="A9B6C8"/>
          <w:left w:val="single" w:sz="5" w:space="0" w:color="A9B6C8"/>
          <w:bottom w:val="single" w:sz="5" w:space="0" w:color="A9B6C8"/>
          <w:right w:val="single" w:sz="5" w:space="0" w:color="A9B6C8"/>
          <w:insideH w:val="single" w:sz="5" w:space="0" w:color="A9B6C8"/>
          <w:insideV w:val="single" w:sz="5" w:space="0" w:color="A9B6C8"/>
        </w:tblBorders>
      </w:tblPr>
      <w:tblGrid>
        <w:gridCol w:w="10454"/>
      </w:tblGrid>
      <w:tr>
        <w:tc>
          <w:tcPr>
            <w:tcW w:type="dxa" w:w="10454"/>
            <w:shd w:fill="F7F9FC"/>
            <w:tcMar>
              <w:top w:w="100" w:type="dxa"/>
              <w:start w:w="120" w:type="dxa"/>
              <w:bottom w:w="100" w:type="dxa"/>
              <w:end w:w="120" w:type="dxa"/>
            </w:tcMar>
          </w:tcPr>
          <w:p>
            <w:pPr>
              <w:spacing w:after="0"/>
            </w:pPr>
            <w:r>
              <w:rPr>
                <w:sz w:val="19"/>
              </w:rPr>
              <w:t>The clearest saturation begins around N = 16. Up to 8 threads the speedup rises substantially, but efficiency already drops from 100% at N=1 to 36.0% at N=8. At N=16 the requested thread count exceeds the 14 physical cores, so some work must share execution resources or use SMT/hybrid-core scheduling; efficiency falls to 23.3%. At N=32 the workload oversubscribes the 20 logical hardware threads and efficiency falls further to 15.1%, even though absolute speedup continues to 4.819×. The sub-linear behavior is explained by thread scheduling overhead, unequal P-core/E-core performance, cache/memory contention, and synchronization/dispatch overhead; thermal and frequency scaling can also contribute during sustained CPU load.</w:t>
            </w:r>
          </w:p>
        </w:tc>
      </w:tr>
    </w:tbl>
    <w:p>
      <w:pPr>
        <w:spacing w:before="120" w:after="60"/>
        <w:jc w:val="center"/>
      </w:pPr>
      <w:r>
        <w:drawing>
          <wp:inline xmlns:a="http://schemas.openxmlformats.org/drawingml/2006/main" xmlns:pic="http://schemas.openxmlformats.org/drawingml/2006/picture">
            <wp:extent cx="5989320" cy="3132248"/>
            <wp:docPr id="2" name="Picture 2"/>
            <wp:cNvGraphicFramePr>
              <a:graphicFrameLocks noChangeAspect="1"/>
            </wp:cNvGraphicFramePr>
            <a:graphic>
              <a:graphicData uri="http://schemas.openxmlformats.org/drawingml/2006/picture">
                <pic:pic>
                  <pic:nvPicPr>
                    <pic:cNvPr id="0" name="fdac921d-4777-4c00-91b7-c1c55ce654e6.png"/>
                    <pic:cNvPicPr/>
                  </pic:nvPicPr>
                  <pic:blipFill>
                    <a:blip r:embed="rId10"/>
                    <a:stretch>
                      <a:fillRect/>
                    </a:stretch>
                  </pic:blipFill>
                  <pic:spPr>
                    <a:xfrm>
                      <a:off x="0" y="0"/>
                      <a:ext cx="5989320" cy="3132248"/>
                    </a:xfrm>
                    <a:prstGeom prst="rect"/>
                  </pic:spPr>
                </pic:pic>
              </a:graphicData>
            </a:graphic>
          </wp:inline>
        </w:drawing>
      </w:r>
    </w:p>
    <w:p>
      <w:pPr>
        <w:spacing w:after="160"/>
        <w:jc w:val="center"/>
      </w:pPr>
      <w:r>
        <w:rPr>
          <w:i/>
          <w:color w:val="5A5A5A"/>
          <w:sz w:val="16"/>
        </w:rPr>
        <w:t>Figure 2. Multi-thread benchmark runs for N = 1, 2, 4, 8, 16, and 32.</w:t>
      </w:r>
    </w:p>
    <w:tbl>
      <w:tblPr>
        <w:tblW w:type="auto" w:w="0"/>
        <w:jc w:val="center"/>
        <w:tblLayout w:type="autofit"/>
        <w:tblLook w:firstColumn="1" w:firstRow="1" w:lastColumn="0" w:lastRow="0" w:noHBand="0" w:noVBand="1" w:val="04A0"/>
      </w:tblPr>
      <w:tblGrid>
        <w:gridCol w:w="10454"/>
      </w:tblGrid>
      <w:tr>
        <w:tc>
          <w:tcPr>
            <w:tcW w:type="dxa" w:w="10454"/>
            <w:shd w:fill="14243A"/>
            <w:tcMar>
              <w:top w:w="90" w:type="dxa"/>
              <w:start w:w="120" w:type="dxa"/>
              <w:bottom w:w="90" w:type="dxa"/>
              <w:end w:w="120" w:type="dxa"/>
            </w:tcMar>
          </w:tcPr>
          <w:p>
            <w:pPr>
              <w:spacing w:after="0"/>
            </w:pPr>
            <w:r>
              <w:rPr>
                <w:b/>
                <w:color w:val="FFFFFF"/>
                <w:sz w:val="22"/>
              </w:rPr>
              <w:t>TASK 3: The Unsynchronized Shared Counter &amp; Race Condition Trap</w:t>
            </w:r>
            <w:r>
              <w:rPr>
                <w:color w:val="DCE4EE"/>
                <w:sz w:val="18"/>
              </w:rPr>
              <w:t xml:space="preserve">    25 Minutes | 25 Points</w:t>
            </w:r>
          </w:p>
        </w:tc>
      </w:tr>
    </w:tbl>
    <w:p>
      <w:pPr>
        <w:spacing w:after="0"/>
      </w:pPr>
    </w:p>
    <w:p>
      <w:r>
        <w:rPr>
          <w:sz w:val="18"/>
        </w:rPr>
        <w:t>10 parallel threads × 1,000,000 increments each. Theoretical expected total = 10,000,000.</w:t>
      </w:r>
    </w:p>
    <w:tbl>
      <w:tblPr>
        <w:tblW w:type="auto" w:w="0"/>
        <w:jc w:val="center"/>
        <w:tblLook w:firstColumn="1" w:firstRow="1" w:lastColumn="0" w:lastRow="0" w:noHBand="0" w:noVBand="1" w:val="04A0"/>
        <w:tblBorders>
          <w:top w:val="single" w:sz="6" w:space="0" w:color="B8C4D6"/>
          <w:left w:val="single" w:sz="6" w:space="0" w:color="B8C4D6"/>
          <w:bottom w:val="single" w:sz="6" w:space="0" w:color="B8C4D6"/>
          <w:right w:val="single" w:sz="6" w:space="0" w:color="B8C4D6"/>
          <w:insideH w:val="single" w:sz="6" w:space="0" w:color="B8C4D6"/>
          <w:insideV w:val="single" w:sz="6" w:space="0" w:color="B8C4D6"/>
        </w:tblBorders>
      </w:tblPr>
      <w:tblGrid>
        <w:gridCol w:w="1742"/>
        <w:gridCol w:w="1742"/>
        <w:gridCol w:w="1742"/>
        <w:gridCol w:w="1742"/>
        <w:gridCol w:w="1742"/>
        <w:gridCol w:w="1742"/>
      </w:tblGrid>
      <w:tr>
        <w:trPr>
          <w:tblHeader w:val="true"/>
        </w:trPr>
        <w:tc>
          <w:tcPr>
            <w:tcW w:type="dxa" w:w="1742"/>
            <w:shd w:fill="14243A"/>
            <w:vAlign w:val="center"/>
          </w:tcPr>
          <w:p>
            <w:pPr>
              <w:jc w:val="center"/>
            </w:pPr>
            <w:r/>
            <w:r>
              <w:rPr>
                <w:b/>
                <w:color w:val="FFFFFF"/>
                <w:sz w:val="15"/>
              </w:rPr>
              <w:t>Run</w:t>
            </w:r>
          </w:p>
        </w:tc>
        <w:tc>
          <w:tcPr>
            <w:tcW w:type="dxa" w:w="1742"/>
            <w:shd w:fill="14243A"/>
            <w:vAlign w:val="center"/>
          </w:tcPr>
          <w:p>
            <w:pPr>
              <w:jc w:val="center"/>
            </w:pPr>
            <w:r/>
            <w:r>
              <w:rPr>
                <w:b/>
                <w:color w:val="FFFFFF"/>
                <w:sz w:val="15"/>
              </w:rPr>
              <w:t>Measured Output</w:t>
            </w:r>
          </w:p>
        </w:tc>
        <w:tc>
          <w:tcPr>
            <w:tcW w:type="dxa" w:w="1742"/>
            <w:shd w:fill="14243A"/>
            <w:vAlign w:val="center"/>
          </w:tcPr>
          <w:p>
            <w:pPr>
              <w:jc w:val="center"/>
            </w:pPr>
            <w:r/>
            <w:r>
              <w:rPr>
                <w:b/>
                <w:color w:val="FFFFFF"/>
                <w:sz w:val="15"/>
              </w:rPr>
              <w:t>Error (10⁷ − Act)</w:t>
            </w:r>
          </w:p>
        </w:tc>
        <w:tc>
          <w:tcPr>
            <w:tcW w:type="dxa" w:w="1742"/>
            <w:shd w:fill="14243A"/>
            <w:vAlign w:val="center"/>
          </w:tcPr>
          <w:p>
            <w:pPr>
              <w:jc w:val="center"/>
            </w:pPr>
            <w:r/>
            <w:r>
              <w:rPr>
                <w:b/>
                <w:color w:val="FFFFFF"/>
                <w:sz w:val="15"/>
              </w:rPr>
              <w:t>Run</w:t>
            </w:r>
          </w:p>
        </w:tc>
        <w:tc>
          <w:tcPr>
            <w:tcW w:type="dxa" w:w="1742"/>
            <w:shd w:fill="14243A"/>
            <w:vAlign w:val="center"/>
          </w:tcPr>
          <w:p>
            <w:pPr>
              <w:jc w:val="center"/>
            </w:pPr>
            <w:r/>
            <w:r>
              <w:rPr>
                <w:b/>
                <w:color w:val="FFFFFF"/>
                <w:sz w:val="15"/>
              </w:rPr>
              <w:t>Measured Output</w:t>
            </w:r>
          </w:p>
        </w:tc>
        <w:tc>
          <w:tcPr>
            <w:tcW w:type="dxa" w:w="1742"/>
            <w:shd w:fill="14243A"/>
            <w:vAlign w:val="center"/>
          </w:tcPr>
          <w:p>
            <w:pPr>
              <w:jc w:val="center"/>
            </w:pPr>
            <w:r/>
            <w:r>
              <w:rPr>
                <w:b/>
                <w:color w:val="FFFFFF"/>
                <w:sz w:val="15"/>
              </w:rPr>
              <w:t>Error (10⁷ − Act)</w:t>
            </w:r>
          </w:p>
        </w:tc>
      </w:tr>
      <w:tr>
        <w:tc>
          <w:tcPr>
            <w:tcW w:type="dxa" w:w="1742"/>
            <w:vAlign w:val="center"/>
          </w:tcPr>
          <w:p>
            <w:pPr>
              <w:jc w:val="center"/>
            </w:pPr>
            <w:r/>
            <w:r>
              <w:rPr>
                <w:b w:val="0"/>
                <w:sz w:val="16"/>
              </w:rPr>
              <w:t>#1</w:t>
            </w:r>
          </w:p>
        </w:tc>
        <w:tc>
          <w:tcPr>
            <w:tcW w:type="dxa" w:w="1742"/>
            <w:vAlign w:val="center"/>
          </w:tcPr>
          <w:p>
            <w:pPr>
              <w:jc w:val="center"/>
            </w:pPr>
            <w:r/>
            <w:r>
              <w:rPr>
                <w:b w:val="0"/>
                <w:sz w:val="16"/>
              </w:rPr>
              <w:t>3,574,653</w:t>
            </w:r>
          </w:p>
        </w:tc>
        <w:tc>
          <w:tcPr>
            <w:tcW w:type="dxa" w:w="1742"/>
            <w:vAlign w:val="center"/>
          </w:tcPr>
          <w:p>
            <w:pPr>
              <w:jc w:val="center"/>
            </w:pPr>
            <w:r/>
            <w:r>
              <w:rPr>
                <w:b w:val="0"/>
                <w:sz w:val="16"/>
              </w:rPr>
              <w:t>6,425,347</w:t>
            </w:r>
          </w:p>
        </w:tc>
        <w:tc>
          <w:tcPr>
            <w:tcW w:type="dxa" w:w="1742"/>
            <w:vAlign w:val="center"/>
          </w:tcPr>
          <w:p>
            <w:pPr>
              <w:jc w:val="center"/>
            </w:pPr>
            <w:r/>
            <w:r>
              <w:rPr>
                <w:b w:val="0"/>
                <w:sz w:val="16"/>
              </w:rPr>
              <w:t>#6</w:t>
            </w:r>
          </w:p>
        </w:tc>
        <w:tc>
          <w:tcPr>
            <w:tcW w:type="dxa" w:w="1742"/>
            <w:vAlign w:val="center"/>
          </w:tcPr>
          <w:p>
            <w:pPr>
              <w:jc w:val="center"/>
            </w:pPr>
            <w:r/>
            <w:r>
              <w:rPr>
                <w:b w:val="0"/>
                <w:sz w:val="16"/>
              </w:rPr>
              <w:t>4,619,426</w:t>
            </w:r>
          </w:p>
        </w:tc>
        <w:tc>
          <w:tcPr>
            <w:tcW w:type="dxa" w:w="1742"/>
            <w:vAlign w:val="center"/>
          </w:tcPr>
          <w:p>
            <w:pPr>
              <w:jc w:val="center"/>
            </w:pPr>
            <w:r/>
            <w:r>
              <w:rPr>
                <w:b w:val="0"/>
                <w:sz w:val="16"/>
              </w:rPr>
              <w:t>5,380,574</w:t>
            </w:r>
          </w:p>
        </w:tc>
      </w:tr>
      <w:tr>
        <w:tc>
          <w:tcPr>
            <w:tcW w:type="dxa" w:w="1742"/>
            <w:shd w:fill="F6F8FB"/>
            <w:vAlign w:val="center"/>
          </w:tcPr>
          <w:p>
            <w:pPr>
              <w:jc w:val="center"/>
            </w:pPr>
            <w:r/>
            <w:r>
              <w:rPr>
                <w:b w:val="0"/>
                <w:sz w:val="16"/>
              </w:rPr>
              <w:t>#2</w:t>
            </w:r>
          </w:p>
        </w:tc>
        <w:tc>
          <w:tcPr>
            <w:tcW w:type="dxa" w:w="1742"/>
            <w:shd w:fill="F6F8FB"/>
            <w:vAlign w:val="center"/>
          </w:tcPr>
          <w:p>
            <w:pPr>
              <w:jc w:val="center"/>
            </w:pPr>
            <w:r/>
            <w:r>
              <w:rPr>
                <w:b w:val="0"/>
                <w:sz w:val="16"/>
              </w:rPr>
              <w:t>3,819,501</w:t>
            </w:r>
          </w:p>
        </w:tc>
        <w:tc>
          <w:tcPr>
            <w:tcW w:type="dxa" w:w="1742"/>
            <w:shd w:fill="F6F8FB"/>
            <w:vAlign w:val="center"/>
          </w:tcPr>
          <w:p>
            <w:pPr>
              <w:jc w:val="center"/>
            </w:pPr>
            <w:r/>
            <w:r>
              <w:rPr>
                <w:b w:val="0"/>
                <w:sz w:val="16"/>
              </w:rPr>
              <w:t>6,180,499</w:t>
            </w:r>
          </w:p>
        </w:tc>
        <w:tc>
          <w:tcPr>
            <w:tcW w:type="dxa" w:w="1742"/>
            <w:shd w:fill="F6F8FB"/>
            <w:vAlign w:val="center"/>
          </w:tcPr>
          <w:p>
            <w:pPr>
              <w:jc w:val="center"/>
            </w:pPr>
            <w:r/>
            <w:r>
              <w:rPr>
                <w:b w:val="0"/>
                <w:sz w:val="16"/>
              </w:rPr>
              <w:t>#7</w:t>
            </w:r>
          </w:p>
        </w:tc>
        <w:tc>
          <w:tcPr>
            <w:tcW w:type="dxa" w:w="1742"/>
            <w:shd w:fill="F6F8FB"/>
            <w:vAlign w:val="center"/>
          </w:tcPr>
          <w:p>
            <w:pPr>
              <w:jc w:val="center"/>
            </w:pPr>
            <w:r/>
            <w:r>
              <w:rPr>
                <w:b w:val="0"/>
                <w:sz w:val="16"/>
              </w:rPr>
              <w:t>3,702,599</w:t>
            </w:r>
          </w:p>
        </w:tc>
        <w:tc>
          <w:tcPr>
            <w:tcW w:type="dxa" w:w="1742"/>
            <w:shd w:fill="F6F8FB"/>
            <w:vAlign w:val="center"/>
          </w:tcPr>
          <w:p>
            <w:pPr>
              <w:jc w:val="center"/>
            </w:pPr>
            <w:r/>
            <w:r>
              <w:rPr>
                <w:b w:val="0"/>
                <w:sz w:val="16"/>
              </w:rPr>
              <w:t>6,297,401</w:t>
            </w:r>
          </w:p>
        </w:tc>
      </w:tr>
      <w:tr>
        <w:tc>
          <w:tcPr>
            <w:tcW w:type="dxa" w:w="1742"/>
            <w:vAlign w:val="center"/>
          </w:tcPr>
          <w:p>
            <w:pPr>
              <w:jc w:val="center"/>
            </w:pPr>
            <w:r/>
            <w:r>
              <w:rPr>
                <w:b w:val="0"/>
                <w:sz w:val="16"/>
              </w:rPr>
              <w:t>#3</w:t>
            </w:r>
          </w:p>
        </w:tc>
        <w:tc>
          <w:tcPr>
            <w:tcW w:type="dxa" w:w="1742"/>
            <w:vAlign w:val="center"/>
          </w:tcPr>
          <w:p>
            <w:pPr>
              <w:jc w:val="center"/>
            </w:pPr>
            <w:r/>
            <w:r>
              <w:rPr>
                <w:b w:val="0"/>
                <w:sz w:val="16"/>
              </w:rPr>
              <w:t>3,723,682</w:t>
            </w:r>
          </w:p>
        </w:tc>
        <w:tc>
          <w:tcPr>
            <w:tcW w:type="dxa" w:w="1742"/>
            <w:vAlign w:val="center"/>
          </w:tcPr>
          <w:p>
            <w:pPr>
              <w:jc w:val="center"/>
            </w:pPr>
            <w:r/>
            <w:r>
              <w:rPr>
                <w:b w:val="0"/>
                <w:sz w:val="16"/>
              </w:rPr>
              <w:t>6,276,318</w:t>
            </w:r>
          </w:p>
        </w:tc>
        <w:tc>
          <w:tcPr>
            <w:tcW w:type="dxa" w:w="1742"/>
            <w:vAlign w:val="center"/>
          </w:tcPr>
          <w:p>
            <w:pPr>
              <w:jc w:val="center"/>
            </w:pPr>
            <w:r/>
            <w:r>
              <w:rPr>
                <w:b w:val="0"/>
                <w:sz w:val="16"/>
              </w:rPr>
              <w:t>#8</w:t>
            </w:r>
          </w:p>
        </w:tc>
        <w:tc>
          <w:tcPr>
            <w:tcW w:type="dxa" w:w="1742"/>
            <w:vAlign w:val="center"/>
          </w:tcPr>
          <w:p>
            <w:pPr>
              <w:jc w:val="center"/>
            </w:pPr>
            <w:r/>
            <w:r>
              <w:rPr>
                <w:b w:val="0"/>
                <w:sz w:val="16"/>
              </w:rPr>
              <w:t>3,835,228</w:t>
            </w:r>
          </w:p>
        </w:tc>
        <w:tc>
          <w:tcPr>
            <w:tcW w:type="dxa" w:w="1742"/>
            <w:vAlign w:val="center"/>
          </w:tcPr>
          <w:p>
            <w:pPr>
              <w:jc w:val="center"/>
            </w:pPr>
            <w:r/>
            <w:r>
              <w:rPr>
                <w:b w:val="0"/>
                <w:sz w:val="16"/>
              </w:rPr>
              <w:t>6,164,772</w:t>
            </w:r>
          </w:p>
        </w:tc>
      </w:tr>
      <w:tr>
        <w:tc>
          <w:tcPr>
            <w:tcW w:type="dxa" w:w="1742"/>
            <w:shd w:fill="F6F8FB"/>
            <w:vAlign w:val="center"/>
          </w:tcPr>
          <w:p>
            <w:pPr>
              <w:jc w:val="center"/>
            </w:pPr>
            <w:r/>
            <w:r>
              <w:rPr>
                <w:b w:val="0"/>
                <w:sz w:val="16"/>
              </w:rPr>
              <w:t>#4</w:t>
            </w:r>
          </w:p>
        </w:tc>
        <w:tc>
          <w:tcPr>
            <w:tcW w:type="dxa" w:w="1742"/>
            <w:shd w:fill="F6F8FB"/>
            <w:vAlign w:val="center"/>
          </w:tcPr>
          <w:p>
            <w:pPr>
              <w:jc w:val="center"/>
            </w:pPr>
            <w:r/>
            <w:r>
              <w:rPr>
                <w:b w:val="0"/>
                <w:sz w:val="16"/>
              </w:rPr>
              <w:t>3,594,660</w:t>
            </w:r>
          </w:p>
        </w:tc>
        <w:tc>
          <w:tcPr>
            <w:tcW w:type="dxa" w:w="1742"/>
            <w:shd w:fill="F6F8FB"/>
            <w:vAlign w:val="center"/>
          </w:tcPr>
          <w:p>
            <w:pPr>
              <w:jc w:val="center"/>
            </w:pPr>
            <w:r/>
            <w:r>
              <w:rPr>
                <w:b w:val="0"/>
                <w:sz w:val="16"/>
              </w:rPr>
              <w:t>6,405,340</w:t>
            </w:r>
          </w:p>
        </w:tc>
        <w:tc>
          <w:tcPr>
            <w:tcW w:type="dxa" w:w="1742"/>
            <w:shd w:fill="F6F8FB"/>
            <w:vAlign w:val="center"/>
          </w:tcPr>
          <w:p>
            <w:pPr>
              <w:jc w:val="center"/>
            </w:pPr>
            <w:r/>
            <w:r>
              <w:rPr>
                <w:b w:val="0"/>
                <w:sz w:val="16"/>
              </w:rPr>
              <w:t>#9</w:t>
            </w:r>
          </w:p>
        </w:tc>
        <w:tc>
          <w:tcPr>
            <w:tcW w:type="dxa" w:w="1742"/>
            <w:shd w:fill="F6F8FB"/>
            <w:vAlign w:val="center"/>
          </w:tcPr>
          <w:p>
            <w:pPr>
              <w:jc w:val="center"/>
            </w:pPr>
            <w:r/>
            <w:r>
              <w:rPr>
                <w:b w:val="0"/>
                <w:sz w:val="16"/>
              </w:rPr>
              <w:t>4,914,044</w:t>
            </w:r>
          </w:p>
        </w:tc>
        <w:tc>
          <w:tcPr>
            <w:tcW w:type="dxa" w:w="1742"/>
            <w:shd w:fill="F6F8FB"/>
            <w:vAlign w:val="center"/>
          </w:tcPr>
          <w:p>
            <w:pPr>
              <w:jc w:val="center"/>
            </w:pPr>
            <w:r/>
            <w:r>
              <w:rPr>
                <w:b w:val="0"/>
                <w:sz w:val="16"/>
              </w:rPr>
              <w:t>5,085,956</w:t>
            </w:r>
          </w:p>
        </w:tc>
      </w:tr>
      <w:tr>
        <w:tc>
          <w:tcPr>
            <w:tcW w:type="dxa" w:w="1742"/>
            <w:vAlign w:val="center"/>
          </w:tcPr>
          <w:p>
            <w:pPr>
              <w:jc w:val="center"/>
            </w:pPr>
            <w:r/>
            <w:r>
              <w:rPr>
                <w:b w:val="0"/>
                <w:sz w:val="16"/>
              </w:rPr>
              <w:t>#5</w:t>
            </w:r>
          </w:p>
        </w:tc>
        <w:tc>
          <w:tcPr>
            <w:tcW w:type="dxa" w:w="1742"/>
            <w:vAlign w:val="center"/>
          </w:tcPr>
          <w:p>
            <w:pPr>
              <w:jc w:val="center"/>
            </w:pPr>
            <w:r/>
            <w:r>
              <w:rPr>
                <w:b w:val="0"/>
                <w:sz w:val="16"/>
              </w:rPr>
              <w:t>3,889,304</w:t>
            </w:r>
          </w:p>
        </w:tc>
        <w:tc>
          <w:tcPr>
            <w:tcW w:type="dxa" w:w="1742"/>
            <w:vAlign w:val="center"/>
          </w:tcPr>
          <w:p>
            <w:pPr>
              <w:jc w:val="center"/>
            </w:pPr>
            <w:r/>
            <w:r>
              <w:rPr>
                <w:b w:val="0"/>
                <w:sz w:val="16"/>
              </w:rPr>
              <w:t>6,110,696</w:t>
            </w:r>
          </w:p>
        </w:tc>
        <w:tc>
          <w:tcPr>
            <w:tcW w:type="dxa" w:w="1742"/>
            <w:vAlign w:val="center"/>
          </w:tcPr>
          <w:p>
            <w:pPr>
              <w:jc w:val="center"/>
            </w:pPr>
            <w:r/>
            <w:r>
              <w:rPr>
                <w:b w:val="0"/>
                <w:sz w:val="16"/>
              </w:rPr>
              <w:t>#10</w:t>
            </w:r>
          </w:p>
        </w:tc>
        <w:tc>
          <w:tcPr>
            <w:tcW w:type="dxa" w:w="1742"/>
            <w:vAlign w:val="center"/>
          </w:tcPr>
          <w:p>
            <w:pPr>
              <w:jc w:val="center"/>
            </w:pPr>
            <w:r/>
            <w:r>
              <w:rPr>
                <w:b w:val="0"/>
                <w:sz w:val="16"/>
              </w:rPr>
              <w:t>4,462,805</w:t>
            </w:r>
          </w:p>
        </w:tc>
        <w:tc>
          <w:tcPr>
            <w:tcW w:type="dxa" w:w="1742"/>
            <w:vAlign w:val="center"/>
          </w:tcPr>
          <w:p>
            <w:pPr>
              <w:jc w:val="center"/>
            </w:pPr>
            <w:r/>
            <w:r>
              <w:rPr>
                <w:b w:val="0"/>
                <w:sz w:val="16"/>
              </w:rPr>
              <w:t>5,537,195</w:t>
            </w:r>
          </w:p>
        </w:tc>
      </w:tr>
    </w:tbl>
    <w:p>
      <w:pPr>
        <w:spacing w:before="80" w:after="40"/>
      </w:pPr>
      <w:r>
        <w:rPr>
          <w:b/>
          <w:sz w:val="20"/>
        </w:rPr>
        <w:t xml:space="preserve">Q3.1: </w:t>
      </w:r>
      <w:r>
        <w:rPr>
          <w:sz w:val="20"/>
        </w:rPr>
        <w:t>Read-Modify-Write (RMW) Window</w:t>
      </w:r>
    </w:p>
    <w:tbl>
      <w:tblPr>
        <w:tblW w:type="auto" w:w="0"/>
        <w:jc w:val="center"/>
        <w:tblLook w:firstColumn="1" w:firstRow="1" w:lastColumn="0" w:lastRow="0" w:noHBand="0" w:noVBand="1" w:val="04A0"/>
        <w:tblBorders>
          <w:top w:val="single" w:sz="5" w:space="0" w:color="A9B6C8"/>
          <w:left w:val="single" w:sz="5" w:space="0" w:color="A9B6C8"/>
          <w:bottom w:val="single" w:sz="5" w:space="0" w:color="A9B6C8"/>
          <w:right w:val="single" w:sz="5" w:space="0" w:color="A9B6C8"/>
          <w:insideH w:val="single" w:sz="5" w:space="0" w:color="A9B6C8"/>
          <w:insideV w:val="single" w:sz="5" w:space="0" w:color="A9B6C8"/>
        </w:tblBorders>
      </w:tblPr>
      <w:tblGrid>
        <w:gridCol w:w="10454"/>
      </w:tblGrid>
      <w:tr>
        <w:tc>
          <w:tcPr>
            <w:tcW w:type="dxa" w:w="10454"/>
            <w:shd w:fill="F7F9FC"/>
            <w:tcMar>
              <w:top w:w="100" w:type="dxa"/>
              <w:start w:w="120" w:type="dxa"/>
              <w:bottom w:w="100" w:type="dxa"/>
              <w:end w:w="120" w:type="dxa"/>
            </w:tcMar>
          </w:tcPr>
          <w:p>
            <w:pPr>
              <w:spacing w:after="0"/>
            </w:pPr>
            <w:r>
              <w:rPr>
                <w:sz w:val="19"/>
              </w:rPr>
              <w:t>The increment operation is not atomic. At machine level it is effectively Load → Add → Store. Two cores can load the same old counter value before either stores its update. Both then add 1 independently and store back the same new value, so one increment is lost. Because many threads repeatedly overlap in this RMW window, the final counter is far below the theoretical 10,000,000 and varies from run to run.</w:t>
            </w:r>
          </w:p>
        </w:tc>
      </w:tr>
    </w:tbl>
    <w:p>
      <w:pPr>
        <w:spacing w:before="80" w:after="40"/>
      </w:pPr>
      <w:r>
        <w:rPr>
          <w:b/>
          <w:sz w:val="20"/>
        </w:rPr>
        <w:t xml:space="preserve">Q3.2: </w:t>
      </w:r>
      <w:r>
        <w:rPr>
          <w:sz w:val="20"/>
        </w:rPr>
        <w:t>The Synchronization Penalty</w:t>
      </w:r>
    </w:p>
    <w:tbl>
      <w:tblPr>
        <w:tblW w:type="auto" w:w="0"/>
        <w:jc w:val="center"/>
        <w:tblLook w:firstColumn="1" w:firstRow="1" w:lastColumn="0" w:lastRow="0" w:noHBand="0" w:noVBand="1" w:val="04A0"/>
        <w:tblBorders>
          <w:top w:val="single" w:sz="5" w:space="0" w:color="A9B6C8"/>
          <w:left w:val="single" w:sz="5" w:space="0" w:color="A9B6C8"/>
          <w:bottom w:val="single" w:sz="5" w:space="0" w:color="A9B6C8"/>
          <w:right w:val="single" w:sz="5" w:space="0" w:color="A9B6C8"/>
          <w:insideH w:val="single" w:sz="5" w:space="0" w:color="A9B6C8"/>
          <w:insideV w:val="single" w:sz="5" w:space="0" w:color="A9B6C8"/>
        </w:tblBorders>
      </w:tblPr>
      <w:tblGrid>
        <w:gridCol w:w="10454"/>
      </w:tblGrid>
      <w:tr>
        <w:tc>
          <w:tcPr>
            <w:tcW w:type="dxa" w:w="10454"/>
            <w:shd w:fill="F7F9FC"/>
            <w:tcMar>
              <w:top w:w="100" w:type="dxa"/>
              <w:start w:w="120" w:type="dxa"/>
              <w:bottom w:w="100" w:type="dxa"/>
              <w:end w:w="120" w:type="dxa"/>
            </w:tcMar>
          </w:tcPr>
          <w:p>
            <w:pPr>
              <w:spacing w:after="0"/>
            </w:pPr>
            <w:r>
              <w:rPr>
                <w:sz w:val="19"/>
              </w:rPr>
              <w:t>Measured timing: Unlocked = 2.97 ms (sample result 4,973,930) vs. Locked = 373.66 ms (correct result 10,000,000). The synchronized version is much slower because every increment must acquire and release the mutex. Threads serialize around the shared lock, causing lock-management overhead, waiting/blocking, cache-line ownership transfers, and loss of parallel execution. The cost buys correctness: the locked version eliminates lost updates and reaches the expected total.</w:t>
            </w:r>
          </w:p>
        </w:tc>
      </w:tr>
    </w:tbl>
    <w:p>
      <w:pPr>
        <w:spacing w:before="120" w:after="60"/>
        <w:jc w:val="center"/>
      </w:pPr>
      <w:r>
        <w:drawing>
          <wp:inline xmlns:a="http://schemas.openxmlformats.org/drawingml/2006/main" xmlns:pic="http://schemas.openxmlformats.org/drawingml/2006/picture">
            <wp:extent cx="5989320" cy="3317800"/>
            <wp:docPr id="3" name="Picture 3"/>
            <wp:cNvGraphicFramePr>
              <a:graphicFrameLocks noChangeAspect="1"/>
            </wp:cNvGraphicFramePr>
            <a:graphic>
              <a:graphicData uri="http://schemas.openxmlformats.org/drawingml/2006/picture">
                <pic:pic>
                  <pic:nvPicPr>
                    <pic:cNvPr id="0" name="30bfed7f-6921-4a1e-ab3a-355a6fa9a93a.png"/>
                    <pic:cNvPicPr/>
                  </pic:nvPicPr>
                  <pic:blipFill>
                    <a:blip r:embed="rId11"/>
                    <a:stretch>
                      <a:fillRect/>
                    </a:stretch>
                  </pic:blipFill>
                  <pic:spPr>
                    <a:xfrm>
                      <a:off x="0" y="0"/>
                      <a:ext cx="5989320" cy="3317800"/>
                    </a:xfrm>
                    <a:prstGeom prst="rect"/>
                  </pic:spPr>
                </pic:pic>
              </a:graphicData>
            </a:graphic>
          </wp:inline>
        </w:drawing>
      </w:r>
    </w:p>
    <w:p>
      <w:pPr>
        <w:spacing w:after="160"/>
        <w:jc w:val="center"/>
      </w:pPr>
      <w:r>
        <w:rPr>
          <w:i/>
          <w:color w:val="5A5A5A"/>
          <w:sz w:val="16"/>
        </w:rPr>
        <w:t>Figure 3. Ten unsynchronized counter runs and unlocked-versus-locked timing.</w:t>
      </w:r>
    </w:p>
    <w:tbl>
      <w:tblPr>
        <w:tblW w:type="auto" w:w="0"/>
        <w:jc w:val="center"/>
        <w:tblLayout w:type="autofit"/>
        <w:tblLook w:firstColumn="1" w:firstRow="1" w:lastColumn="0" w:lastRow="0" w:noHBand="0" w:noVBand="1" w:val="04A0"/>
      </w:tblPr>
      <w:tblGrid>
        <w:gridCol w:w="10454"/>
      </w:tblGrid>
      <w:tr>
        <w:tc>
          <w:tcPr>
            <w:tcW w:type="dxa" w:w="10454"/>
            <w:shd w:fill="14243A"/>
            <w:tcMar>
              <w:top w:w="90" w:type="dxa"/>
              <w:start w:w="120" w:type="dxa"/>
              <w:bottom w:w="90" w:type="dxa"/>
              <w:end w:w="120" w:type="dxa"/>
            </w:tcMar>
          </w:tcPr>
          <w:p>
            <w:pPr>
              <w:spacing w:after="0"/>
            </w:pPr>
            <w:r>
              <w:rPr>
                <w:b/>
                <w:color w:val="FFFFFF"/>
                <w:sz w:val="22"/>
              </w:rPr>
              <w:t>TASK 4: Empirical Amdahl Verification vs. Gustafson Scaling Horizon</w:t>
            </w:r>
            <w:r>
              <w:rPr>
                <w:color w:val="DCE4EE"/>
                <w:sz w:val="18"/>
              </w:rPr>
              <w:t xml:space="preserve">    15 Minutes | 15 Points</w:t>
            </w:r>
          </w:p>
        </w:tc>
      </w:tr>
    </w:tbl>
    <w:p>
      <w:pPr>
        <w:spacing w:after="0"/>
      </w:pPr>
    </w:p>
    <w:tbl>
      <w:tblPr>
        <w:tblW w:type="auto" w:w="0"/>
        <w:jc w:val="center"/>
        <w:tblLook w:firstColumn="1" w:firstRow="1" w:lastColumn="0" w:lastRow="0" w:noHBand="0" w:noVBand="1" w:val="04A0"/>
        <w:tblBorders>
          <w:top w:val="single" w:sz="6" w:space="0" w:color="B8C4D6"/>
          <w:left w:val="single" w:sz="6" w:space="0" w:color="B8C4D6"/>
          <w:bottom w:val="single" w:sz="6" w:space="0" w:color="B8C4D6"/>
          <w:right w:val="single" w:sz="6" w:space="0" w:color="B8C4D6"/>
          <w:insideH w:val="single" w:sz="6" w:space="0" w:color="B8C4D6"/>
          <w:insideV w:val="single" w:sz="6" w:space="0" w:color="B8C4D6"/>
        </w:tblBorders>
      </w:tblPr>
      <w:tblGrid>
        <w:gridCol w:w="2613"/>
        <w:gridCol w:w="2613"/>
        <w:gridCol w:w="2613"/>
        <w:gridCol w:w="2613"/>
      </w:tblGrid>
      <w:tr>
        <w:tc>
          <w:tcPr>
            <w:tcW w:type="dxa" w:w="2613"/>
            <w:shd w:fill="EAF0F7"/>
            <w:vAlign w:val="center"/>
          </w:tcPr>
          <w:p>
            <w:r/>
            <w:r>
              <w:rPr>
                <w:b/>
                <w:color w:val="263E5A"/>
                <w:sz w:val="16"/>
              </w:rPr>
              <w:t>1. Parallel Fraction Derivation (p)</w:t>
            </w:r>
          </w:p>
        </w:tc>
        <w:tc>
          <w:tcPr>
            <w:tcW w:type="dxa" w:w="2613"/>
            <w:vAlign w:val="center"/>
          </w:tcPr>
          <w:p>
            <w:r/>
            <w:r>
              <w:rPr>
                <w:b w:val="0"/>
                <w:sz w:val="17"/>
              </w:rPr>
              <w:t>T1 = 0.453092 s</w:t>
              <w:br/>
              <w:t>T2 = 0.429202 s</w:t>
              <w:br/>
              <w:t>p = 2×(T1−T2)/T1 = 0.105453</w:t>
            </w:r>
          </w:p>
        </w:tc>
        <w:tc>
          <w:tcPr>
            <w:tcW w:type="dxa" w:w="2613"/>
            <w:shd w:fill="EAF0F7"/>
            <w:vAlign w:val="center"/>
          </w:tcPr>
          <w:p>
            <w:r/>
            <w:r>
              <w:rPr>
                <w:b/>
                <w:color w:val="263E5A"/>
                <w:sz w:val="16"/>
              </w:rPr>
              <w:t>2. Amdahl Theoretical Speedup Ceiling</w:t>
            </w:r>
          </w:p>
        </w:tc>
        <w:tc>
          <w:tcPr>
            <w:tcW w:type="dxa" w:w="2613"/>
            <w:vAlign w:val="center"/>
          </w:tcPr>
          <w:p>
            <w:r/>
            <w:r>
              <w:rPr>
                <w:b w:val="0"/>
                <w:sz w:val="17"/>
              </w:rPr>
              <w:t>Sequential fraction (1−p) = 0.894547</w:t>
              <w:br/>
              <w:t>Smax = 1/(1−p) = 1.118×</w:t>
            </w:r>
          </w:p>
        </w:tc>
      </w:tr>
      <w:tr>
        <w:tc>
          <w:tcPr>
            <w:tcW w:type="dxa" w:w="2613"/>
            <w:shd w:fill="EAF0F7"/>
            <w:vAlign w:val="center"/>
          </w:tcPr>
          <w:p>
            <w:r/>
            <w:r>
              <w:rPr>
                <w:b/>
                <w:color w:val="263E5A"/>
                <w:sz w:val="16"/>
              </w:rPr>
              <w:t>3. Amdahl 64-Core Projection</w:t>
            </w:r>
          </w:p>
        </w:tc>
        <w:tc>
          <w:tcPr>
            <w:tcW w:type="dxa" w:w="2613"/>
            <w:vAlign w:val="center"/>
          </w:tcPr>
          <w:p>
            <w:r/>
            <w:r>
              <w:rPr>
                <w:b w:val="0"/>
                <w:sz w:val="17"/>
              </w:rPr>
              <w:t>S64 = 1/[(1−p)+(p/64)]</w:t>
              <w:br/>
              <w:t>Projected speedup = 1.116×</w:t>
            </w:r>
          </w:p>
        </w:tc>
        <w:tc>
          <w:tcPr>
            <w:tcW w:type="dxa" w:w="2613"/>
            <w:shd w:fill="EAF0F7"/>
            <w:vAlign w:val="center"/>
          </w:tcPr>
          <w:p>
            <w:r/>
            <w:r>
              <w:rPr>
                <w:b/>
                <w:color w:val="263E5A"/>
                <w:sz w:val="16"/>
              </w:rPr>
              <w:t>4. Gustafson Scaled Speedup</w:t>
            </w:r>
          </w:p>
        </w:tc>
        <w:tc>
          <w:tcPr>
            <w:tcW w:type="dxa" w:w="2613"/>
            <w:vAlign w:val="center"/>
          </w:tcPr>
          <w:p>
            <w:r/>
            <w:r>
              <w:rPr>
                <w:b w:val="0"/>
                <w:sz w:val="17"/>
              </w:rPr>
              <w:t>SG = (1−p)+(p×64)</w:t>
              <w:br/>
              <w:t>Projected scaled speedup = 7.644×</w:t>
            </w:r>
          </w:p>
        </w:tc>
      </w:tr>
    </w:tbl>
    <w:p>
      <w:pPr>
        <w:spacing w:before="80" w:after="40"/>
      </w:pPr>
      <w:r>
        <w:rPr>
          <w:b/>
          <w:sz w:val="20"/>
        </w:rPr>
        <w:t xml:space="preserve">Q4.1: </w:t>
      </w:r>
      <w:r>
        <w:rPr>
          <w:sz w:val="20"/>
        </w:rPr>
        <w:t>Strong vs. Weak Scaling Analysis</w:t>
      </w:r>
    </w:p>
    <w:tbl>
      <w:tblPr>
        <w:tblW w:type="auto" w:w="0"/>
        <w:jc w:val="center"/>
        <w:tblLook w:firstColumn="1" w:firstRow="1" w:lastColumn="0" w:lastRow="0" w:noHBand="0" w:noVBand="1" w:val="04A0"/>
        <w:tblBorders>
          <w:top w:val="single" w:sz="5" w:space="0" w:color="A9B6C8"/>
          <w:left w:val="single" w:sz="5" w:space="0" w:color="A9B6C8"/>
          <w:bottom w:val="single" w:sz="5" w:space="0" w:color="A9B6C8"/>
          <w:right w:val="single" w:sz="5" w:space="0" w:color="A9B6C8"/>
          <w:insideH w:val="single" w:sz="5" w:space="0" w:color="A9B6C8"/>
          <w:insideV w:val="single" w:sz="5" w:space="0" w:color="A9B6C8"/>
        </w:tblBorders>
      </w:tblPr>
      <w:tblGrid>
        <w:gridCol w:w="10454"/>
      </w:tblGrid>
      <w:tr>
        <w:tc>
          <w:tcPr>
            <w:tcW w:type="dxa" w:w="10454"/>
            <w:shd w:fill="F7F9FC"/>
            <w:tcMar>
              <w:top w:w="100" w:type="dxa"/>
              <w:start w:w="120" w:type="dxa"/>
              <w:bottom w:w="100" w:type="dxa"/>
              <w:end w:w="120" w:type="dxa"/>
            </w:tcMar>
          </w:tcPr>
          <w:p>
            <w:pPr>
              <w:spacing w:after="0"/>
            </w:pPr>
            <w:r>
              <w:rPr>
                <w:sz w:val="19"/>
              </w:rPr>
              <w:t>Amdahl’s Law assumes a fixed problem size (strong scaling). As more cores are added, the parallel portion becomes faster, but the sequential fraction remains unchanged and eventually dominates total execution time, creating a hard speedup ceiling. Gustafson’s Law assumes the problem size grows with the number of processors (weak scaling), so the added work is mostly parallel and the fixed sequential component becomes a smaller fraction of the enlarged workload. Therefore Gustafson predicts much better scaling. With this specific measured p = 0.105453, the result is 7.644× on 64 cores rather than near-linear 64×, because the measured parallel fraction is relatively small.</w:t>
            </w:r>
          </w:p>
        </w:tc>
      </w:tr>
    </w:tbl>
    <w:p>
      <w:pPr>
        <w:spacing w:before="120" w:after="60"/>
        <w:jc w:val="center"/>
      </w:pPr>
      <w:r>
        <w:drawing>
          <wp:inline xmlns:a="http://schemas.openxmlformats.org/drawingml/2006/main" xmlns:pic="http://schemas.openxmlformats.org/drawingml/2006/picture">
            <wp:extent cx="5989320" cy="3269715"/>
            <wp:docPr id="4" name="Picture 4"/>
            <wp:cNvGraphicFramePr>
              <a:graphicFrameLocks noChangeAspect="1"/>
            </wp:cNvGraphicFramePr>
            <a:graphic>
              <a:graphicData uri="http://schemas.openxmlformats.org/drawingml/2006/picture">
                <pic:pic>
                  <pic:nvPicPr>
                    <pic:cNvPr id="0" name="37837de6-ca6d-4134-89d1-4ab9751e99c5.png"/>
                    <pic:cNvPicPr/>
                  </pic:nvPicPr>
                  <pic:blipFill>
                    <a:blip r:embed="rId12"/>
                    <a:stretch>
                      <a:fillRect/>
                    </a:stretch>
                  </pic:blipFill>
                  <pic:spPr>
                    <a:xfrm>
                      <a:off x="0" y="0"/>
                      <a:ext cx="5989320" cy="3269715"/>
                    </a:xfrm>
                    <a:prstGeom prst="rect"/>
                  </pic:spPr>
                </pic:pic>
              </a:graphicData>
            </a:graphic>
          </wp:inline>
        </w:drawing>
      </w:r>
    </w:p>
    <w:p>
      <w:pPr>
        <w:spacing w:after="160"/>
        <w:jc w:val="center"/>
      </w:pPr>
      <w:r>
        <w:rPr>
          <w:i/>
          <w:color w:val="5A5A5A"/>
          <w:sz w:val="16"/>
        </w:rPr>
        <w:t>Figure 4. Empirical T1/T2 values and Amdahl/Gustafson calculations.</w:t>
      </w:r>
    </w:p>
    <w:tbl>
      <w:tblPr>
        <w:tblW w:type="auto" w:w="0"/>
        <w:jc w:val="center"/>
        <w:tblLayout w:type="autofit"/>
        <w:tblLook w:firstColumn="1" w:firstRow="1" w:lastColumn="0" w:lastRow="0" w:noHBand="0" w:noVBand="1" w:val="04A0"/>
      </w:tblPr>
      <w:tblGrid>
        <w:gridCol w:w="10454"/>
      </w:tblGrid>
      <w:tr>
        <w:tc>
          <w:tcPr>
            <w:tcW w:type="dxa" w:w="10454"/>
            <w:shd w:fill="14243A"/>
            <w:tcMar>
              <w:top w:w="90" w:type="dxa"/>
              <w:start w:w="120" w:type="dxa"/>
              <w:bottom w:w="90" w:type="dxa"/>
              <w:end w:w="120" w:type="dxa"/>
            </w:tcMar>
          </w:tcPr>
          <w:p>
            <w:pPr>
              <w:spacing w:after="0"/>
            </w:pPr>
            <w:r>
              <w:rPr>
                <w:b/>
                <w:color w:val="FFFFFF"/>
                <w:sz w:val="22"/>
              </w:rPr>
              <w:t>Submission Checklist</w:t>
            </w:r>
          </w:p>
        </w:tc>
      </w:tr>
    </w:tbl>
    <w:p>
      <w:pPr>
        <w:spacing w:after="0"/>
      </w:pPr>
    </w:p>
    <w:p>
      <w:pPr>
        <w:spacing w:after="40"/>
        <w:ind w:left="216"/>
      </w:pPr>
      <w:r>
        <w:rPr>
          <w:sz w:val="18"/>
        </w:rPr>
        <w:t>✓  All four task tables completed with locally measured values.</w:t>
      </w:r>
    </w:p>
    <w:p>
      <w:pPr>
        <w:spacing w:after="40"/>
        <w:ind w:left="216"/>
      </w:pPr>
      <w:r>
        <w:rPr>
          <w:sz w:val="18"/>
        </w:rPr>
        <w:t>✓  All technical reflection prompts answered.</w:t>
      </w:r>
    </w:p>
    <w:p>
      <w:pPr>
        <w:spacing w:after="40"/>
        <w:ind w:left="216"/>
      </w:pPr>
      <w:r>
        <w:rPr>
          <w:sz w:val="18"/>
        </w:rPr>
        <w:t>✓  Benchmark evidence screenshots inserted in the relevant task sections.</w:t>
      </w:r>
    </w:p>
    <w:p>
      <w:pPr>
        <w:spacing w:after="40"/>
        <w:ind w:left="216"/>
      </w:pPr>
      <w:r>
        <w:rPr>
          <w:sz w:val="18"/>
        </w:rPr>
        <w:t>✓  Task 2 benchmark executed for 1, 2, 4, 8, 16, and 32 threads, three runs each.</w:t>
      </w:r>
    </w:p>
    <w:p>
      <w:pPr>
        <w:spacing w:after="40"/>
        <w:ind w:left="216"/>
      </w:pPr>
      <w:r>
        <w:rPr>
          <w:sz w:val="18"/>
        </w:rPr>
        <w:t>✓  Race-condition experiment executed for ten consecutive runs and repeated with a lock.</w:t>
      </w:r>
    </w:p>
    <w:p>
      <w:pPr>
        <w:spacing w:before="120"/>
      </w:pPr>
      <w:r>
        <w:rPr>
          <w:b/>
          <w:sz w:val="16"/>
        </w:rPr>
        <w:t xml:space="preserve">Hardware source note: </w:t>
      </w:r>
      <w:r>
        <w:rPr>
          <w:color w:val="505050"/>
          <w:sz w:val="16"/>
        </w:rPr>
        <w:t>Local WMI/PowerShell measurements were used for core/thread/cache values. Intel’s official i7-12700H specification was used only for the 4.70 GHz maximum turbo frequency and supported SIMD extension names.</w:t>
      </w:r>
    </w:p>
    <w:sectPr w:rsidR="00FC693F" w:rsidRPr="0006063C" w:rsidSect="00034616">
      <w:footerReference w:type="default" r:id="rId13"/>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Lab Practicum 01  |  Mardan Ibragimov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Practicum 01: Empirical Parallel Computing</dc:title>
  <dc:subject>Completed parallel computing lab</dc:subject>
  <dc:creator>Mardan Ibragimov</dc:creator>
  <cp:keywords/>
  <dc:description>generated by python-docx</dc:description>
  <cp:lastModifiedBy/>
  <cp:revision>1</cp:revision>
  <dcterms:created xsi:type="dcterms:W3CDTF">2013-12-23T23:15:00Z</dcterms:created>
  <dcterms:modified xsi:type="dcterms:W3CDTF">2013-12-23T23:15:00Z</dcterms:modified>
  <cp:category/>
</cp:coreProperties>
</file>