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Parallel Programming &amp; Architecture</w:t>
      </w:r>
    </w:p>
    <w:p>
      <w:pPr>
        <w:jc w:val="center"/>
      </w:pPr>
      <w:r>
        <w:rPr>
          <w:b/>
          <w:sz w:val="24"/>
        </w:rPr>
        <w:t>Laboratory Examination &amp; Silicon Profiling Worksheet</w:t>
        <w:br/>
        <w:t>Empirical Microarchitectural Bottlenecks</w:t>
      </w:r>
    </w:p>
    <w:p>
      <w:pPr>
        <w:jc w:val="center"/>
      </w:pPr>
      <w:r>
        <w:rPr>
          <w:i/>
        </w:rPr>
        <w:t>Completed empirical report — 17 September 2026</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1F4E79"/>
          </w:tcPr>
          <w:p>
            <w:pPr>
              <w:spacing w:after="0"/>
            </w:pPr>
            <w:r/>
            <w:r>
              <w:rPr>
                <w:rFonts w:ascii="Arial" w:hAnsi="Arial" w:eastAsia="Arial"/>
                <w:b/>
                <w:color w:val="FFFFFF"/>
                <w:sz w:val="16"/>
              </w:rPr>
              <w:t>Field</w:t>
            </w:r>
          </w:p>
        </w:tc>
        <w:tc>
          <w:tcPr>
            <w:tcW w:type="dxa" w:w="6912"/>
            <w:vAlign w:val="center"/>
            <w:shd w:fill="1F4E79"/>
          </w:tcPr>
          <w:p>
            <w:pPr>
              <w:spacing w:after="0"/>
            </w:pPr>
            <w:r/>
            <w:r>
              <w:rPr>
                <w:rFonts w:ascii="Arial" w:hAnsi="Arial" w:eastAsia="Arial"/>
                <w:b/>
                <w:color w:val="FFFFFF"/>
                <w:sz w:val="16"/>
              </w:rPr>
              <w:t>Value</w:t>
            </w:r>
          </w:p>
        </w:tc>
      </w:tr>
      <w:tr>
        <w:tc>
          <w:tcPr>
            <w:tcW w:type="dxa" w:w="3168"/>
            <w:vAlign w:val="center"/>
          </w:tcPr>
          <w:p>
            <w:pPr>
              <w:spacing w:after="0"/>
            </w:pPr>
            <w:r/>
            <w:r>
              <w:rPr>
                <w:rFonts w:ascii="Arial" w:hAnsi="Arial" w:eastAsia="Arial"/>
                <w:b w:val="0"/>
                <w:sz w:val="16"/>
              </w:rPr>
              <w:t>Student Full Name</w:t>
            </w:r>
          </w:p>
        </w:tc>
        <w:tc>
          <w:tcPr>
            <w:tcW w:type="dxa" w:w="6912"/>
            <w:vAlign w:val="center"/>
          </w:tcPr>
          <w:p>
            <w:pPr>
              <w:spacing w:after="0"/>
            </w:pPr>
            <w:r/>
            <w:r>
              <w:rPr>
                <w:rFonts w:ascii="Arial" w:hAnsi="Arial" w:eastAsia="Arial"/>
                <w:b w:val="0"/>
                <w:sz w:val="16"/>
              </w:rPr>
              <w:t>Mardan Ibragimov</w:t>
            </w:r>
          </w:p>
        </w:tc>
      </w:tr>
      <w:tr>
        <w:tc>
          <w:tcPr>
            <w:tcW w:type="dxa" w:w="3168"/>
            <w:vAlign w:val="center"/>
            <w:shd w:fill="F2F6FA"/>
          </w:tcPr>
          <w:p>
            <w:pPr>
              <w:spacing w:after="0"/>
            </w:pPr>
            <w:r/>
            <w:r>
              <w:rPr>
                <w:rFonts w:ascii="Arial" w:hAnsi="Arial" w:eastAsia="Arial"/>
                <w:b w:val="0"/>
                <w:sz w:val="16"/>
              </w:rPr>
              <w:t>Student ID</w:t>
            </w:r>
          </w:p>
        </w:tc>
        <w:tc>
          <w:tcPr>
            <w:tcW w:type="dxa" w:w="6912"/>
            <w:vAlign w:val="center"/>
            <w:shd w:fill="F2F6FA"/>
          </w:tcPr>
          <w:p>
            <w:pPr>
              <w:spacing w:after="0"/>
            </w:pPr>
            <w:r/>
            <w:r>
              <w:rPr>
                <w:rFonts w:ascii="Arial" w:hAnsi="Arial" w:eastAsia="Arial"/>
                <w:b w:val="0"/>
                <w:sz w:val="16"/>
              </w:rPr>
              <w:t>230103054</w:t>
            </w:r>
          </w:p>
        </w:tc>
      </w:tr>
      <w:tr>
        <w:tc>
          <w:tcPr>
            <w:tcW w:type="dxa" w:w="3168"/>
            <w:vAlign w:val="center"/>
          </w:tcPr>
          <w:p>
            <w:pPr>
              <w:spacing w:after="0"/>
            </w:pPr>
            <w:r/>
            <w:r>
              <w:rPr>
                <w:rFonts w:ascii="Arial" w:hAnsi="Arial" w:eastAsia="Arial"/>
                <w:b w:val="0"/>
                <w:sz w:val="16"/>
              </w:rPr>
              <w:t>Host environment</w:t>
            </w:r>
          </w:p>
        </w:tc>
        <w:tc>
          <w:tcPr>
            <w:tcW w:type="dxa" w:w="6912"/>
            <w:vAlign w:val="center"/>
          </w:tcPr>
          <w:p>
            <w:pPr>
              <w:spacing w:after="0"/>
            </w:pPr>
            <w:r/>
            <w:r>
              <w:rPr>
                <w:rFonts w:ascii="Arial" w:hAnsi="Arial" w:eastAsia="Arial"/>
                <w:b w:val="0"/>
                <w:sz w:val="16"/>
              </w:rPr>
              <w:t>Windows / PowerShell / VS Code</w:t>
            </w:r>
          </w:p>
        </w:tc>
      </w:tr>
      <w:tr>
        <w:tc>
          <w:tcPr>
            <w:tcW w:type="dxa" w:w="3168"/>
            <w:vAlign w:val="center"/>
            <w:shd w:fill="F2F6FA"/>
          </w:tcPr>
          <w:p>
            <w:pPr>
              <w:spacing w:after="0"/>
            </w:pPr>
            <w:r/>
            <w:r>
              <w:rPr>
                <w:rFonts w:ascii="Arial" w:hAnsi="Arial" w:eastAsia="Arial"/>
                <w:b w:val="0"/>
                <w:sz w:val="16"/>
              </w:rPr>
              <w:t>Processor</w:t>
            </w:r>
          </w:p>
        </w:tc>
        <w:tc>
          <w:tcPr>
            <w:tcW w:type="dxa" w:w="6912"/>
            <w:vAlign w:val="center"/>
            <w:shd w:fill="F2F6FA"/>
          </w:tcPr>
          <w:p>
            <w:pPr>
              <w:spacing w:after="0"/>
            </w:pPr>
            <w:r/>
            <w:r>
              <w:rPr>
                <w:rFonts w:ascii="Arial" w:hAnsi="Arial" w:eastAsia="Arial"/>
                <w:b w:val="0"/>
                <w:sz w:val="16"/>
              </w:rPr>
              <w:t>12th Gen Intel(R) Core(TM) i7-12700H</w:t>
            </w:r>
          </w:p>
        </w:tc>
      </w:tr>
      <w:tr>
        <w:tc>
          <w:tcPr>
            <w:tcW w:type="dxa" w:w="3168"/>
            <w:vAlign w:val="center"/>
          </w:tcPr>
          <w:p>
            <w:pPr>
              <w:spacing w:after="0"/>
            </w:pPr>
            <w:r/>
            <w:r>
              <w:rPr>
                <w:rFonts w:ascii="Arial" w:hAnsi="Arial" w:eastAsia="Arial"/>
                <w:b w:val="0"/>
                <w:sz w:val="16"/>
              </w:rPr>
              <w:t>Physical cores / logical processors</w:t>
            </w:r>
          </w:p>
        </w:tc>
        <w:tc>
          <w:tcPr>
            <w:tcW w:type="dxa" w:w="6912"/>
            <w:vAlign w:val="center"/>
          </w:tcPr>
          <w:p>
            <w:pPr>
              <w:spacing w:after="0"/>
            </w:pPr>
            <w:r/>
            <w:r>
              <w:rPr>
                <w:rFonts w:ascii="Arial" w:hAnsi="Arial" w:eastAsia="Arial"/>
                <w:b w:val="0"/>
                <w:sz w:val="16"/>
              </w:rPr>
              <w:t>14 / 20</w:t>
            </w:r>
          </w:p>
        </w:tc>
      </w:tr>
      <w:tr>
        <w:tc>
          <w:tcPr>
            <w:tcW w:type="dxa" w:w="3168"/>
            <w:vAlign w:val="center"/>
            <w:shd w:fill="F2F6FA"/>
          </w:tcPr>
          <w:p>
            <w:pPr>
              <w:spacing w:after="0"/>
            </w:pPr>
            <w:r/>
            <w:r>
              <w:rPr>
                <w:rFonts w:ascii="Arial" w:hAnsi="Arial" w:eastAsia="Arial"/>
                <w:b w:val="0"/>
                <w:sz w:val="16"/>
              </w:rPr>
              <w:t>Python runtime</w:t>
            </w:r>
          </w:p>
        </w:tc>
        <w:tc>
          <w:tcPr>
            <w:tcW w:type="dxa" w:w="6912"/>
            <w:vAlign w:val="center"/>
            <w:shd w:fill="F2F6FA"/>
          </w:tcPr>
          <w:p>
            <w:pPr>
              <w:spacing w:after="0"/>
            </w:pPr>
            <w:r/>
            <w:r>
              <w:rPr>
                <w:rFonts w:ascii="Arial" w:hAnsi="Arial" w:eastAsia="Arial"/>
                <w:b w:val="0"/>
                <w:sz w:val="16"/>
              </w:rPr>
              <w:t>CPython 3.11.7</w:t>
            </w:r>
          </w:p>
        </w:tc>
      </w:tr>
      <w:tr>
        <w:tc>
          <w:tcPr>
            <w:tcW w:type="dxa" w:w="3168"/>
            <w:vAlign w:val="center"/>
          </w:tcPr>
          <w:p>
            <w:pPr>
              <w:spacing w:after="0"/>
            </w:pPr>
            <w:r/>
            <w:r>
              <w:rPr>
                <w:rFonts w:ascii="Arial" w:hAnsi="Arial" w:eastAsia="Arial"/>
                <w:b w:val="0"/>
                <w:sz w:val="16"/>
              </w:rPr>
              <w:t>Raw evidence</w:t>
            </w:r>
          </w:p>
        </w:tc>
        <w:tc>
          <w:tcPr>
            <w:tcW w:type="dxa" w:w="6912"/>
            <w:vAlign w:val="center"/>
          </w:tcPr>
          <w:p>
            <w:pPr>
              <w:spacing w:after="0"/>
            </w:pPr>
            <w:r/>
            <w:r>
              <w:rPr>
                <w:rFonts w:ascii="Arial" w:hAnsi="Arial" w:eastAsia="Arial"/>
                <w:b w:val="0"/>
                <w:sz w:val="16"/>
              </w:rPr>
              <w:t>results.txt + local execution screenshots included in Appendix A</w:t>
            </w:r>
          </w:p>
        </w:tc>
      </w:tr>
    </w:tbl>
    <w:p>
      <w:pPr>
        <w:spacing w:after="0"/>
      </w:pPr>
    </w:p>
    <w:p>
      <w:r>
        <w:rPr>
          <w:b/>
          <w:color w:val="C0504D"/>
        </w:rPr>
        <w:t xml:space="preserve">Validation note. </w:t>
      </w:r>
      <w:r>
        <w:t>All four benchmark suites completed and produced real measurements on the local laptop. Two expected phenomena did not appear in the provided CPython thread benchmarks: Task 2 showed essentially no false-sharing penalty, and Task 3 UnsafeCounter produced no lost updates. These are reported exactly as measured rather than replaced with theoretical/fabricated values.</w:t>
      </w:r>
    </w:p>
    <w:p>
      <w:pPr>
        <w:pStyle w:val="Heading1"/>
      </w:pPr>
      <w:r>
        <w:t>TASK 1 — Amdahl’s Law &amp; Physical Silicon Saturation</w:t>
      </w:r>
    </w:p>
    <w:p>
      <w:r>
        <w:t>Raw run: OS reported 20 logical processors. The script produced a separate one-process baseline of 3.3054 s, then performed the 1/2/4/8/12/16-worker sweep. The sweep’s own p=1 measurement was 2.2604 s. For Amdahl algebra below, the p=1 sweep value is used because it is the consistent T(1) from the same sweep; using the earlier warm-up baseline would yield S(4) &gt; 4 and an unphysical P &gt; 1.</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296"/>
            <w:vAlign w:val="center"/>
            <w:shd w:fill="1F4E79"/>
          </w:tcPr>
          <w:p>
            <w:pPr>
              <w:spacing w:after="0"/>
            </w:pPr>
            <w:r/>
            <w:r>
              <w:rPr>
                <w:rFonts w:ascii="Arial" w:hAnsi="Arial" w:eastAsia="Arial"/>
                <w:b/>
                <w:color w:val="FFFFFF"/>
                <w:sz w:val="16"/>
              </w:rPr>
              <w:t>Workers p</w:t>
            </w:r>
          </w:p>
        </w:tc>
        <w:tc>
          <w:tcPr>
            <w:tcW w:type="dxa" w:w="2160"/>
            <w:vAlign w:val="center"/>
            <w:shd w:fill="1F4E79"/>
          </w:tcPr>
          <w:p>
            <w:pPr>
              <w:spacing w:after="0"/>
            </w:pPr>
            <w:r/>
            <w:r>
              <w:rPr>
                <w:rFonts w:ascii="Arial" w:hAnsi="Arial" w:eastAsia="Arial"/>
                <w:b/>
                <w:color w:val="FFFFFF"/>
                <w:sz w:val="16"/>
              </w:rPr>
              <w:t>Measured T(p), s</w:t>
            </w:r>
          </w:p>
        </w:tc>
        <w:tc>
          <w:tcPr>
            <w:tcW w:type="dxa" w:w="1872"/>
            <w:vAlign w:val="center"/>
            <w:shd w:fill="1F4E79"/>
          </w:tcPr>
          <w:p>
            <w:pPr>
              <w:spacing w:after="0"/>
            </w:pPr>
            <w:r/>
            <w:r>
              <w:rPr>
                <w:rFonts w:ascii="Arial" w:hAnsi="Arial" w:eastAsia="Arial"/>
                <w:b/>
                <w:color w:val="FFFFFF"/>
                <w:sz w:val="16"/>
              </w:rPr>
              <w:t>Normalized S(p)</w:t>
            </w:r>
          </w:p>
        </w:tc>
        <w:tc>
          <w:tcPr>
            <w:tcW w:type="dxa" w:w="1440"/>
            <w:vAlign w:val="center"/>
            <w:shd w:fill="1F4E79"/>
          </w:tcPr>
          <w:p>
            <w:pPr>
              <w:spacing w:after="0"/>
            </w:pPr>
            <w:r/>
            <w:r>
              <w:rPr>
                <w:rFonts w:ascii="Arial" w:hAnsi="Arial" w:eastAsia="Arial"/>
                <w:b/>
                <w:color w:val="FFFFFF"/>
                <w:sz w:val="16"/>
              </w:rPr>
              <w:t>Ideal</w:t>
            </w:r>
          </w:p>
        </w:tc>
        <w:tc>
          <w:tcPr>
            <w:tcW w:type="dxa" w:w="1728"/>
            <w:vAlign w:val="center"/>
            <w:shd w:fill="1F4E79"/>
          </w:tcPr>
          <w:p>
            <w:pPr>
              <w:spacing w:after="0"/>
            </w:pPr>
            <w:r/>
            <w:r>
              <w:rPr>
                <w:rFonts w:ascii="Arial" w:hAnsi="Arial" w:eastAsia="Arial"/>
                <w:b/>
                <w:color w:val="FFFFFF"/>
                <w:sz w:val="16"/>
              </w:rPr>
              <w:t>Efficiency</w:t>
            </w:r>
          </w:p>
        </w:tc>
      </w:tr>
      <w:tr>
        <w:tc>
          <w:tcPr>
            <w:tcW w:type="dxa" w:w="1296"/>
            <w:vAlign w:val="center"/>
          </w:tcPr>
          <w:p>
            <w:pPr>
              <w:spacing w:after="0"/>
            </w:pPr>
            <w:r/>
            <w:r>
              <w:rPr>
                <w:rFonts w:ascii="Arial" w:hAnsi="Arial" w:eastAsia="Arial"/>
                <w:b w:val="0"/>
                <w:sz w:val="16"/>
              </w:rPr>
              <w:t>1</w:t>
            </w:r>
          </w:p>
        </w:tc>
        <w:tc>
          <w:tcPr>
            <w:tcW w:type="dxa" w:w="2160"/>
            <w:vAlign w:val="center"/>
          </w:tcPr>
          <w:p>
            <w:pPr>
              <w:spacing w:after="0"/>
            </w:pPr>
            <w:r/>
            <w:r>
              <w:rPr>
                <w:rFonts w:ascii="Arial" w:hAnsi="Arial" w:eastAsia="Arial"/>
                <w:b w:val="0"/>
                <w:sz w:val="16"/>
              </w:rPr>
              <w:t>2.2604</w:t>
            </w:r>
          </w:p>
        </w:tc>
        <w:tc>
          <w:tcPr>
            <w:tcW w:type="dxa" w:w="1872"/>
            <w:vAlign w:val="center"/>
          </w:tcPr>
          <w:p>
            <w:pPr>
              <w:spacing w:after="0"/>
            </w:pPr>
            <w:r/>
            <w:r>
              <w:rPr>
                <w:rFonts w:ascii="Arial" w:hAnsi="Arial" w:eastAsia="Arial"/>
                <w:b w:val="0"/>
                <w:sz w:val="16"/>
              </w:rPr>
              <w:t>1.00x</w:t>
            </w:r>
          </w:p>
        </w:tc>
        <w:tc>
          <w:tcPr>
            <w:tcW w:type="dxa" w:w="1440"/>
            <w:vAlign w:val="center"/>
          </w:tcPr>
          <w:p>
            <w:pPr>
              <w:spacing w:after="0"/>
            </w:pPr>
            <w:r/>
            <w:r>
              <w:rPr>
                <w:rFonts w:ascii="Arial" w:hAnsi="Arial" w:eastAsia="Arial"/>
                <w:b w:val="0"/>
                <w:sz w:val="16"/>
              </w:rPr>
              <w:t>1.00x</w:t>
            </w:r>
          </w:p>
        </w:tc>
        <w:tc>
          <w:tcPr>
            <w:tcW w:type="dxa" w:w="1728"/>
            <w:vAlign w:val="center"/>
          </w:tcPr>
          <w:p>
            <w:pPr>
              <w:spacing w:after="0"/>
            </w:pPr>
            <w:r/>
            <w:r>
              <w:rPr>
                <w:rFonts w:ascii="Arial" w:hAnsi="Arial" w:eastAsia="Arial"/>
                <w:b w:val="0"/>
                <w:sz w:val="16"/>
              </w:rPr>
              <w:t>100.0%</w:t>
            </w:r>
          </w:p>
        </w:tc>
      </w:tr>
      <w:tr>
        <w:tc>
          <w:tcPr>
            <w:tcW w:type="dxa" w:w="1296"/>
            <w:vAlign w:val="center"/>
            <w:shd w:fill="F2F6FA"/>
          </w:tcPr>
          <w:p>
            <w:pPr>
              <w:spacing w:after="0"/>
            </w:pPr>
            <w:r/>
            <w:r>
              <w:rPr>
                <w:rFonts w:ascii="Arial" w:hAnsi="Arial" w:eastAsia="Arial"/>
                <w:b w:val="0"/>
                <w:sz w:val="16"/>
              </w:rPr>
              <w:t>2</w:t>
            </w:r>
          </w:p>
        </w:tc>
        <w:tc>
          <w:tcPr>
            <w:tcW w:type="dxa" w:w="2160"/>
            <w:vAlign w:val="center"/>
            <w:shd w:fill="F2F6FA"/>
          </w:tcPr>
          <w:p>
            <w:pPr>
              <w:spacing w:after="0"/>
            </w:pPr>
            <w:r/>
            <w:r>
              <w:rPr>
                <w:rFonts w:ascii="Arial" w:hAnsi="Arial" w:eastAsia="Arial"/>
                <w:b w:val="0"/>
                <w:sz w:val="16"/>
              </w:rPr>
              <w:t>1.1922</w:t>
            </w:r>
          </w:p>
        </w:tc>
        <w:tc>
          <w:tcPr>
            <w:tcW w:type="dxa" w:w="1872"/>
            <w:vAlign w:val="center"/>
            <w:shd w:fill="F2F6FA"/>
          </w:tcPr>
          <w:p>
            <w:pPr>
              <w:spacing w:after="0"/>
            </w:pPr>
            <w:r/>
            <w:r>
              <w:rPr>
                <w:rFonts w:ascii="Arial" w:hAnsi="Arial" w:eastAsia="Arial"/>
                <w:b w:val="0"/>
                <w:sz w:val="16"/>
              </w:rPr>
              <w:t>1.90x</w:t>
            </w:r>
          </w:p>
        </w:tc>
        <w:tc>
          <w:tcPr>
            <w:tcW w:type="dxa" w:w="1440"/>
            <w:vAlign w:val="center"/>
            <w:shd w:fill="F2F6FA"/>
          </w:tcPr>
          <w:p>
            <w:pPr>
              <w:spacing w:after="0"/>
            </w:pPr>
            <w:r/>
            <w:r>
              <w:rPr>
                <w:rFonts w:ascii="Arial" w:hAnsi="Arial" w:eastAsia="Arial"/>
                <w:b w:val="0"/>
                <w:sz w:val="16"/>
              </w:rPr>
              <w:t>2.00x</w:t>
            </w:r>
          </w:p>
        </w:tc>
        <w:tc>
          <w:tcPr>
            <w:tcW w:type="dxa" w:w="1728"/>
            <w:vAlign w:val="center"/>
            <w:shd w:fill="F2F6FA"/>
          </w:tcPr>
          <w:p>
            <w:pPr>
              <w:spacing w:after="0"/>
            </w:pPr>
            <w:r/>
            <w:r>
              <w:rPr>
                <w:rFonts w:ascii="Arial" w:hAnsi="Arial" w:eastAsia="Arial"/>
                <w:b w:val="0"/>
                <w:sz w:val="16"/>
              </w:rPr>
              <w:t>94.8%</w:t>
            </w:r>
          </w:p>
        </w:tc>
      </w:tr>
      <w:tr>
        <w:tc>
          <w:tcPr>
            <w:tcW w:type="dxa" w:w="1296"/>
            <w:vAlign w:val="center"/>
          </w:tcPr>
          <w:p>
            <w:pPr>
              <w:spacing w:after="0"/>
            </w:pPr>
            <w:r/>
            <w:r>
              <w:rPr>
                <w:rFonts w:ascii="Arial" w:hAnsi="Arial" w:eastAsia="Arial"/>
                <w:b w:val="0"/>
                <w:sz w:val="16"/>
              </w:rPr>
              <w:t>4</w:t>
            </w:r>
          </w:p>
        </w:tc>
        <w:tc>
          <w:tcPr>
            <w:tcW w:type="dxa" w:w="2160"/>
            <w:vAlign w:val="center"/>
          </w:tcPr>
          <w:p>
            <w:pPr>
              <w:spacing w:after="0"/>
            </w:pPr>
            <w:r/>
            <w:r>
              <w:rPr>
                <w:rFonts w:ascii="Arial" w:hAnsi="Arial" w:eastAsia="Arial"/>
                <w:b w:val="0"/>
                <w:sz w:val="16"/>
              </w:rPr>
              <w:t>0.7168</w:t>
            </w:r>
          </w:p>
        </w:tc>
        <w:tc>
          <w:tcPr>
            <w:tcW w:type="dxa" w:w="1872"/>
            <w:vAlign w:val="center"/>
          </w:tcPr>
          <w:p>
            <w:pPr>
              <w:spacing w:after="0"/>
            </w:pPr>
            <w:r/>
            <w:r>
              <w:rPr>
                <w:rFonts w:ascii="Arial" w:hAnsi="Arial" w:eastAsia="Arial"/>
                <w:b w:val="0"/>
                <w:sz w:val="16"/>
              </w:rPr>
              <w:t>3.15x</w:t>
            </w:r>
          </w:p>
        </w:tc>
        <w:tc>
          <w:tcPr>
            <w:tcW w:type="dxa" w:w="1440"/>
            <w:vAlign w:val="center"/>
          </w:tcPr>
          <w:p>
            <w:pPr>
              <w:spacing w:after="0"/>
            </w:pPr>
            <w:r/>
            <w:r>
              <w:rPr>
                <w:rFonts w:ascii="Arial" w:hAnsi="Arial" w:eastAsia="Arial"/>
                <w:b w:val="0"/>
                <w:sz w:val="16"/>
              </w:rPr>
              <w:t>4.00x</w:t>
            </w:r>
          </w:p>
        </w:tc>
        <w:tc>
          <w:tcPr>
            <w:tcW w:type="dxa" w:w="1728"/>
            <w:vAlign w:val="center"/>
          </w:tcPr>
          <w:p>
            <w:pPr>
              <w:spacing w:after="0"/>
            </w:pPr>
            <w:r/>
            <w:r>
              <w:rPr>
                <w:rFonts w:ascii="Arial" w:hAnsi="Arial" w:eastAsia="Arial"/>
                <w:b w:val="0"/>
                <w:sz w:val="16"/>
              </w:rPr>
              <w:t>78.8%</w:t>
            </w:r>
          </w:p>
        </w:tc>
      </w:tr>
      <w:tr>
        <w:tc>
          <w:tcPr>
            <w:tcW w:type="dxa" w:w="1296"/>
            <w:vAlign w:val="center"/>
            <w:shd w:fill="F2F6FA"/>
          </w:tcPr>
          <w:p>
            <w:pPr>
              <w:spacing w:after="0"/>
            </w:pPr>
            <w:r/>
            <w:r>
              <w:rPr>
                <w:rFonts w:ascii="Arial" w:hAnsi="Arial" w:eastAsia="Arial"/>
                <w:b w:val="0"/>
                <w:sz w:val="16"/>
              </w:rPr>
              <w:t>8</w:t>
            </w:r>
          </w:p>
        </w:tc>
        <w:tc>
          <w:tcPr>
            <w:tcW w:type="dxa" w:w="2160"/>
            <w:vAlign w:val="center"/>
            <w:shd w:fill="F2F6FA"/>
          </w:tcPr>
          <w:p>
            <w:pPr>
              <w:spacing w:after="0"/>
            </w:pPr>
            <w:r/>
            <w:r>
              <w:rPr>
                <w:rFonts w:ascii="Arial" w:hAnsi="Arial" w:eastAsia="Arial"/>
                <w:b w:val="0"/>
                <w:sz w:val="16"/>
              </w:rPr>
              <w:t>0.5436</w:t>
            </w:r>
          </w:p>
        </w:tc>
        <w:tc>
          <w:tcPr>
            <w:tcW w:type="dxa" w:w="1872"/>
            <w:vAlign w:val="center"/>
            <w:shd w:fill="F2F6FA"/>
          </w:tcPr>
          <w:p>
            <w:pPr>
              <w:spacing w:after="0"/>
            </w:pPr>
            <w:r/>
            <w:r>
              <w:rPr>
                <w:rFonts w:ascii="Arial" w:hAnsi="Arial" w:eastAsia="Arial"/>
                <w:b w:val="0"/>
                <w:sz w:val="16"/>
              </w:rPr>
              <w:t>4.16x</w:t>
            </w:r>
          </w:p>
        </w:tc>
        <w:tc>
          <w:tcPr>
            <w:tcW w:type="dxa" w:w="1440"/>
            <w:vAlign w:val="center"/>
            <w:shd w:fill="F2F6FA"/>
          </w:tcPr>
          <w:p>
            <w:pPr>
              <w:spacing w:after="0"/>
            </w:pPr>
            <w:r/>
            <w:r>
              <w:rPr>
                <w:rFonts w:ascii="Arial" w:hAnsi="Arial" w:eastAsia="Arial"/>
                <w:b w:val="0"/>
                <w:sz w:val="16"/>
              </w:rPr>
              <w:t>8.00x</w:t>
            </w:r>
          </w:p>
        </w:tc>
        <w:tc>
          <w:tcPr>
            <w:tcW w:type="dxa" w:w="1728"/>
            <w:vAlign w:val="center"/>
            <w:shd w:fill="F2F6FA"/>
          </w:tcPr>
          <w:p>
            <w:pPr>
              <w:spacing w:after="0"/>
            </w:pPr>
            <w:r/>
            <w:r>
              <w:rPr>
                <w:rFonts w:ascii="Arial" w:hAnsi="Arial" w:eastAsia="Arial"/>
                <w:b w:val="0"/>
                <w:sz w:val="16"/>
              </w:rPr>
              <w:t>52.0%</w:t>
            </w:r>
          </w:p>
        </w:tc>
      </w:tr>
      <w:tr>
        <w:tc>
          <w:tcPr>
            <w:tcW w:type="dxa" w:w="1296"/>
            <w:vAlign w:val="center"/>
          </w:tcPr>
          <w:p>
            <w:pPr>
              <w:spacing w:after="0"/>
            </w:pPr>
            <w:r/>
            <w:r>
              <w:rPr>
                <w:rFonts w:ascii="Arial" w:hAnsi="Arial" w:eastAsia="Arial"/>
                <w:b w:val="0"/>
                <w:sz w:val="16"/>
              </w:rPr>
              <w:t>12</w:t>
            </w:r>
          </w:p>
        </w:tc>
        <w:tc>
          <w:tcPr>
            <w:tcW w:type="dxa" w:w="2160"/>
            <w:vAlign w:val="center"/>
          </w:tcPr>
          <w:p>
            <w:pPr>
              <w:spacing w:after="0"/>
            </w:pPr>
            <w:r/>
            <w:r>
              <w:rPr>
                <w:rFonts w:ascii="Arial" w:hAnsi="Arial" w:eastAsia="Arial"/>
                <w:b w:val="0"/>
                <w:sz w:val="16"/>
              </w:rPr>
              <w:t>0.5554</w:t>
            </w:r>
          </w:p>
        </w:tc>
        <w:tc>
          <w:tcPr>
            <w:tcW w:type="dxa" w:w="1872"/>
            <w:vAlign w:val="center"/>
          </w:tcPr>
          <w:p>
            <w:pPr>
              <w:spacing w:after="0"/>
            </w:pPr>
            <w:r/>
            <w:r>
              <w:rPr>
                <w:rFonts w:ascii="Arial" w:hAnsi="Arial" w:eastAsia="Arial"/>
                <w:b w:val="0"/>
                <w:sz w:val="16"/>
              </w:rPr>
              <w:t>4.07x</w:t>
            </w:r>
          </w:p>
        </w:tc>
        <w:tc>
          <w:tcPr>
            <w:tcW w:type="dxa" w:w="1440"/>
            <w:vAlign w:val="center"/>
          </w:tcPr>
          <w:p>
            <w:pPr>
              <w:spacing w:after="0"/>
            </w:pPr>
            <w:r/>
            <w:r>
              <w:rPr>
                <w:rFonts w:ascii="Arial" w:hAnsi="Arial" w:eastAsia="Arial"/>
                <w:b w:val="0"/>
                <w:sz w:val="16"/>
              </w:rPr>
              <w:t>12.00x</w:t>
            </w:r>
          </w:p>
        </w:tc>
        <w:tc>
          <w:tcPr>
            <w:tcW w:type="dxa" w:w="1728"/>
            <w:vAlign w:val="center"/>
          </w:tcPr>
          <w:p>
            <w:pPr>
              <w:spacing w:after="0"/>
            </w:pPr>
            <w:r/>
            <w:r>
              <w:rPr>
                <w:rFonts w:ascii="Arial" w:hAnsi="Arial" w:eastAsia="Arial"/>
                <w:b w:val="0"/>
                <w:sz w:val="16"/>
              </w:rPr>
              <w:t>33.9%</w:t>
            </w:r>
          </w:p>
        </w:tc>
      </w:tr>
      <w:tr>
        <w:tc>
          <w:tcPr>
            <w:tcW w:type="dxa" w:w="1296"/>
            <w:vAlign w:val="center"/>
            <w:shd w:fill="F2F6FA"/>
          </w:tcPr>
          <w:p>
            <w:pPr>
              <w:spacing w:after="0"/>
            </w:pPr>
            <w:r/>
            <w:r>
              <w:rPr>
                <w:rFonts w:ascii="Arial" w:hAnsi="Arial" w:eastAsia="Arial"/>
                <w:b w:val="0"/>
                <w:sz w:val="16"/>
              </w:rPr>
              <w:t>16</w:t>
            </w:r>
          </w:p>
        </w:tc>
        <w:tc>
          <w:tcPr>
            <w:tcW w:type="dxa" w:w="2160"/>
            <w:vAlign w:val="center"/>
            <w:shd w:fill="F2F6FA"/>
          </w:tcPr>
          <w:p>
            <w:pPr>
              <w:spacing w:after="0"/>
            </w:pPr>
            <w:r/>
            <w:r>
              <w:rPr>
                <w:rFonts w:ascii="Arial" w:hAnsi="Arial" w:eastAsia="Arial"/>
                <w:b w:val="0"/>
                <w:sz w:val="16"/>
              </w:rPr>
              <w:t>0.5769</w:t>
            </w:r>
          </w:p>
        </w:tc>
        <w:tc>
          <w:tcPr>
            <w:tcW w:type="dxa" w:w="1872"/>
            <w:vAlign w:val="center"/>
            <w:shd w:fill="F2F6FA"/>
          </w:tcPr>
          <w:p>
            <w:pPr>
              <w:spacing w:after="0"/>
            </w:pPr>
            <w:r/>
            <w:r>
              <w:rPr>
                <w:rFonts w:ascii="Arial" w:hAnsi="Arial" w:eastAsia="Arial"/>
                <w:b w:val="0"/>
                <w:sz w:val="16"/>
              </w:rPr>
              <w:t>3.92x</w:t>
            </w:r>
          </w:p>
        </w:tc>
        <w:tc>
          <w:tcPr>
            <w:tcW w:type="dxa" w:w="1440"/>
            <w:vAlign w:val="center"/>
            <w:shd w:fill="F2F6FA"/>
          </w:tcPr>
          <w:p>
            <w:pPr>
              <w:spacing w:after="0"/>
            </w:pPr>
            <w:r/>
            <w:r>
              <w:rPr>
                <w:rFonts w:ascii="Arial" w:hAnsi="Arial" w:eastAsia="Arial"/>
                <w:b w:val="0"/>
                <w:sz w:val="16"/>
              </w:rPr>
              <w:t>16.00x</w:t>
            </w:r>
          </w:p>
        </w:tc>
        <w:tc>
          <w:tcPr>
            <w:tcW w:type="dxa" w:w="1728"/>
            <w:vAlign w:val="center"/>
            <w:shd w:fill="F2F6FA"/>
          </w:tcPr>
          <w:p>
            <w:pPr>
              <w:spacing w:after="0"/>
            </w:pPr>
            <w:r/>
            <w:r>
              <w:rPr>
                <w:rFonts w:ascii="Arial" w:hAnsi="Arial" w:eastAsia="Arial"/>
                <w:b w:val="0"/>
                <w:sz w:val="16"/>
              </w:rPr>
              <w:t>24.5%</w:t>
            </w:r>
          </w:p>
        </w:tc>
      </w:tr>
    </w:tbl>
    <w:p>
      <w:pPr>
        <w:spacing w:after="0"/>
      </w:pPr>
    </w:p>
    <w:p>
      <w:pPr>
        <w:spacing w:after="60"/>
      </w:pPr>
      <w:r>
        <w:rPr>
          <w:b/>
          <w:color w:val="1F4E79"/>
        </w:rPr>
        <w:t xml:space="preserve">[Q1.1] </w:t>
      </w:r>
      <w:r>
        <w:t>The measured minimum time occurs at p = 8 (0.5436 s). Performance then flattens/degrades: 12 workers take 0.5554 s and 16 workers take 0.5769 s. Therefore the empirical inflection point is p* ≈ 8. The i7-12700H is a hybrid CPU with 14 physical cores and 20 logical processors; its P-cores and E-cores do not have identical performance, and the extra logical threads come from SMT on the P-cores. The flattening before all 14 physical cores are used is consistent with heterogeneous-core scheduling, process/pool overhead, context switching, and shared-resource contention. Increasing workers beyond the fastest point adds overhead faster than useful parallel work.</w:t>
      </w:r>
    </w:p>
    <w:p>
      <w:pPr>
        <w:spacing w:after="60"/>
      </w:pPr>
      <w:r>
        <w:rPr>
          <w:b/>
          <w:color w:val="1F4E79"/>
        </w:rPr>
        <w:t xml:space="preserve">[Q1.2] </w:t>
      </w:r>
      <w:r>
        <w:t>Using the same-sweep values T(1) = 2.2604 s and T(4) = 0.7168 s: S(4) = T(1)/T(4) = 2.2604/0.7168 = 3.1535. From S(4) = 1 / [(1 − P) + P/4], we get 1/S(4) = 1 − 3P/4, so P = (4/3)[1 − 1/S(4)] = 0.9105. Thus the empirically estimated parallel fraction is about 91.1%.</w:t>
      </w:r>
    </w:p>
    <w:p>
      <w:pPr>
        <w:spacing w:after="60"/>
      </w:pPr>
      <w:r>
        <w:rPr>
          <w:b/>
          <w:color w:val="1F4E79"/>
        </w:rPr>
        <w:t xml:space="preserve">[Q1.3] </w:t>
      </w:r>
      <w:r>
        <w:t>S_max = 1/(1 − P) = 1/(1 − 0.9105) = 11.18x. This means that, under the Amdahl model fitted to this run, a 128-core server would not provide anything close to 128x speedup for this fixed workload. The serial/overhead fraction imposes an asymptotic ceiling of roughly 11.2x, and real hardware overhead would reduce practical speedup further.</w:t>
      </w:r>
    </w:p>
    <w:p>
      <w:pPr>
        <w:pStyle w:val="Heading1"/>
      </w:pPr>
      <w:r>
        <w:t>TASK 2 — Cache Coherence &amp; the False Sharing Trap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52"/>
            <w:vAlign w:val="center"/>
            <w:shd w:fill="1F4E79"/>
          </w:tcPr>
          <w:p>
            <w:pPr>
              <w:spacing w:after="0"/>
            </w:pPr>
            <w:r/>
            <w:r>
              <w:rPr>
                <w:rFonts w:ascii="Arial" w:hAnsi="Arial" w:eastAsia="Arial"/>
                <w:b/>
                <w:color w:val="FFFFFF"/>
                <w:sz w:val="16"/>
              </w:rPr>
              <w:t>Trial</w:t>
            </w:r>
          </w:p>
        </w:tc>
        <w:tc>
          <w:tcPr>
            <w:tcW w:type="dxa" w:w="2016"/>
            <w:vAlign w:val="center"/>
            <w:shd w:fill="1F4E79"/>
          </w:tcPr>
          <w:p>
            <w:pPr>
              <w:spacing w:after="0"/>
            </w:pPr>
            <w:r/>
            <w:r>
              <w:rPr>
                <w:rFonts w:ascii="Arial" w:hAnsi="Arial" w:eastAsia="Arial"/>
                <w:b/>
                <w:color w:val="FFFFFF"/>
                <w:sz w:val="16"/>
              </w:rPr>
              <w:t>Adjacent, s</w:t>
            </w:r>
          </w:p>
        </w:tc>
        <w:tc>
          <w:tcPr>
            <w:tcW w:type="dxa" w:w="2016"/>
            <w:vAlign w:val="center"/>
            <w:shd w:fill="1F4E79"/>
          </w:tcPr>
          <w:p>
            <w:pPr>
              <w:spacing w:after="0"/>
            </w:pPr>
            <w:r/>
            <w:r>
              <w:rPr>
                <w:rFonts w:ascii="Arial" w:hAnsi="Arial" w:eastAsia="Arial"/>
                <w:b/>
                <w:color w:val="FFFFFF"/>
                <w:sz w:val="16"/>
              </w:rPr>
              <w:t>Padded, s</w:t>
            </w:r>
          </w:p>
        </w:tc>
        <w:tc>
          <w:tcPr>
            <w:tcW w:type="dxa" w:w="2160"/>
            <w:vAlign w:val="center"/>
            <w:shd w:fill="1F4E79"/>
          </w:tcPr>
          <w:p>
            <w:pPr>
              <w:spacing w:after="0"/>
            </w:pPr>
            <w:r/>
            <w:r>
              <w:rPr>
                <w:rFonts w:ascii="Arial" w:hAnsi="Arial" w:eastAsia="Arial"/>
                <w:b/>
                <w:color w:val="FFFFFF"/>
                <w:sz w:val="16"/>
              </w:rPr>
              <w:t>Adjacent/Padded</w:t>
            </w:r>
          </w:p>
        </w:tc>
      </w:tr>
      <w:tr>
        <w:tc>
          <w:tcPr>
            <w:tcW w:type="dxa" w:w="1152"/>
            <w:vAlign w:val="center"/>
          </w:tcPr>
          <w:p>
            <w:pPr>
              <w:spacing w:after="0"/>
            </w:pPr>
            <w:r/>
            <w:r>
              <w:rPr>
                <w:rFonts w:ascii="Arial" w:hAnsi="Arial" w:eastAsia="Arial"/>
                <w:b w:val="0"/>
                <w:sz w:val="16"/>
              </w:rPr>
              <w:t>1</w:t>
            </w:r>
          </w:p>
        </w:tc>
        <w:tc>
          <w:tcPr>
            <w:tcW w:type="dxa" w:w="2016"/>
            <w:vAlign w:val="center"/>
          </w:tcPr>
          <w:p>
            <w:pPr>
              <w:spacing w:after="0"/>
            </w:pPr>
            <w:r/>
            <w:r>
              <w:rPr>
                <w:rFonts w:ascii="Arial" w:hAnsi="Arial" w:eastAsia="Arial"/>
                <w:b w:val="0"/>
                <w:sz w:val="16"/>
              </w:rPr>
              <w:t>0.7323</w:t>
            </w:r>
          </w:p>
        </w:tc>
        <w:tc>
          <w:tcPr>
            <w:tcW w:type="dxa" w:w="2016"/>
            <w:vAlign w:val="center"/>
          </w:tcPr>
          <w:p>
            <w:pPr>
              <w:spacing w:after="0"/>
            </w:pPr>
            <w:r/>
            <w:r>
              <w:rPr>
                <w:rFonts w:ascii="Arial" w:hAnsi="Arial" w:eastAsia="Arial"/>
                <w:b w:val="0"/>
                <w:sz w:val="16"/>
              </w:rPr>
              <w:t>0.7472</w:t>
            </w:r>
          </w:p>
        </w:tc>
        <w:tc>
          <w:tcPr>
            <w:tcW w:type="dxa" w:w="2160"/>
            <w:vAlign w:val="center"/>
          </w:tcPr>
          <w:p>
            <w:pPr>
              <w:spacing w:after="0"/>
            </w:pPr>
            <w:r/>
            <w:r>
              <w:rPr>
                <w:rFonts w:ascii="Arial" w:hAnsi="Arial" w:eastAsia="Arial"/>
                <w:b w:val="0"/>
                <w:sz w:val="16"/>
              </w:rPr>
              <w:t>0.98x</w:t>
            </w:r>
          </w:p>
        </w:tc>
      </w:tr>
      <w:tr>
        <w:tc>
          <w:tcPr>
            <w:tcW w:type="dxa" w:w="1152"/>
            <w:vAlign w:val="center"/>
            <w:shd w:fill="F2F6FA"/>
          </w:tcPr>
          <w:p>
            <w:pPr>
              <w:spacing w:after="0"/>
            </w:pPr>
            <w:r/>
            <w:r>
              <w:rPr>
                <w:rFonts w:ascii="Arial" w:hAnsi="Arial" w:eastAsia="Arial"/>
                <w:b w:val="0"/>
                <w:sz w:val="16"/>
              </w:rPr>
              <w:t>2</w:t>
            </w:r>
          </w:p>
        </w:tc>
        <w:tc>
          <w:tcPr>
            <w:tcW w:type="dxa" w:w="2016"/>
            <w:vAlign w:val="center"/>
            <w:shd w:fill="F2F6FA"/>
          </w:tcPr>
          <w:p>
            <w:pPr>
              <w:spacing w:after="0"/>
            </w:pPr>
            <w:r/>
            <w:r>
              <w:rPr>
                <w:rFonts w:ascii="Arial" w:hAnsi="Arial" w:eastAsia="Arial"/>
                <w:b w:val="0"/>
                <w:sz w:val="16"/>
              </w:rPr>
              <w:t>0.7328</w:t>
            </w:r>
          </w:p>
        </w:tc>
        <w:tc>
          <w:tcPr>
            <w:tcW w:type="dxa" w:w="2016"/>
            <w:vAlign w:val="center"/>
            <w:shd w:fill="F2F6FA"/>
          </w:tcPr>
          <w:p>
            <w:pPr>
              <w:spacing w:after="0"/>
            </w:pPr>
            <w:r/>
            <w:r>
              <w:rPr>
                <w:rFonts w:ascii="Arial" w:hAnsi="Arial" w:eastAsia="Arial"/>
                <w:b w:val="0"/>
                <w:sz w:val="16"/>
              </w:rPr>
              <w:t>0.7356</w:t>
            </w:r>
          </w:p>
        </w:tc>
        <w:tc>
          <w:tcPr>
            <w:tcW w:type="dxa" w:w="2160"/>
            <w:vAlign w:val="center"/>
            <w:shd w:fill="F2F6FA"/>
          </w:tcPr>
          <w:p>
            <w:pPr>
              <w:spacing w:after="0"/>
            </w:pPr>
            <w:r/>
            <w:r>
              <w:rPr>
                <w:rFonts w:ascii="Arial" w:hAnsi="Arial" w:eastAsia="Arial"/>
                <w:b w:val="0"/>
                <w:sz w:val="16"/>
              </w:rPr>
              <w:t>1.00x</w:t>
            </w:r>
          </w:p>
        </w:tc>
      </w:tr>
      <w:tr>
        <w:tc>
          <w:tcPr>
            <w:tcW w:type="dxa" w:w="1152"/>
            <w:vAlign w:val="center"/>
          </w:tcPr>
          <w:p>
            <w:pPr>
              <w:spacing w:after="0"/>
            </w:pPr>
            <w:r/>
            <w:r>
              <w:rPr>
                <w:rFonts w:ascii="Arial" w:hAnsi="Arial" w:eastAsia="Arial"/>
                <w:b w:val="0"/>
                <w:sz w:val="16"/>
              </w:rPr>
              <w:t>3</w:t>
            </w:r>
          </w:p>
        </w:tc>
        <w:tc>
          <w:tcPr>
            <w:tcW w:type="dxa" w:w="2016"/>
            <w:vAlign w:val="center"/>
          </w:tcPr>
          <w:p>
            <w:pPr>
              <w:spacing w:after="0"/>
            </w:pPr>
            <w:r/>
            <w:r>
              <w:rPr>
                <w:rFonts w:ascii="Arial" w:hAnsi="Arial" w:eastAsia="Arial"/>
                <w:b w:val="0"/>
                <w:sz w:val="16"/>
              </w:rPr>
              <w:t>0.7376</w:t>
            </w:r>
          </w:p>
        </w:tc>
        <w:tc>
          <w:tcPr>
            <w:tcW w:type="dxa" w:w="2016"/>
            <w:vAlign w:val="center"/>
          </w:tcPr>
          <w:p>
            <w:pPr>
              <w:spacing w:after="0"/>
            </w:pPr>
            <w:r/>
            <w:r>
              <w:rPr>
                <w:rFonts w:ascii="Arial" w:hAnsi="Arial" w:eastAsia="Arial"/>
                <w:b w:val="0"/>
                <w:sz w:val="16"/>
              </w:rPr>
              <w:t>0.7509</w:t>
            </w:r>
          </w:p>
        </w:tc>
        <w:tc>
          <w:tcPr>
            <w:tcW w:type="dxa" w:w="2160"/>
            <w:vAlign w:val="center"/>
          </w:tcPr>
          <w:p>
            <w:pPr>
              <w:spacing w:after="0"/>
            </w:pPr>
            <w:r/>
            <w:r>
              <w:rPr>
                <w:rFonts w:ascii="Arial" w:hAnsi="Arial" w:eastAsia="Arial"/>
                <w:b w:val="0"/>
                <w:sz w:val="16"/>
              </w:rPr>
              <w:t>0.98x</w:t>
            </w:r>
          </w:p>
        </w:tc>
      </w:tr>
      <w:tr>
        <w:tc>
          <w:tcPr>
            <w:tcW w:type="dxa" w:w="1152"/>
            <w:vAlign w:val="center"/>
            <w:shd w:fill="F2F6FA"/>
          </w:tcPr>
          <w:p>
            <w:pPr>
              <w:spacing w:after="0"/>
            </w:pPr>
            <w:r/>
            <w:r>
              <w:rPr>
                <w:rFonts w:ascii="Arial" w:hAnsi="Arial" w:eastAsia="Arial"/>
                <w:b w:val="0"/>
                <w:sz w:val="16"/>
              </w:rPr>
              <w:t>Median</w:t>
            </w:r>
          </w:p>
        </w:tc>
        <w:tc>
          <w:tcPr>
            <w:tcW w:type="dxa" w:w="2016"/>
            <w:vAlign w:val="center"/>
            <w:shd w:fill="F2F6FA"/>
          </w:tcPr>
          <w:p>
            <w:pPr>
              <w:spacing w:after="0"/>
            </w:pPr>
            <w:r/>
            <w:r>
              <w:rPr>
                <w:rFonts w:ascii="Arial" w:hAnsi="Arial" w:eastAsia="Arial"/>
                <w:b w:val="0"/>
                <w:sz w:val="16"/>
              </w:rPr>
              <w:t>0.7328</w:t>
            </w:r>
          </w:p>
        </w:tc>
        <w:tc>
          <w:tcPr>
            <w:tcW w:type="dxa" w:w="2016"/>
            <w:vAlign w:val="center"/>
            <w:shd w:fill="F2F6FA"/>
          </w:tcPr>
          <w:p>
            <w:pPr>
              <w:spacing w:after="0"/>
            </w:pPr>
            <w:r/>
            <w:r>
              <w:rPr>
                <w:rFonts w:ascii="Arial" w:hAnsi="Arial" w:eastAsia="Arial"/>
                <w:b w:val="0"/>
                <w:sz w:val="16"/>
              </w:rPr>
              <w:t>0.7472</w:t>
            </w:r>
          </w:p>
        </w:tc>
        <w:tc>
          <w:tcPr>
            <w:tcW w:type="dxa" w:w="2160"/>
            <w:vAlign w:val="center"/>
            <w:shd w:fill="F2F6FA"/>
          </w:tcPr>
          <w:p>
            <w:pPr>
              <w:spacing w:after="0"/>
            </w:pPr>
            <w:r/>
            <w:r>
              <w:rPr>
                <w:rFonts w:ascii="Arial" w:hAnsi="Arial" w:eastAsia="Arial"/>
                <w:b w:val="0"/>
                <w:sz w:val="16"/>
              </w:rPr>
              <w:t>0.98x</w:t>
            </w:r>
          </w:p>
        </w:tc>
      </w:tr>
    </w:tbl>
    <w:p>
      <w:pPr>
        <w:spacing w:after="0"/>
      </w:pPr>
    </w:p>
    <w:p>
      <w:pPr>
        <w:spacing w:after="60"/>
      </w:pPr>
      <w:r>
        <w:rPr>
          <w:b/>
          <w:color w:val="1F4E79"/>
        </w:rPr>
        <w:t xml:space="preserve">[Q2.1] </w:t>
      </w:r>
      <w:r>
        <w:t>On a 64-bit CPython build, a list slot stores an 8-byte pointer/reference. A stride of 16 list slots therefore gives 16 × 8 = 128 bytes of separation between the referenced slots. Because 128 bytes is greater than a 64-byte cache line, the list reference slots cannot occupy the same 64-byte line. Important CPython caveat: the list contains references to Python integer objects rather than packed 64-bit integers, and integers are immutable heap objects, so this benchmark is not equivalent to a packed native C array.</w:t>
      </w:r>
    </w:p>
    <w:p>
      <w:pPr>
        <w:spacing w:after="60"/>
      </w:pPr>
      <w:r>
        <w:rPr>
          <w:b/>
          <w:color w:val="1F4E79"/>
        </w:rPr>
        <w:t xml:space="preserve">[Q2.2] </w:t>
      </w:r>
      <w:r>
        <w:t>Conceptually, if two cores repeatedly write distinct words in one coherent cache line, a write by Core 0 must obtain exclusive ownership of the line (ending in Modified state) and invalidate other cached copies. When Core 1 later writes its word, it must acquire ownership in turn, invalidating Core 0’s copy. This ping-pong of ownership and repeated invalidations is the mechanism behind false sharing even though the threads are logically updating different variables.</w:t>
      </w:r>
    </w:p>
    <w:p>
      <w:pPr>
        <w:spacing w:after="60"/>
      </w:pPr>
      <w:r>
        <w:rPr>
          <w:b/>
          <w:color w:val="1F4E79"/>
        </w:rPr>
        <w:t xml:space="preserve">[Q2.3] </w:t>
      </w:r>
      <w:r>
        <w:t>Two standard mechanisms are: (1) C/C++ cache-line alignment/padding, e.g. alignas(64), so frequently written per-thread fields occupy distinct lines; and (2) VM/runtime padding mechanisms such as Java @Contended, which inserts spacing around hot fields. A Go equivalent is explicit struct padding to separate independently written fields.</w:t>
      </w:r>
    </w:p>
    <w:p>
      <w:r>
        <w:rPr>
          <w:b/>
        </w:rPr>
        <w:t xml:space="preserve">Empirical interpretation: </w:t>
      </w:r>
      <w:r>
        <w:t>the median adjacent time was 0.7328 s and padded time was 0.7472 s, so the measured factor was 0.98x — essentially no penalty. That is a valid observed result on this CPython 3.11.7 run and is consistent with the benchmark being dominated by Python object semantics and the GIL rather than true simultaneous native writes to packed data.</w:t>
      </w:r>
    </w:p>
    <w:p>
      <w:pPr>
        <w:pStyle w:val="Heading1"/>
      </w:pPr>
      <w:r>
        <w:t>TASK 3 — Synchronization Tax &amp; Lockless Redesign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448"/>
            <w:vAlign w:val="center"/>
            <w:shd w:fill="1F4E79"/>
          </w:tcPr>
          <w:p>
            <w:pPr>
              <w:spacing w:after="0"/>
            </w:pPr>
            <w:r/>
            <w:r>
              <w:rPr>
                <w:rFonts w:ascii="Arial" w:hAnsi="Arial" w:eastAsia="Arial"/>
                <w:b/>
                <w:color w:val="FFFFFF"/>
                <w:sz w:val="16"/>
              </w:rPr>
              <w:t>Architecture</w:t>
            </w:r>
          </w:p>
        </w:tc>
        <w:tc>
          <w:tcPr>
            <w:tcW w:type="dxa" w:w="1872"/>
            <w:vAlign w:val="center"/>
            <w:shd w:fill="1F4E79"/>
          </w:tcPr>
          <w:p>
            <w:pPr>
              <w:spacing w:after="0"/>
            </w:pPr>
            <w:r/>
            <w:r>
              <w:rPr>
                <w:rFonts w:ascii="Arial" w:hAnsi="Arial" w:eastAsia="Arial"/>
                <w:b/>
                <w:color w:val="FFFFFF"/>
                <w:sz w:val="16"/>
              </w:rPr>
              <w:t>Final value</w:t>
            </w:r>
          </w:p>
        </w:tc>
        <w:tc>
          <w:tcPr>
            <w:tcW w:type="dxa" w:w="1152"/>
            <w:vAlign w:val="center"/>
            <w:shd w:fill="1F4E79"/>
          </w:tcPr>
          <w:p>
            <w:pPr>
              <w:spacing w:after="0"/>
            </w:pPr>
            <w:r/>
            <w:r>
              <w:rPr>
                <w:rFonts w:ascii="Arial" w:hAnsi="Arial" w:eastAsia="Arial"/>
                <w:b/>
                <w:color w:val="FFFFFF"/>
                <w:sz w:val="16"/>
              </w:rPr>
              <w:t>Defects</w:t>
            </w:r>
          </w:p>
        </w:tc>
        <w:tc>
          <w:tcPr>
            <w:tcW w:type="dxa" w:w="1440"/>
            <w:vAlign w:val="center"/>
            <w:shd w:fill="1F4E79"/>
          </w:tcPr>
          <w:p>
            <w:pPr>
              <w:spacing w:after="0"/>
            </w:pPr>
            <w:r/>
            <w:r>
              <w:rPr>
                <w:rFonts w:ascii="Arial" w:hAnsi="Arial" w:eastAsia="Arial"/>
                <w:b/>
                <w:color w:val="FFFFFF"/>
                <w:sz w:val="16"/>
              </w:rPr>
              <w:t>Time, s</w:t>
            </w:r>
          </w:p>
        </w:tc>
        <w:tc>
          <w:tcPr>
            <w:tcW w:type="dxa" w:w="3024"/>
            <w:vAlign w:val="center"/>
            <w:shd w:fill="1F4E79"/>
          </w:tcPr>
          <w:p>
            <w:pPr>
              <w:spacing w:after="0"/>
            </w:pPr>
            <w:r/>
            <w:r>
              <w:rPr>
                <w:rFonts w:ascii="Arial" w:hAnsi="Arial" w:eastAsia="Arial"/>
                <w:b/>
                <w:color w:val="FFFFFF"/>
                <w:sz w:val="16"/>
              </w:rPr>
              <w:t>Relative note</w:t>
            </w:r>
          </w:p>
        </w:tc>
      </w:tr>
      <w:tr>
        <w:tc>
          <w:tcPr>
            <w:tcW w:type="dxa" w:w="2448"/>
            <w:vAlign w:val="center"/>
          </w:tcPr>
          <w:p>
            <w:pPr>
              <w:spacing w:after="0"/>
            </w:pPr>
            <w:r/>
            <w:r>
              <w:rPr>
                <w:rFonts w:ascii="Arial" w:hAnsi="Arial" w:eastAsia="Arial"/>
                <w:b w:val="0"/>
                <w:sz w:val="16"/>
              </w:rPr>
              <w:t>UnsafeCounter</w:t>
            </w:r>
          </w:p>
        </w:tc>
        <w:tc>
          <w:tcPr>
            <w:tcW w:type="dxa" w:w="1872"/>
            <w:vAlign w:val="center"/>
          </w:tcPr>
          <w:p>
            <w:pPr>
              <w:spacing w:after="0"/>
            </w:pPr>
            <w:r/>
            <w:r>
              <w:rPr>
                <w:rFonts w:ascii="Arial" w:hAnsi="Arial" w:eastAsia="Arial"/>
                <w:b w:val="0"/>
                <w:sz w:val="16"/>
              </w:rPr>
              <w:t>2,000,000</w:t>
            </w:r>
          </w:p>
        </w:tc>
        <w:tc>
          <w:tcPr>
            <w:tcW w:type="dxa" w:w="1152"/>
            <w:vAlign w:val="center"/>
          </w:tcPr>
          <w:p>
            <w:pPr>
              <w:spacing w:after="0"/>
            </w:pPr>
            <w:r/>
            <w:r>
              <w:rPr>
                <w:rFonts w:ascii="Arial" w:hAnsi="Arial" w:eastAsia="Arial"/>
                <w:b w:val="0"/>
                <w:sz w:val="16"/>
              </w:rPr>
              <w:t>0</w:t>
            </w:r>
          </w:p>
        </w:tc>
        <w:tc>
          <w:tcPr>
            <w:tcW w:type="dxa" w:w="1440"/>
            <w:vAlign w:val="center"/>
          </w:tcPr>
          <w:p>
            <w:pPr>
              <w:spacing w:after="0"/>
            </w:pPr>
            <w:r/>
            <w:r>
              <w:rPr>
                <w:rFonts w:ascii="Arial" w:hAnsi="Arial" w:eastAsia="Arial"/>
                <w:b w:val="0"/>
                <w:sz w:val="16"/>
              </w:rPr>
              <w:t>0.1255</w:t>
            </w:r>
          </w:p>
        </w:tc>
        <w:tc>
          <w:tcPr>
            <w:tcW w:type="dxa" w:w="3024"/>
            <w:vAlign w:val="center"/>
          </w:tcPr>
          <w:p>
            <w:pPr>
              <w:spacing w:after="0"/>
            </w:pPr>
            <w:r/>
            <w:r>
              <w:rPr>
                <w:rFonts w:ascii="Arial" w:hAnsi="Arial" w:eastAsia="Arial"/>
                <w:b w:val="0"/>
                <w:sz w:val="16"/>
              </w:rPr>
              <w:t>Empirical run: no lost updates</w:t>
            </w:r>
          </w:p>
        </w:tc>
      </w:tr>
      <w:tr>
        <w:tc>
          <w:tcPr>
            <w:tcW w:type="dxa" w:w="2448"/>
            <w:vAlign w:val="center"/>
            <w:shd w:fill="F2F6FA"/>
          </w:tcPr>
          <w:p>
            <w:pPr>
              <w:spacing w:after="0"/>
            </w:pPr>
            <w:r/>
            <w:r>
              <w:rPr>
                <w:rFonts w:ascii="Arial" w:hAnsi="Arial" w:eastAsia="Arial"/>
                <w:b w:val="0"/>
                <w:sz w:val="16"/>
              </w:rPr>
              <w:t>LockedCounter</w:t>
            </w:r>
          </w:p>
        </w:tc>
        <w:tc>
          <w:tcPr>
            <w:tcW w:type="dxa" w:w="1872"/>
            <w:vAlign w:val="center"/>
            <w:shd w:fill="F2F6FA"/>
          </w:tcPr>
          <w:p>
            <w:pPr>
              <w:spacing w:after="0"/>
            </w:pPr>
            <w:r/>
            <w:r>
              <w:rPr>
                <w:rFonts w:ascii="Arial" w:hAnsi="Arial" w:eastAsia="Arial"/>
                <w:b w:val="0"/>
                <w:sz w:val="16"/>
              </w:rPr>
              <w:t>2,000,000</w:t>
            </w:r>
          </w:p>
        </w:tc>
        <w:tc>
          <w:tcPr>
            <w:tcW w:type="dxa" w:w="1152"/>
            <w:vAlign w:val="center"/>
            <w:shd w:fill="F2F6FA"/>
          </w:tcPr>
          <w:p>
            <w:pPr>
              <w:spacing w:after="0"/>
            </w:pPr>
            <w:r/>
            <w:r>
              <w:rPr>
                <w:rFonts w:ascii="Arial" w:hAnsi="Arial" w:eastAsia="Arial"/>
                <w:b w:val="0"/>
                <w:sz w:val="16"/>
              </w:rPr>
              <w:t>0</w:t>
            </w:r>
          </w:p>
        </w:tc>
        <w:tc>
          <w:tcPr>
            <w:tcW w:type="dxa" w:w="1440"/>
            <w:vAlign w:val="center"/>
            <w:shd w:fill="F2F6FA"/>
          </w:tcPr>
          <w:p>
            <w:pPr>
              <w:spacing w:after="0"/>
            </w:pPr>
            <w:r/>
            <w:r>
              <w:rPr>
                <w:rFonts w:ascii="Arial" w:hAnsi="Arial" w:eastAsia="Arial"/>
                <w:b w:val="0"/>
                <w:sz w:val="16"/>
              </w:rPr>
              <w:t>0.4614</w:t>
            </w:r>
          </w:p>
        </w:tc>
        <w:tc>
          <w:tcPr>
            <w:tcW w:type="dxa" w:w="3024"/>
            <w:vAlign w:val="center"/>
            <w:shd w:fill="F2F6FA"/>
          </w:tcPr>
          <w:p>
            <w:pPr>
              <w:spacing w:after="0"/>
            </w:pPr>
            <w:r/>
            <w:r>
              <w:rPr>
                <w:rFonts w:ascii="Arial" w:hAnsi="Arial" w:eastAsia="Arial"/>
                <w:b w:val="0"/>
                <w:sz w:val="16"/>
              </w:rPr>
              <w:t>3.68x slower than unsafe</w:t>
            </w:r>
          </w:p>
        </w:tc>
      </w:tr>
      <w:tr>
        <w:tc>
          <w:tcPr>
            <w:tcW w:type="dxa" w:w="2448"/>
            <w:vAlign w:val="center"/>
          </w:tcPr>
          <w:p>
            <w:pPr>
              <w:spacing w:after="0"/>
            </w:pPr>
            <w:r/>
            <w:r>
              <w:rPr>
                <w:rFonts w:ascii="Arial" w:hAnsi="Arial" w:eastAsia="Arial"/>
                <w:b w:val="0"/>
                <w:sz w:val="16"/>
              </w:rPr>
              <w:t>Thread-local lockless</w:t>
            </w:r>
          </w:p>
        </w:tc>
        <w:tc>
          <w:tcPr>
            <w:tcW w:type="dxa" w:w="1872"/>
            <w:vAlign w:val="center"/>
          </w:tcPr>
          <w:p>
            <w:pPr>
              <w:spacing w:after="0"/>
            </w:pPr>
            <w:r/>
            <w:r>
              <w:rPr>
                <w:rFonts w:ascii="Arial" w:hAnsi="Arial" w:eastAsia="Arial"/>
                <w:b w:val="0"/>
                <w:sz w:val="16"/>
              </w:rPr>
              <w:t>2,000,000</w:t>
            </w:r>
          </w:p>
        </w:tc>
        <w:tc>
          <w:tcPr>
            <w:tcW w:type="dxa" w:w="1152"/>
            <w:vAlign w:val="center"/>
          </w:tcPr>
          <w:p>
            <w:pPr>
              <w:spacing w:after="0"/>
            </w:pPr>
            <w:r/>
            <w:r>
              <w:rPr>
                <w:rFonts w:ascii="Arial" w:hAnsi="Arial" w:eastAsia="Arial"/>
                <w:b w:val="0"/>
                <w:sz w:val="16"/>
              </w:rPr>
              <w:t>0</w:t>
            </w:r>
          </w:p>
        </w:tc>
        <w:tc>
          <w:tcPr>
            <w:tcW w:type="dxa" w:w="1440"/>
            <w:vAlign w:val="center"/>
          </w:tcPr>
          <w:p>
            <w:pPr>
              <w:spacing w:after="0"/>
            </w:pPr>
            <w:r/>
            <w:r>
              <w:rPr>
                <w:rFonts w:ascii="Arial" w:hAnsi="Arial" w:eastAsia="Arial"/>
                <w:b w:val="0"/>
                <w:sz w:val="16"/>
              </w:rPr>
              <w:t>0.0545</w:t>
            </w:r>
          </w:p>
        </w:tc>
        <w:tc>
          <w:tcPr>
            <w:tcW w:type="dxa" w:w="3024"/>
            <w:vAlign w:val="center"/>
          </w:tcPr>
          <w:p>
            <w:pPr>
              <w:spacing w:after="0"/>
            </w:pPr>
            <w:r/>
            <w:r>
              <w:rPr>
                <w:rFonts w:ascii="Arial" w:hAnsi="Arial" w:eastAsia="Arial"/>
                <w:b w:val="0"/>
                <w:sz w:val="16"/>
              </w:rPr>
              <w:t>8.47x faster than locked</w:t>
            </w:r>
          </w:p>
        </w:tc>
      </w:tr>
    </w:tbl>
    <w:p>
      <w:pPr>
        <w:spacing w:after="0"/>
      </w:pPr>
    </w:p>
    <w:p>
      <w:pPr>
        <w:spacing w:after="60"/>
      </w:pPr>
      <w:r>
        <w:rPr>
          <w:b/>
          <w:color w:val="1F4E79"/>
        </w:rPr>
        <w:t xml:space="preserve">[Q3.1] </w:t>
      </w:r>
      <w:r>
        <w:t>The exact observed corrupted count was 0: UnsafeCounter finished at 2,000,000/2,000,000. In a genuine concurrent read-modify-write race, two workers can both LOAD the same old value, independently ADD 1, and both STORE the same result, losing one increment. In this particular CPython 3.11.7 execution, however, the GIL serialized Python bytecode sufficiently that the provided increment loop did not expose lost updates. The report therefore records the actual empirical outcome instead of inventing corruption.</w:t>
      </w:r>
    </w:p>
    <w:p>
      <w:pPr>
        <w:spacing w:after="60"/>
      </w:pPr>
      <w:r>
        <w:rPr>
          <w:b/>
          <w:color w:val="1F4E79"/>
        </w:rPr>
        <w:t xml:space="preserve">[Q3.2] </w:t>
      </w:r>
      <w:r>
        <w:t>The lockless redesign uses one private accumulation slot per thread. Each thread increments only a local variable, writes its final partial count to its own index once, then the main thread performs a single reduction after join(). The measured result was exactly 2,000,000 in 0.0545 s. Speedup over LockedCounter = 0.4614/0.0545 = 8.47x, which exceeds the required 2.0x target.</w:t>
      </w:r>
    </w:p>
    <w:tbl>
      <w:tblPr>
        <w:tblStyle w:val="TableGrid"/>
        <w:tblW w:type="auto" w:w="0"/>
        <w:tblLook w:firstColumn="1" w:firstRow="1" w:lastColumn="0" w:lastRow="0" w:noHBand="0" w:noVBand="1" w:val="04A0"/>
      </w:tblPr>
      <w:tblGrid>
        <w:gridCol w:w="10368"/>
      </w:tblGrid>
      <w:tr>
        <w:tc>
          <w:tcPr>
            <w:tcW w:type="dxa" w:w="10368"/>
            <w:shd w:fill="F3F3F3"/>
          </w:tcPr>
          <w:p>
            <w:r/>
            <w:r>
              <w:rPr>
                <w:rFonts w:ascii="Consolas" w:hAnsi="Consolas" w:eastAsia="Consolas"/>
                <w:sz w:val="15"/>
              </w:rPr>
              <w:t>def lockless_thread_local():</w:t>
              <w:br/>
              <w:t xml:space="preserve">    ops_per_thread = TOTAL_OPS // NUM_THREADS</w:t>
              <w:br/>
              <w:t xml:space="preserve">    partial = [0] * NUM_THREADS</w:t>
              <w:br/>
              <w:br/>
              <w:t xml:space="preserve">    def work(thread_id):</w:t>
              <w:br/>
              <w:t xml:space="preserve">        local = 0</w:t>
              <w:br/>
              <w:t xml:space="preserve">        for _ in range(ops_per_thread):</w:t>
              <w:br/>
              <w:t xml:space="preserve">            local += 1</w:t>
              <w:br/>
              <w:t xml:space="preserve">        partial[thread_id] = local</w:t>
              <w:br/>
              <w:br/>
              <w:t xml:space="preserve">    threads = [threading.Thread(target=work, args=(i,))</w:t>
              <w:br/>
              <w:t xml:space="preserve">               for i in range(NUM_THREADS)]</w:t>
              <w:br/>
              <w:t xml:space="preserve">    for t in threads: t.start()</w:t>
              <w:br/>
              <w:t xml:space="preserve">    for t in threads: t.join()</w:t>
              <w:br/>
              <w:t xml:space="preserve">    return sum(partial)</w:t>
            </w:r>
          </w:p>
        </w:tc>
      </w:tr>
    </w:tbl>
    <w:p/>
    <w:p>
      <w:pPr>
        <w:spacing w:after="60"/>
      </w:pPr>
      <w:r>
        <w:rPr>
          <w:b/>
          <w:color w:val="1F4E79"/>
        </w:rPr>
        <w:t xml:space="preserve">[Q3.3] </w:t>
      </w:r>
      <w:r>
        <w:t>Eliminating shared mutable state removes the serialization point itself. Threads perform most work on private data, so they avoid lock acquisition, kernel blocking/wakeup paths, cache-line bouncing on the lock variable, and contention that grows with thread count. A final reduction is short and deterministic. Optimizing a lock can reduce its cost, but every contending worker still depends on the same shared synchronization point.</w:t>
      </w:r>
    </w:p>
    <w:p>
      <w:pPr>
        <w:pStyle w:val="Heading1"/>
      </w:pPr>
      <w:r>
        <w:t>TASK 4 — The Memory Wall vs. Compute Saturation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152"/>
            <w:vAlign w:val="center"/>
            <w:shd w:fill="1F4E79"/>
          </w:tcPr>
          <w:p>
            <w:pPr>
              <w:spacing w:after="0"/>
            </w:pPr>
            <w:r/>
            <w:r>
              <w:rPr>
                <w:rFonts w:ascii="Arial" w:hAnsi="Arial" w:eastAsia="Arial"/>
                <w:b/>
                <w:color w:val="FFFFFF"/>
                <w:sz w:val="16"/>
              </w:rPr>
              <w:t>Workers</w:t>
            </w:r>
          </w:p>
        </w:tc>
        <w:tc>
          <w:tcPr>
            <w:tcW w:type="dxa" w:w="2016"/>
            <w:vAlign w:val="center"/>
            <w:shd w:fill="1F4E79"/>
          </w:tcPr>
          <w:p>
            <w:pPr>
              <w:spacing w:after="0"/>
            </w:pPr>
            <w:r/>
            <w:r>
              <w:rPr>
                <w:rFonts w:ascii="Arial" w:hAnsi="Arial" w:eastAsia="Arial"/>
                <w:b/>
                <w:color w:val="FFFFFF"/>
                <w:sz w:val="16"/>
              </w:rPr>
              <w:t>Compute time, s</w:t>
            </w:r>
          </w:p>
        </w:tc>
        <w:tc>
          <w:tcPr>
            <w:tcW w:type="dxa" w:w="1872"/>
            <w:vAlign w:val="center"/>
            <w:shd w:fill="1F4E79"/>
          </w:tcPr>
          <w:p>
            <w:pPr>
              <w:spacing w:after="0"/>
            </w:pPr>
            <w:r/>
            <w:r>
              <w:rPr>
                <w:rFonts w:ascii="Arial" w:hAnsi="Arial" w:eastAsia="Arial"/>
                <w:b/>
                <w:color w:val="FFFFFF"/>
                <w:sz w:val="16"/>
              </w:rPr>
              <w:t>Compute Tw/T1</w:t>
            </w:r>
          </w:p>
        </w:tc>
        <w:tc>
          <w:tcPr>
            <w:tcW w:type="dxa" w:w="2016"/>
            <w:vAlign w:val="center"/>
            <w:shd w:fill="1F4E79"/>
          </w:tcPr>
          <w:p>
            <w:pPr>
              <w:spacing w:after="0"/>
            </w:pPr>
            <w:r/>
            <w:r>
              <w:rPr>
                <w:rFonts w:ascii="Arial" w:hAnsi="Arial" w:eastAsia="Arial"/>
                <w:b/>
                <w:color w:val="FFFFFF"/>
                <w:sz w:val="16"/>
              </w:rPr>
              <w:t>Memory time, s</w:t>
            </w:r>
          </w:p>
        </w:tc>
        <w:tc>
          <w:tcPr>
            <w:tcW w:type="dxa" w:w="1872"/>
            <w:vAlign w:val="center"/>
            <w:shd w:fill="1F4E79"/>
          </w:tcPr>
          <w:p>
            <w:pPr>
              <w:spacing w:after="0"/>
            </w:pPr>
            <w:r/>
            <w:r>
              <w:rPr>
                <w:rFonts w:ascii="Arial" w:hAnsi="Arial" w:eastAsia="Arial"/>
                <w:b/>
                <w:color w:val="FFFFFF"/>
                <w:sz w:val="16"/>
              </w:rPr>
              <w:t>Memory Tw/T1</w:t>
            </w:r>
          </w:p>
        </w:tc>
      </w:tr>
      <w:tr>
        <w:tc>
          <w:tcPr>
            <w:tcW w:type="dxa" w:w="1152"/>
            <w:vAlign w:val="center"/>
          </w:tcPr>
          <w:p>
            <w:pPr>
              <w:spacing w:after="0"/>
            </w:pPr>
            <w:r/>
            <w:r>
              <w:rPr>
                <w:rFonts w:ascii="Arial" w:hAnsi="Arial" w:eastAsia="Arial"/>
                <w:b w:val="0"/>
                <w:sz w:val="16"/>
              </w:rPr>
              <w:t>1</w:t>
            </w:r>
          </w:p>
        </w:tc>
        <w:tc>
          <w:tcPr>
            <w:tcW w:type="dxa" w:w="2016"/>
            <w:vAlign w:val="center"/>
          </w:tcPr>
          <w:p>
            <w:pPr>
              <w:spacing w:after="0"/>
            </w:pPr>
            <w:r/>
            <w:r>
              <w:rPr>
                <w:rFonts w:ascii="Arial" w:hAnsi="Arial" w:eastAsia="Arial"/>
                <w:b w:val="0"/>
                <w:sz w:val="16"/>
              </w:rPr>
              <w:t>1.0997</w:t>
            </w:r>
          </w:p>
        </w:tc>
        <w:tc>
          <w:tcPr>
            <w:tcW w:type="dxa" w:w="1872"/>
            <w:vAlign w:val="center"/>
          </w:tcPr>
          <w:p>
            <w:pPr>
              <w:spacing w:after="0"/>
            </w:pPr>
            <w:r/>
            <w:r>
              <w:rPr>
                <w:rFonts w:ascii="Arial" w:hAnsi="Arial" w:eastAsia="Arial"/>
                <w:b w:val="0"/>
                <w:sz w:val="16"/>
              </w:rPr>
              <w:t>1.00x</w:t>
            </w:r>
          </w:p>
        </w:tc>
        <w:tc>
          <w:tcPr>
            <w:tcW w:type="dxa" w:w="2016"/>
            <w:vAlign w:val="center"/>
          </w:tcPr>
          <w:p>
            <w:pPr>
              <w:spacing w:after="0"/>
            </w:pPr>
            <w:r/>
            <w:r>
              <w:rPr>
                <w:rFonts w:ascii="Arial" w:hAnsi="Arial" w:eastAsia="Arial"/>
                <w:b w:val="0"/>
                <w:sz w:val="16"/>
              </w:rPr>
              <w:t>0.9107</w:t>
            </w:r>
          </w:p>
        </w:tc>
        <w:tc>
          <w:tcPr>
            <w:tcW w:type="dxa" w:w="1872"/>
            <w:vAlign w:val="center"/>
          </w:tcPr>
          <w:p>
            <w:pPr>
              <w:spacing w:after="0"/>
            </w:pPr>
            <w:r/>
            <w:r>
              <w:rPr>
                <w:rFonts w:ascii="Arial" w:hAnsi="Arial" w:eastAsia="Arial"/>
                <w:b w:val="0"/>
                <w:sz w:val="16"/>
              </w:rPr>
              <w:t>1.00x</w:t>
            </w:r>
          </w:p>
        </w:tc>
      </w:tr>
      <w:tr>
        <w:tc>
          <w:tcPr>
            <w:tcW w:type="dxa" w:w="1152"/>
            <w:vAlign w:val="center"/>
            <w:shd w:fill="F2F6FA"/>
          </w:tcPr>
          <w:p>
            <w:pPr>
              <w:spacing w:after="0"/>
            </w:pPr>
            <w:r/>
            <w:r>
              <w:rPr>
                <w:rFonts w:ascii="Arial" w:hAnsi="Arial" w:eastAsia="Arial"/>
                <w:b w:val="0"/>
                <w:sz w:val="16"/>
              </w:rPr>
              <w:t>2</w:t>
            </w:r>
          </w:p>
        </w:tc>
        <w:tc>
          <w:tcPr>
            <w:tcW w:type="dxa" w:w="2016"/>
            <w:vAlign w:val="center"/>
            <w:shd w:fill="F2F6FA"/>
          </w:tcPr>
          <w:p>
            <w:pPr>
              <w:spacing w:after="0"/>
            </w:pPr>
            <w:r/>
            <w:r>
              <w:rPr>
                <w:rFonts w:ascii="Arial" w:hAnsi="Arial" w:eastAsia="Arial"/>
                <w:b w:val="0"/>
                <w:sz w:val="16"/>
              </w:rPr>
              <w:t>1.1932</w:t>
            </w:r>
          </w:p>
        </w:tc>
        <w:tc>
          <w:tcPr>
            <w:tcW w:type="dxa" w:w="1872"/>
            <w:vAlign w:val="center"/>
            <w:shd w:fill="F2F6FA"/>
          </w:tcPr>
          <w:p>
            <w:pPr>
              <w:spacing w:after="0"/>
            </w:pPr>
            <w:r/>
            <w:r>
              <w:rPr>
                <w:rFonts w:ascii="Arial" w:hAnsi="Arial" w:eastAsia="Arial"/>
                <w:b w:val="0"/>
                <w:sz w:val="16"/>
              </w:rPr>
              <w:t>1.09x</w:t>
            </w:r>
          </w:p>
        </w:tc>
        <w:tc>
          <w:tcPr>
            <w:tcW w:type="dxa" w:w="2016"/>
            <w:vAlign w:val="center"/>
            <w:shd w:fill="F2F6FA"/>
          </w:tcPr>
          <w:p>
            <w:pPr>
              <w:spacing w:after="0"/>
            </w:pPr>
            <w:r/>
            <w:r>
              <w:rPr>
                <w:rFonts w:ascii="Arial" w:hAnsi="Arial" w:eastAsia="Arial"/>
                <w:b w:val="0"/>
                <w:sz w:val="16"/>
              </w:rPr>
              <w:t>1.0197</w:t>
            </w:r>
          </w:p>
        </w:tc>
        <w:tc>
          <w:tcPr>
            <w:tcW w:type="dxa" w:w="1872"/>
            <w:vAlign w:val="center"/>
            <w:shd w:fill="F2F6FA"/>
          </w:tcPr>
          <w:p>
            <w:pPr>
              <w:spacing w:after="0"/>
            </w:pPr>
            <w:r/>
            <w:r>
              <w:rPr>
                <w:rFonts w:ascii="Arial" w:hAnsi="Arial" w:eastAsia="Arial"/>
                <w:b w:val="0"/>
                <w:sz w:val="16"/>
              </w:rPr>
              <w:t>1.12x</w:t>
            </w:r>
          </w:p>
        </w:tc>
      </w:tr>
      <w:tr>
        <w:tc>
          <w:tcPr>
            <w:tcW w:type="dxa" w:w="1152"/>
            <w:vAlign w:val="center"/>
          </w:tcPr>
          <w:p>
            <w:pPr>
              <w:spacing w:after="0"/>
            </w:pPr>
            <w:r/>
            <w:r>
              <w:rPr>
                <w:rFonts w:ascii="Arial" w:hAnsi="Arial" w:eastAsia="Arial"/>
                <w:b w:val="0"/>
                <w:sz w:val="16"/>
              </w:rPr>
              <w:t>4</w:t>
            </w:r>
          </w:p>
        </w:tc>
        <w:tc>
          <w:tcPr>
            <w:tcW w:type="dxa" w:w="2016"/>
            <w:vAlign w:val="center"/>
          </w:tcPr>
          <w:p>
            <w:pPr>
              <w:spacing w:after="0"/>
            </w:pPr>
            <w:r/>
            <w:r>
              <w:rPr>
                <w:rFonts w:ascii="Arial" w:hAnsi="Arial" w:eastAsia="Arial"/>
                <w:b w:val="0"/>
                <w:sz w:val="16"/>
              </w:rPr>
              <w:t>1.5273</w:t>
            </w:r>
          </w:p>
        </w:tc>
        <w:tc>
          <w:tcPr>
            <w:tcW w:type="dxa" w:w="1872"/>
            <w:vAlign w:val="center"/>
          </w:tcPr>
          <w:p>
            <w:pPr>
              <w:spacing w:after="0"/>
            </w:pPr>
            <w:r/>
            <w:r>
              <w:rPr>
                <w:rFonts w:ascii="Arial" w:hAnsi="Arial" w:eastAsia="Arial"/>
                <w:b w:val="0"/>
                <w:sz w:val="16"/>
              </w:rPr>
              <w:t>1.39x</w:t>
            </w:r>
          </w:p>
        </w:tc>
        <w:tc>
          <w:tcPr>
            <w:tcW w:type="dxa" w:w="2016"/>
            <w:vAlign w:val="center"/>
          </w:tcPr>
          <w:p>
            <w:pPr>
              <w:spacing w:after="0"/>
            </w:pPr>
            <w:r/>
            <w:r>
              <w:rPr>
                <w:rFonts w:ascii="Arial" w:hAnsi="Arial" w:eastAsia="Arial"/>
                <w:b w:val="0"/>
                <w:sz w:val="16"/>
              </w:rPr>
              <w:t>3.9507</w:t>
            </w:r>
          </w:p>
        </w:tc>
        <w:tc>
          <w:tcPr>
            <w:tcW w:type="dxa" w:w="1872"/>
            <w:vAlign w:val="center"/>
          </w:tcPr>
          <w:p>
            <w:pPr>
              <w:spacing w:after="0"/>
            </w:pPr>
            <w:r/>
            <w:r>
              <w:rPr>
                <w:rFonts w:ascii="Arial" w:hAnsi="Arial" w:eastAsia="Arial"/>
                <w:b w:val="0"/>
                <w:sz w:val="16"/>
              </w:rPr>
              <w:t>4.34x</w:t>
            </w:r>
          </w:p>
        </w:tc>
      </w:tr>
    </w:tbl>
    <w:p>
      <w:pPr>
        <w:spacing w:after="0"/>
      </w:pPr>
    </w:p>
    <w:p>
      <w:pPr>
        <w:spacing w:after="60"/>
      </w:pPr>
      <w:r>
        <w:rPr>
          <w:b/>
          <w:color w:val="1F4E79"/>
        </w:rPr>
        <w:t xml:space="preserve">[Q4.1] </w:t>
      </w:r>
      <w:r>
        <w:t>The compute suite scales in throughput: four independent 25-million-iteration jobs finish in 1.5273 s versus 1.0997 s for one job, so 4× the work takes only about 1.39× the wall time. The memory suite behaves very differently: four large streaming jobs take 3.9507 s versus 0.9107 s for one, a 4.34× degradation. The reason is that arithmetic-heavy workers can use separate execution resources on different cores, while the memory-heavy workers compete for shared DRAM channels, memory controllers, caches, and bandwidth. Once the memory subsystem is saturated, more workers mainly add contention and queueing.</w:t>
      </w:r>
    </w:p>
    <w:p>
      <w:pPr>
        <w:spacing w:after="60"/>
      </w:pPr>
      <w:r>
        <w:rPr>
          <w:b/>
          <w:color w:val="1F4E79"/>
        </w:rPr>
        <w:t xml:space="preserve">[Q4.2] </w:t>
      </w:r>
      <w:r>
        <w:t>The current hardware log identifies the processor but did not capture the installed RAM speed, memory type, or channel configuration, so the laptop-specific peak bandwidth cannot be stated exactly from the submitted evidence. The i7-12700H platform can be paired with multiple memory types; for illustration, dual-channel DDR4-3200 has a theoretical transfer rate of 51.2 GB/s (3200 MT/s × 8 bytes × 2 channels), while dual-channel DDR5-4800 corresponds to 76.8 GB/s under the same simple channel-width calculation. The exact value for this laptop must match the actually installed memory configuration. Regardless of type, all CPU cores share a finite memory interface, so once aggregate demand approaches that limit, adding cores cannot proportionally increase throughput.</w:t>
      </w:r>
    </w:p>
    <w:p>
      <w:pPr>
        <w:spacing w:after="60"/>
      </w:pPr>
      <w:r>
        <w:rPr>
          <w:b/>
          <w:color w:val="1F4E79"/>
        </w:rPr>
        <w:t xml:space="preserve">[Q4.3] </w:t>
      </w:r>
      <w:r>
        <w:t>If the embedding pipeline is already memory-bandwidth saturated, simply adding more CPU OpenMP threads is unlikely to help because the CPU memory bus is the bottleneck. A GPU can provide greater speedup only if the data can reside on the GPU and the GPU offers materially higher local memory bandwidth; otherwise PCIe host-device transfers can become the new bottleneck. The architectural choice should therefore maximize data locality and effective memory bandwidth, not just add more compute threads.</w:t>
      </w:r>
    </w:p>
    <w:p>
      <w:pPr>
        <w:pStyle w:val="Heading1"/>
      </w:pPr>
      <w:r>
        <w:t>Submission Readiness Check</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F4E79"/>
          </w:tcPr>
          <w:p>
            <w:pPr>
              <w:spacing w:after="0"/>
            </w:pPr>
            <w:r/>
            <w:r>
              <w:rPr>
                <w:rFonts w:ascii="Arial" w:hAnsi="Arial" w:eastAsia="Arial"/>
                <w:b/>
                <w:color w:val="FFFFFF"/>
                <w:sz w:val="16"/>
              </w:rPr>
              <w:t>Requirement</w:t>
            </w:r>
          </w:p>
        </w:tc>
        <w:tc>
          <w:tcPr>
            <w:tcW w:type="dxa" w:w="2592"/>
            <w:vAlign w:val="center"/>
            <w:shd w:fill="1F4E79"/>
          </w:tcPr>
          <w:p>
            <w:pPr>
              <w:spacing w:after="0"/>
            </w:pPr>
            <w:r/>
            <w:r>
              <w:rPr>
                <w:rFonts w:ascii="Arial" w:hAnsi="Arial" w:eastAsia="Arial"/>
                <w:b/>
                <w:color w:val="FFFFFF"/>
                <w:sz w:val="16"/>
              </w:rPr>
              <w:t>Status</w:t>
            </w:r>
          </w:p>
        </w:tc>
        <w:tc>
          <w:tcPr>
            <w:tcW w:type="dxa" w:w="5040"/>
            <w:vAlign w:val="center"/>
            <w:shd w:fill="1F4E79"/>
          </w:tcPr>
          <w:p>
            <w:pPr>
              <w:spacing w:after="0"/>
            </w:pPr>
            <w:r/>
            <w:r>
              <w:rPr>
                <w:rFonts w:ascii="Arial" w:hAnsi="Arial" w:eastAsia="Arial"/>
                <w:b/>
                <w:color w:val="FFFFFF"/>
                <w:sz w:val="16"/>
              </w:rPr>
              <w:t>Evidence / note</w:t>
            </w:r>
          </w:p>
        </w:tc>
      </w:tr>
      <w:tr>
        <w:tc>
          <w:tcPr>
            <w:tcW w:type="dxa" w:w="2880"/>
            <w:vAlign w:val="center"/>
          </w:tcPr>
          <w:p>
            <w:pPr>
              <w:spacing w:after="0"/>
            </w:pPr>
            <w:r/>
            <w:r>
              <w:rPr>
                <w:rFonts w:ascii="Arial" w:hAnsi="Arial" w:eastAsia="Arial"/>
                <w:b w:val="0"/>
                <w:sz w:val="16"/>
              </w:rPr>
              <w:t>Task 1 core sweep</w:t>
            </w:r>
          </w:p>
        </w:tc>
        <w:tc>
          <w:tcPr>
            <w:tcW w:type="dxa" w:w="2592"/>
            <w:vAlign w:val="center"/>
          </w:tcPr>
          <w:p>
            <w:pPr>
              <w:spacing w:after="0"/>
            </w:pPr>
            <w:r/>
            <w:r>
              <w:rPr>
                <w:rFonts w:ascii="Arial" w:hAnsi="Arial" w:eastAsia="Arial"/>
                <w:b w:val="0"/>
                <w:sz w:val="16"/>
              </w:rPr>
              <w:t>Complete</w:t>
            </w:r>
          </w:p>
        </w:tc>
        <w:tc>
          <w:tcPr>
            <w:tcW w:type="dxa" w:w="5040"/>
            <w:vAlign w:val="center"/>
          </w:tcPr>
          <w:p>
            <w:pPr>
              <w:spacing w:after="0"/>
            </w:pPr>
            <w:r/>
            <w:r>
              <w:rPr>
                <w:rFonts w:ascii="Arial" w:hAnsi="Arial" w:eastAsia="Arial"/>
                <w:b w:val="0"/>
                <w:sz w:val="16"/>
              </w:rPr>
              <w:t>1, 2, 4, 8, 12, 16 workers measured</w:t>
            </w:r>
          </w:p>
        </w:tc>
      </w:tr>
      <w:tr>
        <w:tc>
          <w:tcPr>
            <w:tcW w:type="dxa" w:w="2880"/>
            <w:vAlign w:val="center"/>
            <w:shd w:fill="F2F6FA"/>
          </w:tcPr>
          <w:p>
            <w:pPr>
              <w:spacing w:after="0"/>
            </w:pPr>
            <w:r/>
            <w:r>
              <w:rPr>
                <w:rFonts w:ascii="Arial" w:hAnsi="Arial" w:eastAsia="Arial"/>
                <w:b w:val="0"/>
                <w:sz w:val="16"/>
              </w:rPr>
              <w:t>Task 2 three trials</w:t>
            </w:r>
          </w:p>
        </w:tc>
        <w:tc>
          <w:tcPr>
            <w:tcW w:type="dxa" w:w="2592"/>
            <w:vAlign w:val="center"/>
            <w:shd w:fill="F2F6FA"/>
          </w:tcPr>
          <w:p>
            <w:pPr>
              <w:spacing w:after="0"/>
            </w:pPr>
            <w:r/>
            <w:r>
              <w:rPr>
                <w:rFonts w:ascii="Arial" w:hAnsi="Arial" w:eastAsia="Arial"/>
                <w:b w:val="0"/>
                <w:sz w:val="16"/>
              </w:rPr>
              <w:t>Complete</w:t>
            </w:r>
          </w:p>
        </w:tc>
        <w:tc>
          <w:tcPr>
            <w:tcW w:type="dxa" w:w="5040"/>
            <w:vAlign w:val="center"/>
            <w:shd w:fill="F2F6FA"/>
          </w:tcPr>
          <w:p>
            <w:pPr>
              <w:spacing w:after="0"/>
            </w:pPr>
            <w:r/>
            <w:r>
              <w:rPr>
                <w:rFonts w:ascii="Arial" w:hAnsi="Arial" w:eastAsia="Arial"/>
                <w:b w:val="0"/>
                <w:sz w:val="16"/>
              </w:rPr>
              <w:t>Three empirical runs recorded; no measurable false-sharing penalty</w:t>
            </w:r>
          </w:p>
        </w:tc>
      </w:tr>
      <w:tr>
        <w:tc>
          <w:tcPr>
            <w:tcW w:type="dxa" w:w="2880"/>
            <w:vAlign w:val="center"/>
          </w:tcPr>
          <w:p>
            <w:pPr>
              <w:spacing w:after="0"/>
            </w:pPr>
            <w:r/>
            <w:r>
              <w:rPr>
                <w:rFonts w:ascii="Arial" w:hAnsi="Arial" w:eastAsia="Arial"/>
                <w:b w:val="0"/>
                <w:sz w:val="16"/>
              </w:rPr>
              <w:t>Task 3 unsafe/locked</w:t>
            </w:r>
          </w:p>
        </w:tc>
        <w:tc>
          <w:tcPr>
            <w:tcW w:type="dxa" w:w="2592"/>
            <w:vAlign w:val="center"/>
          </w:tcPr>
          <w:p>
            <w:pPr>
              <w:spacing w:after="0"/>
            </w:pPr>
            <w:r/>
            <w:r>
              <w:rPr>
                <w:rFonts w:ascii="Arial" w:hAnsi="Arial" w:eastAsia="Arial"/>
                <w:b w:val="0"/>
                <w:sz w:val="16"/>
              </w:rPr>
              <w:t>Complete with observed caveat</w:t>
            </w:r>
          </w:p>
        </w:tc>
        <w:tc>
          <w:tcPr>
            <w:tcW w:type="dxa" w:w="5040"/>
            <w:vAlign w:val="center"/>
          </w:tcPr>
          <w:p>
            <w:pPr>
              <w:spacing w:after="0"/>
            </w:pPr>
            <w:r/>
            <w:r>
              <w:rPr>
                <w:rFonts w:ascii="Arial" w:hAnsi="Arial" w:eastAsia="Arial"/>
                <w:b w:val="0"/>
                <w:sz w:val="16"/>
              </w:rPr>
              <w:t>UnsafeCounter produced 0 defects on CPython 3.11.7</w:t>
            </w:r>
          </w:p>
        </w:tc>
      </w:tr>
      <w:tr>
        <w:tc>
          <w:tcPr>
            <w:tcW w:type="dxa" w:w="2880"/>
            <w:vAlign w:val="center"/>
            <w:shd w:fill="F2F6FA"/>
          </w:tcPr>
          <w:p>
            <w:pPr>
              <w:spacing w:after="0"/>
            </w:pPr>
            <w:r/>
            <w:r>
              <w:rPr>
                <w:rFonts w:ascii="Arial" w:hAnsi="Arial" w:eastAsia="Arial"/>
                <w:b w:val="0"/>
                <w:sz w:val="16"/>
              </w:rPr>
              <w:t>Task 3 lockless redesign</w:t>
            </w:r>
          </w:p>
        </w:tc>
        <w:tc>
          <w:tcPr>
            <w:tcW w:type="dxa" w:w="2592"/>
            <w:vAlign w:val="center"/>
            <w:shd w:fill="F2F6FA"/>
          </w:tcPr>
          <w:p>
            <w:pPr>
              <w:spacing w:after="0"/>
            </w:pPr>
            <w:r/>
            <w:r>
              <w:rPr>
                <w:rFonts w:ascii="Arial" w:hAnsi="Arial" w:eastAsia="Arial"/>
                <w:b w:val="0"/>
                <w:sz w:val="16"/>
              </w:rPr>
              <w:t>Complete</w:t>
            </w:r>
          </w:p>
        </w:tc>
        <w:tc>
          <w:tcPr>
            <w:tcW w:type="dxa" w:w="5040"/>
            <w:vAlign w:val="center"/>
            <w:shd w:fill="F2F6FA"/>
          </w:tcPr>
          <w:p>
            <w:pPr>
              <w:spacing w:after="0"/>
            </w:pPr>
            <w:r/>
            <w:r>
              <w:rPr>
                <w:rFonts w:ascii="Arial" w:hAnsi="Arial" w:eastAsia="Arial"/>
                <w:b w:val="0"/>
                <w:sz w:val="16"/>
              </w:rPr>
              <w:t>2,000,000 correct; 8.47x faster than LockedCounter</w:t>
            </w:r>
          </w:p>
        </w:tc>
      </w:tr>
      <w:tr>
        <w:tc>
          <w:tcPr>
            <w:tcW w:type="dxa" w:w="2880"/>
            <w:vAlign w:val="center"/>
          </w:tcPr>
          <w:p>
            <w:pPr>
              <w:spacing w:after="0"/>
            </w:pPr>
            <w:r/>
            <w:r>
              <w:rPr>
                <w:rFonts w:ascii="Arial" w:hAnsi="Arial" w:eastAsia="Arial"/>
                <w:b w:val="0"/>
                <w:sz w:val="16"/>
              </w:rPr>
              <w:t>Task 4 compute/memory sweep</w:t>
            </w:r>
          </w:p>
        </w:tc>
        <w:tc>
          <w:tcPr>
            <w:tcW w:type="dxa" w:w="2592"/>
            <w:vAlign w:val="center"/>
          </w:tcPr>
          <w:p>
            <w:pPr>
              <w:spacing w:after="0"/>
            </w:pPr>
            <w:r/>
            <w:r>
              <w:rPr>
                <w:rFonts w:ascii="Arial" w:hAnsi="Arial" w:eastAsia="Arial"/>
                <w:b w:val="0"/>
                <w:sz w:val="16"/>
              </w:rPr>
              <w:t>Complete</w:t>
            </w:r>
          </w:p>
        </w:tc>
        <w:tc>
          <w:tcPr>
            <w:tcW w:type="dxa" w:w="5040"/>
            <w:vAlign w:val="center"/>
          </w:tcPr>
          <w:p>
            <w:pPr>
              <w:spacing w:after="0"/>
            </w:pPr>
            <w:r/>
            <w:r>
              <w:rPr>
                <w:rFonts w:ascii="Arial" w:hAnsi="Arial" w:eastAsia="Arial"/>
                <w:b w:val="0"/>
                <w:sz w:val="16"/>
              </w:rPr>
              <w:t>1, 2, 4 workers measured</w:t>
            </w:r>
          </w:p>
        </w:tc>
      </w:tr>
      <w:tr>
        <w:tc>
          <w:tcPr>
            <w:tcW w:type="dxa" w:w="2880"/>
            <w:vAlign w:val="center"/>
            <w:shd w:fill="F2F6FA"/>
          </w:tcPr>
          <w:p>
            <w:pPr>
              <w:spacing w:after="0"/>
            </w:pPr>
            <w:r/>
            <w:r>
              <w:rPr>
                <w:rFonts w:ascii="Arial" w:hAnsi="Arial" w:eastAsia="Arial"/>
                <w:b w:val="0"/>
                <w:sz w:val="16"/>
              </w:rPr>
              <w:t>Exact RAM/channel specification</w:t>
            </w:r>
          </w:p>
        </w:tc>
        <w:tc>
          <w:tcPr>
            <w:tcW w:type="dxa" w:w="2592"/>
            <w:vAlign w:val="center"/>
            <w:shd w:fill="F2F6FA"/>
          </w:tcPr>
          <w:p>
            <w:pPr>
              <w:spacing w:after="0"/>
            </w:pPr>
            <w:r/>
            <w:r>
              <w:rPr>
                <w:rFonts w:ascii="Arial" w:hAnsi="Arial" w:eastAsia="Arial"/>
                <w:b w:val="0"/>
                <w:sz w:val="16"/>
              </w:rPr>
              <w:t>Needs one extra hardware query</w:t>
            </w:r>
          </w:p>
        </w:tc>
        <w:tc>
          <w:tcPr>
            <w:tcW w:type="dxa" w:w="5040"/>
            <w:vAlign w:val="center"/>
            <w:shd w:fill="F2F6FA"/>
          </w:tcPr>
          <w:p>
            <w:pPr>
              <w:spacing w:after="0"/>
            </w:pPr>
            <w:r/>
            <w:r>
              <w:rPr>
                <w:rFonts w:ascii="Arial" w:hAnsi="Arial" w:eastAsia="Arial"/>
                <w:b w:val="0"/>
                <w:sz w:val="16"/>
              </w:rPr>
              <w:t>Current results.txt did not capture DIMM details</w:t>
            </w:r>
          </w:p>
        </w:tc>
      </w:tr>
      <w:tr>
        <w:tc>
          <w:tcPr>
            <w:tcW w:type="dxa" w:w="2880"/>
            <w:vAlign w:val="center"/>
          </w:tcPr>
          <w:p>
            <w:pPr>
              <w:spacing w:after="0"/>
            </w:pPr>
            <w:r/>
            <w:r>
              <w:rPr>
                <w:rFonts w:ascii="Arial" w:hAnsi="Arial" w:eastAsia="Arial"/>
                <w:b w:val="0"/>
                <w:sz w:val="16"/>
              </w:rPr>
              <w:t>Local execution screenshots</w:t>
            </w:r>
          </w:p>
        </w:tc>
        <w:tc>
          <w:tcPr>
            <w:tcW w:type="dxa" w:w="2592"/>
            <w:vAlign w:val="center"/>
          </w:tcPr>
          <w:p>
            <w:pPr>
              <w:spacing w:after="0"/>
            </w:pPr>
            <w:r/>
            <w:r>
              <w:rPr>
                <w:rFonts w:ascii="Arial" w:hAnsi="Arial" w:eastAsia="Arial"/>
                <w:b w:val="0"/>
                <w:sz w:val="16"/>
              </w:rPr>
              <w:t>Included</w:t>
            </w:r>
          </w:p>
        </w:tc>
        <w:tc>
          <w:tcPr>
            <w:tcW w:type="dxa" w:w="5040"/>
            <w:vAlign w:val="center"/>
          </w:tcPr>
          <w:p>
            <w:pPr>
              <w:spacing w:after="0"/>
            </w:pPr>
            <w:r/>
            <w:r>
              <w:rPr>
                <w:rFonts w:ascii="Arial" w:hAnsi="Arial" w:eastAsia="Arial"/>
                <w:b w:val="0"/>
                <w:sz w:val="16"/>
              </w:rPr>
              <w:t>Appendix A</w:t>
            </w:r>
          </w:p>
        </w:tc>
      </w:tr>
    </w:tbl>
    <w:p>
      <w:pPr>
        <w:spacing w:after="0"/>
      </w:pPr>
    </w:p>
    <w:p>
      <w:r>
        <w:rPr>
          <w:b/>
        </w:rPr>
        <w:t xml:space="preserve">Recommended final hardware query (PowerShell): </w:t>
      </w:r>
      <w:r>
        <w:rPr>
          <w:rFonts w:ascii="Consolas" w:hAnsi="Consolas" w:eastAsia="Consolas"/>
          <w:sz w:val="16"/>
        </w:rPr>
        <w:t>Get-CimInstance Win32_PhysicalMemory | Format-Table Manufacturer,PartNumber,Capacity,Speed,ConfiguredClockSpeed,DeviceLocator -AutoSize</w:t>
      </w:r>
    </w:p>
    <w:p>
      <w:r>
        <w:br w:type="page"/>
      </w:r>
    </w:p>
    <w:p>
      <w:pPr>
        <w:pStyle w:val="Heading1"/>
      </w:pPr>
      <w:r>
        <w:t>Appendix A — Local Execution Evidence</w:t>
      </w:r>
    </w:p>
    <w:p>
      <w:r>
        <w:t>The screenshots below are inserted unedited from the provided VS Code/PowerShell session. They show the local working path and benchmark output produced on the laptop.</w:t>
      </w:r>
    </w:p>
    <w:p>
      <w:pPr>
        <w:jc w:val="center"/>
      </w:pPr>
      <w:r>
        <w:drawing>
          <wp:inline xmlns:a="http://schemas.openxmlformats.org/drawingml/2006/main" xmlns:pic="http://schemas.openxmlformats.org/drawingml/2006/picture">
            <wp:extent cx="6400800" cy="3794224"/>
            <wp:docPr id="1" name="Picture 1"/>
            <wp:cNvGraphicFramePr>
              <a:graphicFrameLocks noChangeAspect="1"/>
            </wp:cNvGraphicFramePr>
            <a:graphic>
              <a:graphicData uri="http://schemas.openxmlformats.org/drawingml/2006/picture">
                <pic:pic>
                  <pic:nvPicPr>
                    <pic:cNvPr id="0" name="29397dd7-19ea-49c7-bb19-54332157aa71.png"/>
                    <pic:cNvPicPr/>
                  </pic:nvPicPr>
                  <pic:blipFill>
                    <a:blip r:embed="rId9"/>
                    <a:stretch>
                      <a:fillRect/>
                    </a:stretch>
                  </pic:blipFill>
                  <pic:spPr>
                    <a:xfrm>
                      <a:off x="0" y="0"/>
                      <a:ext cx="6400800" cy="3794224"/>
                    </a:xfrm>
                    <a:prstGeom prst="rect"/>
                  </pic:spPr>
                </pic:pic>
              </a:graphicData>
            </a:graphic>
          </wp:inline>
        </w:drawing>
      </w:r>
    </w:p>
    <w:p>
      <w:pPr>
        <w:pStyle w:val="CaptionCustom"/>
        <w:jc w:val="center"/>
      </w:pPr>
      <w:r>
        <w:t>Figure A1. Local VS Code/PowerShell run showing hardware query output. The terminal path is C:\Users\Mardan Ibragimov\Desktop\parallel_lab_ready, and the detected CPU is Intel Core i7-12700H with 14 cores / 20 logical processors.</w:t>
      </w:r>
    </w:p>
    <w:p>
      <w:r>
        <w:br w:type="page"/>
      </w:r>
    </w:p>
    <w:p>
      <w:pPr>
        <w:jc w:val="center"/>
      </w:pPr>
      <w:r>
        <w:drawing>
          <wp:inline xmlns:a="http://schemas.openxmlformats.org/drawingml/2006/main" xmlns:pic="http://schemas.openxmlformats.org/drawingml/2006/picture">
            <wp:extent cx="6400800" cy="4378672"/>
            <wp:docPr id="2" name="Picture 2"/>
            <wp:cNvGraphicFramePr>
              <a:graphicFrameLocks noChangeAspect="1"/>
            </wp:cNvGraphicFramePr>
            <a:graphic>
              <a:graphicData uri="http://schemas.openxmlformats.org/drawingml/2006/picture">
                <pic:pic>
                  <pic:nvPicPr>
                    <pic:cNvPr id="0" name="ab67da04-4806-4686-a2dc-dc6c3e0d0871.png"/>
                    <pic:cNvPicPr/>
                  </pic:nvPicPr>
                  <pic:blipFill>
                    <a:blip r:embed="rId10"/>
                    <a:stretch>
                      <a:fillRect/>
                    </a:stretch>
                  </pic:blipFill>
                  <pic:spPr>
                    <a:xfrm>
                      <a:off x="0" y="0"/>
                      <a:ext cx="6400800" cy="4378672"/>
                    </a:xfrm>
                    <a:prstGeom prst="rect"/>
                  </pic:spPr>
                </pic:pic>
              </a:graphicData>
            </a:graphic>
          </wp:inline>
        </w:drawing>
      </w:r>
    </w:p>
    <w:p>
      <w:pPr>
        <w:pStyle w:val="CaptionCustom"/>
        <w:jc w:val="center"/>
      </w:pPr>
      <w:r>
        <w:t>Figure A2. Task 1 output and beginning of Task 2: the worker sweep and measured execution times are visible in the local terminal.</w:t>
      </w:r>
    </w:p>
    <w:p>
      <w:r>
        <w:br w:type="page"/>
      </w:r>
    </w:p>
    <w:p>
      <w:pPr>
        <w:jc w:val="center"/>
      </w:pPr>
      <w:r>
        <w:drawing>
          <wp:inline xmlns:a="http://schemas.openxmlformats.org/drawingml/2006/main" xmlns:pic="http://schemas.openxmlformats.org/drawingml/2006/picture">
            <wp:extent cx="6400800" cy="3747343"/>
            <wp:docPr id="3" name="Picture 3"/>
            <wp:cNvGraphicFramePr>
              <a:graphicFrameLocks noChangeAspect="1"/>
            </wp:cNvGraphicFramePr>
            <a:graphic>
              <a:graphicData uri="http://schemas.openxmlformats.org/drawingml/2006/picture">
                <pic:pic>
                  <pic:nvPicPr>
                    <pic:cNvPr id="0" name="7396db05-4614-42ca-83b2-a265d6aadd18.png"/>
                    <pic:cNvPicPr/>
                  </pic:nvPicPr>
                  <pic:blipFill>
                    <a:blip r:embed="rId11"/>
                    <a:stretch>
                      <a:fillRect/>
                    </a:stretch>
                  </pic:blipFill>
                  <pic:spPr>
                    <a:xfrm>
                      <a:off x="0" y="0"/>
                      <a:ext cx="6400800" cy="3747343"/>
                    </a:xfrm>
                    <a:prstGeom prst="rect"/>
                  </pic:spPr>
                </pic:pic>
              </a:graphicData>
            </a:graphic>
          </wp:inline>
        </w:drawing>
      </w:r>
    </w:p>
    <w:p>
      <w:pPr>
        <w:pStyle w:val="CaptionCustom"/>
        <w:jc w:val="center"/>
      </w:pPr>
      <w:r>
        <w:t>Figure A3. Task 2, Task 3 and lockless results, plus the start of Task 4, captured from the same local VS Code session.</w:t>
      </w:r>
    </w:p>
    <w:p>
      <w:r>
        <w:br w:type="page"/>
      </w:r>
    </w:p>
    <w:p>
      <w:pPr>
        <w:jc w:val="center"/>
      </w:pPr>
      <w:r>
        <w:drawing>
          <wp:inline xmlns:a="http://schemas.openxmlformats.org/drawingml/2006/main" xmlns:pic="http://schemas.openxmlformats.org/drawingml/2006/picture">
            <wp:extent cx="6400800" cy="3753594"/>
            <wp:docPr id="4" name="Picture 4"/>
            <wp:cNvGraphicFramePr>
              <a:graphicFrameLocks noChangeAspect="1"/>
            </wp:cNvGraphicFramePr>
            <a:graphic>
              <a:graphicData uri="http://schemas.openxmlformats.org/drawingml/2006/picture">
                <pic:pic>
                  <pic:nvPicPr>
                    <pic:cNvPr id="0" name="c872beef-eafb-4a06-96c3-2a053262759b.png"/>
                    <pic:cNvPicPr/>
                  </pic:nvPicPr>
                  <pic:blipFill>
                    <a:blip r:embed="rId12"/>
                    <a:stretch>
                      <a:fillRect/>
                    </a:stretch>
                  </pic:blipFill>
                  <pic:spPr>
                    <a:xfrm>
                      <a:off x="0" y="0"/>
                      <a:ext cx="6400800" cy="3753594"/>
                    </a:xfrm>
                    <a:prstGeom prst="rect"/>
                  </pic:spPr>
                </pic:pic>
              </a:graphicData>
            </a:graphic>
          </wp:inline>
        </w:drawing>
      </w:r>
    </w:p>
    <w:p>
      <w:pPr>
        <w:pStyle w:val="CaptionCustom"/>
        <w:jc w:val="center"/>
      </w:pPr>
      <w:r>
        <w:t>Figure A4. Completed Task 4 output and DONE message, showing the full benchmark script reached completion on the local laptop.</w:t>
      </w:r>
    </w:p>
    <w:p>
      <w:r>
        <w:br w:type="page"/>
      </w:r>
    </w:p>
    <w:p>
      <w:pPr>
        <w:pStyle w:val="Heading1"/>
      </w:pPr>
      <w:r>
        <w:t>Appendix B — Raw results.txt Measurements</w:t>
      </w:r>
    </w:p>
    <w:tbl>
      <w:tblPr>
        <w:tblStyle w:val="TableGrid"/>
        <w:tblW w:type="auto" w:w="0"/>
        <w:tblLook w:firstColumn="1" w:firstRow="1" w:lastColumn="0" w:lastRow="0" w:noHBand="0" w:noVBand="1" w:val="04A0"/>
      </w:tblPr>
      <w:tblGrid>
        <w:gridCol w:w="10368"/>
      </w:tblGrid>
      <w:tr>
        <w:tc>
          <w:tcPr>
            <w:tcW w:type="dxa" w:w="10368"/>
            <w:shd w:fill="F8F8F8"/>
          </w:tcPr>
          <w:p>
            <w:r/>
            <w:r>
              <w:rPr>
                <w:rFonts w:ascii="Consolas" w:hAnsi="Consolas" w:eastAsia="Consolas"/>
                <w:sz w:val="16"/>
              </w:rPr>
              <w:t>TASK 1</w:t>
              <w:br/>
              <w:t>Baseline: 3.3054 s</w:t>
              <w:br/>
              <w:t>p=1: 2.2604 s | p=2: 1.1922 s | p=4: 0.7168 s | p=8: 0.5436 s | p=12: 0.5554 s | p=16: 0.5769 s</w:t>
              <w:br/>
              <w:br/>
              <w:t>TASK 2</w:t>
              <w:br/>
              <w:t>Run 1: adjacent 0.7323 s | padded 0.7472 s</w:t>
              <w:br/>
              <w:t>Run 2: adjacent 0.7328 s | padded 0.7356 s</w:t>
              <w:br/>
              <w:t>Run 3: adjacent 0.7376 s | padded 0.7509 s</w:t>
              <w:br/>
              <w:br/>
              <w:t>TASK 3</w:t>
              <w:br/>
              <w:t>Unsafe: 2,000,000 | 0.1255 s</w:t>
              <w:br/>
              <w:t>Locked: 2,000,000 | 0.4614 s</w:t>
              <w:br/>
              <w:t>Lockless thread-local: 2,000,000 | 0.0545 s</w:t>
              <w:br/>
              <w:br/>
              <w:t>TASK 4</w:t>
              <w:br/>
              <w:t>Compute: 1 worker 1.0997 s | 2 workers 1.1932 s | 4 workers 1.5273 s</w:t>
              <w:br/>
              <w:t>Memory: 1 worker 0.9107 s | 2 workers 1.0197 s | 4 workers 3.9507 s</w:t>
            </w:r>
          </w:p>
        </w:tc>
      </w:tr>
    </w:tbl>
    <w:sectPr w:rsidR="00FC693F" w:rsidRPr="0006063C" w:rsidSect="00034616">
      <w:footerReference w:type="default" r:id="rId13"/>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4"/>
      </w:rPr>
      <w:t>Mardan Ibragimov — Parallel Programming Lab — 17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eastAsia="Arial"/>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40" w:after="120"/>
    </w:pPr>
    <w:rPr>
      <w:rFonts w:ascii="Arial" w:hAnsi="Arial" w:eastAsia="Arial"/>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Programming Lab - 17 September 2026</dc:title>
  <dc:subject>Empirical microarchitectural bottlenecks</dc:subject>
  <dc:creator>Mardan Ibragimov</dc:creator>
  <cp:keywords/>
  <dc:description>generated by python-docx</dc:description>
  <cp:lastModifiedBy/>
  <cp:revision>1</cp:revision>
  <dcterms:created xsi:type="dcterms:W3CDTF">2013-12-23T23:15:00Z</dcterms:created>
  <dcterms:modified xsi:type="dcterms:W3CDTF">2013-12-23T23:15:00Z</dcterms:modified>
  <cp:category/>
</cp:coreProperties>
</file>