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0313" w:rsidRPr="00BD0231" w:rsidRDefault="00BD0231">
      <w:pPr>
        <w:spacing w:after="80"/>
        <w:jc w:val="center"/>
        <w:rPr>
          <w:lang w:val="ru-RU"/>
        </w:rPr>
      </w:pPr>
      <w:bookmarkStart w:id="0" w:name="_GoBack"/>
      <w:bookmarkEnd w:id="0"/>
      <w:r w:rsidRPr="00BD0231">
        <w:rPr>
          <w:rFonts w:ascii="Calibri" w:eastAsia="Calibri" w:hAnsi="Calibri" w:cs="Calibri"/>
          <w:b/>
          <w:bCs/>
          <w:color w:val="1F4E79"/>
          <w:sz w:val="26"/>
          <w:szCs w:val="26"/>
          <w:lang w:val="ru-RU"/>
        </w:rPr>
        <w:t>ПРОТОКОЛЬНЫЕ ПОРУЧЕНИЯ  по итогам оперативного совещания</w:t>
      </w:r>
    </w:p>
    <w:p w:rsidR="00B30313" w:rsidRPr="00BD0231" w:rsidRDefault="00B30313">
      <w:pPr>
        <w:spacing w:after="160"/>
        <w:jc w:val="center"/>
        <w:rPr>
          <w:lang w:val="ru-RU"/>
        </w:rPr>
      </w:pPr>
    </w:p>
    <w:tbl>
      <w:tblPr>
        <w:tblW w:w="15304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"/>
        <w:gridCol w:w="1496"/>
        <w:gridCol w:w="11098"/>
        <w:gridCol w:w="2268"/>
      </w:tblGrid>
      <w:tr w:rsidR="00BD0231" w:rsidRPr="00BD0231" w:rsidTr="00BD0231">
        <w:trPr>
          <w:tblHeader/>
        </w:trPr>
        <w:tc>
          <w:tcPr>
            <w:tcW w:w="44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jc w:val="center"/>
              <w:rPr>
                <w:sz w:val="24"/>
                <w:szCs w:val="24"/>
              </w:rPr>
            </w:pPr>
            <w:r w:rsidRPr="00BD0231">
              <w:rPr>
                <w:rFonts w:eastAsia="Calibri"/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149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jc w:val="center"/>
              <w:rPr>
                <w:sz w:val="24"/>
                <w:szCs w:val="24"/>
              </w:rPr>
            </w:pPr>
            <w:r w:rsidRPr="00BD0231">
              <w:rPr>
                <w:rFonts w:eastAsia="Calibri"/>
                <w:b/>
                <w:bCs/>
                <w:color w:val="FFFFFF"/>
                <w:sz w:val="24"/>
                <w:szCs w:val="24"/>
              </w:rPr>
              <w:t>Блок</w:t>
            </w:r>
          </w:p>
        </w:tc>
        <w:tc>
          <w:tcPr>
            <w:tcW w:w="1109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jc w:val="center"/>
              <w:rPr>
                <w:sz w:val="24"/>
                <w:szCs w:val="24"/>
              </w:rPr>
            </w:pPr>
            <w:r w:rsidRPr="00BD0231">
              <w:rPr>
                <w:rFonts w:eastAsia="Calibri"/>
                <w:b/>
                <w:bCs/>
                <w:color w:val="FFFFFF"/>
                <w:sz w:val="24"/>
                <w:szCs w:val="24"/>
              </w:rPr>
              <w:t>Поручение</w:t>
            </w:r>
          </w:p>
        </w:tc>
        <w:tc>
          <w:tcPr>
            <w:tcW w:w="22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jc w:val="center"/>
              <w:rPr>
                <w:sz w:val="24"/>
                <w:szCs w:val="24"/>
              </w:rPr>
            </w:pPr>
            <w:r w:rsidRPr="00BD0231">
              <w:rPr>
                <w:rFonts w:eastAsia="Calibri"/>
                <w:b/>
                <w:bCs/>
                <w:color w:val="FFFFFF"/>
                <w:sz w:val="24"/>
                <w:szCs w:val="24"/>
              </w:rPr>
              <w:t>Ответственный</w:t>
            </w: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1</w:t>
            </w:r>
          </w:p>
        </w:tc>
        <w:tc>
          <w:tcPr>
            <w:tcW w:w="1496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ГП / Онлайн</w:t>
            </w:r>
          </w:p>
        </w:tc>
        <w:tc>
          <w:tcPr>
            <w:tcW w:w="11098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Составить список сотрудников ГП, нуждающихся в компьютерной технике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Малик Мадина</w:t>
            </w: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2</w:t>
            </w:r>
          </w:p>
        </w:tc>
        <w:tc>
          <w:tcPr>
            <w:tcW w:w="1496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ГП / Онлайн</w:t>
            </w:r>
          </w:p>
        </w:tc>
        <w:tc>
          <w:tcPr>
            <w:tcW w:w="11098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Подготовить отчёт по числу подключённых сотрудников ГП (по регионам: З, С, Ц, В)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Малик Мадина</w:t>
            </w: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3</w:t>
            </w:r>
          </w:p>
        </w:tc>
        <w:tc>
          <w:tcPr>
            <w:tcW w:w="1496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ГП / Онлайн</w:t>
            </w:r>
          </w:p>
        </w:tc>
        <w:tc>
          <w:tcPr>
            <w:tcW w:w="11098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Зафиксировать все проблемы ГП и внести в план мероприятий (</w:t>
            </w:r>
            <w:r w:rsidRPr="00BD0231">
              <w:rPr>
                <w:rFonts w:eastAsia="Calibri"/>
                <w:color w:val="1A1A1A"/>
                <w:sz w:val="24"/>
                <w:szCs w:val="24"/>
              </w:rPr>
              <w:t>Google</w:t>
            </w: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</w:t>
            </w:r>
            <w:r w:rsidRPr="00BD0231">
              <w:rPr>
                <w:rFonts w:eastAsia="Calibri"/>
                <w:color w:val="1A1A1A"/>
                <w:sz w:val="24"/>
                <w:szCs w:val="24"/>
              </w:rPr>
              <w:t>Docs</w:t>
            </w: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)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Абдулданова Жанар</w:t>
            </w: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4</w:t>
            </w:r>
          </w:p>
        </w:tc>
        <w:tc>
          <w:tcPr>
            <w:tcW w:w="1496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ГП / Онлайн</w:t>
            </w:r>
          </w:p>
        </w:tc>
        <w:tc>
          <w:tcPr>
            <w:tcW w:w="11098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Получить данные по закрытым ГП и числу сотрудников, вышедших на оптимизацию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Жукенова Дина</w:t>
            </w: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5</w:t>
            </w:r>
          </w:p>
        </w:tc>
        <w:tc>
          <w:tcPr>
            <w:tcW w:w="1496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ГП / Онлайн</w:t>
            </w:r>
          </w:p>
        </w:tc>
        <w:tc>
          <w:tcPr>
            <w:tcW w:w="11098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Разработать инструкции (видео/печать) для сотрудников ГП по типовым вопросам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Жукенова Дина</w:t>
            </w: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6</w:t>
            </w:r>
          </w:p>
        </w:tc>
        <w:tc>
          <w:tcPr>
            <w:tcW w:w="1496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ГП / Онлайн</w:t>
            </w:r>
          </w:p>
        </w:tc>
        <w:tc>
          <w:tcPr>
            <w:tcW w:w="11098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Провести анализ эффективности ГП; запросить данные у экономистов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Жукенова Дина</w:t>
            </w: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7</w:t>
            </w:r>
          </w:p>
        </w:tc>
        <w:tc>
          <w:tcPr>
            <w:tcW w:w="1496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Штат</w:t>
            </w:r>
          </w:p>
        </w:tc>
        <w:tc>
          <w:tcPr>
            <w:tcW w:w="11098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Инициировать подбор 5 сотрудников в г. Алматы (усиление мобильного направления)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lastRenderedPageBreak/>
              <w:t>8</w:t>
            </w:r>
          </w:p>
        </w:tc>
        <w:tc>
          <w:tcPr>
            <w:tcW w:w="1496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Штат</w:t>
            </w:r>
          </w:p>
        </w:tc>
        <w:tc>
          <w:tcPr>
            <w:tcW w:w="11098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Провести переговоры с бывшими сотрудниками (список 165) о возвращении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9</w:t>
            </w:r>
          </w:p>
        </w:tc>
        <w:tc>
          <w:tcPr>
            <w:tcW w:w="1496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Техника / IT</w:t>
            </w:r>
          </w:p>
        </w:tc>
        <w:tc>
          <w:tcPr>
            <w:tcW w:w="11098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Настроить доступ к рекомендательному модулю для сотрудников </w:t>
            </w:r>
            <w:r w:rsidRPr="00BD0231">
              <w:rPr>
                <w:rFonts w:eastAsia="Calibri"/>
                <w:color w:val="1A1A1A"/>
                <w:sz w:val="24"/>
                <w:szCs w:val="24"/>
              </w:rPr>
              <w:t>POS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</w:rPr>
            </w:pPr>
          </w:p>
          <w:p w:rsidR="00BD0231" w:rsidRDefault="00BD0231">
            <w:pPr>
              <w:rPr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Малик Мадина</w:t>
            </w: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10</w:t>
            </w:r>
          </w:p>
        </w:tc>
        <w:tc>
          <w:tcPr>
            <w:tcW w:w="1496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Техника / IT</w:t>
            </w:r>
          </w:p>
        </w:tc>
        <w:tc>
          <w:tcPr>
            <w:tcW w:w="11098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Провести обучение по новому конструктору (приоритет: Жукенова Д., Малик М.)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Тлеулин Алишер</w:t>
            </w: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11</w:t>
            </w:r>
          </w:p>
        </w:tc>
        <w:tc>
          <w:tcPr>
            <w:tcW w:w="1496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Техника / IT</w:t>
            </w:r>
          </w:p>
        </w:tc>
        <w:tc>
          <w:tcPr>
            <w:tcW w:w="11098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Запустить тестовый прогон нового конструктора по г. Алматы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Тлеулин Алишер</w:t>
            </w: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12</w:t>
            </w:r>
          </w:p>
        </w:tc>
        <w:tc>
          <w:tcPr>
            <w:tcW w:w="1496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Техника / IT</w:t>
            </w:r>
          </w:p>
        </w:tc>
        <w:tc>
          <w:tcPr>
            <w:tcW w:w="11098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Подготовить ТЗ на интеграцию отчётов </w:t>
            </w:r>
            <w:r w:rsidRPr="00BD0231">
              <w:rPr>
                <w:rFonts w:eastAsia="Calibri"/>
                <w:color w:val="1A1A1A"/>
                <w:sz w:val="24"/>
                <w:szCs w:val="24"/>
              </w:rPr>
              <w:t>Click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Уристембек Алтынай</w:t>
            </w: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13</w:t>
            </w:r>
          </w:p>
        </w:tc>
        <w:tc>
          <w:tcPr>
            <w:tcW w:w="1496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Техника / IT</w:t>
            </w:r>
          </w:p>
        </w:tc>
        <w:tc>
          <w:tcPr>
            <w:tcW w:w="11098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Подготовить ТЗ на единый дашборд по всем обращениям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Уристембек Алтынай</w:t>
            </w: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14</w:t>
            </w:r>
          </w:p>
        </w:tc>
        <w:tc>
          <w:tcPr>
            <w:tcW w:w="1496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Юридика</w:t>
            </w:r>
          </w:p>
        </w:tc>
        <w:tc>
          <w:tcPr>
            <w:tcW w:w="11098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Направить письмо в Комитет по сроку сдачи оборудования (15 </w:t>
            </w:r>
            <w:r w:rsidRPr="00BD0231">
              <w:rPr>
                <w:rFonts w:eastAsia="Calibri"/>
                <w:color w:val="1A1A1A"/>
                <w:sz w:val="24"/>
                <w:szCs w:val="24"/>
              </w:rPr>
              <w:t>vs</w:t>
            </w: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3 дня) после визирования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Кузнецова Нина</w:t>
            </w: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lastRenderedPageBreak/>
              <w:t>15</w:t>
            </w:r>
          </w:p>
        </w:tc>
        <w:tc>
          <w:tcPr>
            <w:tcW w:w="1496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Юридика</w:t>
            </w:r>
          </w:p>
        </w:tc>
        <w:tc>
          <w:tcPr>
            <w:tcW w:w="11098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Уточнить статус ответа Комитета по вопросу сдачи оборудования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Кузнецова Нина</w:t>
            </w: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16</w:t>
            </w:r>
          </w:p>
        </w:tc>
        <w:tc>
          <w:tcPr>
            <w:tcW w:w="1496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Юридика</w:t>
            </w:r>
          </w:p>
        </w:tc>
        <w:tc>
          <w:tcPr>
            <w:tcW w:w="11098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Завершить согласование публичного договора; подготовить письмо в Комитет по доначислениям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Кузнецова Нина</w:t>
            </w: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17</w:t>
            </w:r>
          </w:p>
        </w:tc>
        <w:tc>
          <w:tcPr>
            <w:tcW w:w="149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Финансы</w:t>
            </w:r>
          </w:p>
        </w:tc>
        <w:tc>
          <w:tcPr>
            <w:tcW w:w="110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Подготовить служебную записку по технол. снятиям (объём и суммы) в Департамент отчётности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Тлеулин Алишер</w:t>
            </w: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18</w:t>
            </w:r>
          </w:p>
        </w:tc>
        <w:tc>
          <w:tcPr>
            <w:tcW w:w="149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Финансы</w:t>
            </w:r>
          </w:p>
        </w:tc>
        <w:tc>
          <w:tcPr>
            <w:tcW w:w="110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Подготовить служебную записку по отменённым заказам (~7 000 случаев; уточнить период)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Тлеулин Алишер</w:t>
            </w: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19</w:t>
            </w:r>
          </w:p>
        </w:tc>
        <w:tc>
          <w:tcPr>
            <w:tcW w:w="149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Финансы</w:t>
            </w:r>
          </w:p>
        </w:tc>
        <w:tc>
          <w:tcPr>
            <w:tcW w:w="110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Рассчитать себестоимость одного обращения (технологические снятия)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Майкеева Парасат</w:t>
            </w: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20</w:t>
            </w:r>
          </w:p>
        </w:tc>
        <w:tc>
          <w:tcPr>
            <w:tcW w:w="149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Финансы</w:t>
            </w:r>
          </w:p>
        </w:tc>
        <w:tc>
          <w:tcPr>
            <w:tcW w:w="110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Инициировать встречу с КД по кассовым поступлениям и корректировкам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21</w:t>
            </w:r>
          </w:p>
        </w:tc>
        <w:tc>
          <w:tcPr>
            <w:tcW w:w="1496" w:type="dxa"/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Ауыл Телеком</w:t>
            </w:r>
          </w:p>
        </w:tc>
        <w:tc>
          <w:tcPr>
            <w:tcW w:w="11098" w:type="dxa"/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Подготовить статистику по КЦ 160/165 в разрезе: ГТС/СТС, город/село за 2025–2026 гг.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Абдулданова Жанар</w:t>
            </w: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lastRenderedPageBreak/>
              <w:t>22</w:t>
            </w:r>
          </w:p>
        </w:tc>
        <w:tc>
          <w:tcPr>
            <w:tcW w:w="1496" w:type="dxa"/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Тарифы / Docs</w:t>
            </w:r>
          </w:p>
        </w:tc>
        <w:tc>
          <w:tcPr>
            <w:tcW w:w="11098" w:type="dxa"/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Подготовить сводную таблицу по тарифам и составляющим пакетов (на основе прейскуранта)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Жукенова Дина</w:t>
            </w: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23</w:t>
            </w:r>
          </w:p>
        </w:tc>
        <w:tc>
          <w:tcPr>
            <w:tcW w:w="1496" w:type="dxa"/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Тарифы / Docs</w:t>
            </w:r>
          </w:p>
        </w:tc>
        <w:tc>
          <w:tcPr>
            <w:tcW w:w="11098" w:type="dxa"/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Доработать «синий бланк» (объединить пункты) и направить на согласование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Елизавета</w:t>
            </w: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24</w:t>
            </w:r>
          </w:p>
        </w:tc>
        <w:tc>
          <w:tcPr>
            <w:tcW w:w="1496" w:type="dxa"/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Тарифы / Docs</w:t>
            </w:r>
          </w:p>
        </w:tc>
        <w:tc>
          <w:tcPr>
            <w:tcW w:w="11098" w:type="dxa"/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Обеспечить автозаполнение бланков в </w:t>
            </w:r>
            <w:r w:rsidRPr="00BD0231">
              <w:rPr>
                <w:rFonts w:eastAsia="Calibri"/>
                <w:color w:val="1A1A1A"/>
                <w:sz w:val="24"/>
                <w:szCs w:val="24"/>
              </w:rPr>
              <w:t>Digital</w:t>
            </w: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</w:t>
            </w:r>
            <w:r w:rsidRPr="00BD0231">
              <w:rPr>
                <w:rFonts w:eastAsia="Calibri"/>
                <w:color w:val="1A1A1A"/>
                <w:sz w:val="24"/>
                <w:szCs w:val="24"/>
              </w:rPr>
              <w:t>Office</w:t>
            </w: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после выхода приказа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Елизавета</w:t>
            </w:r>
          </w:p>
        </w:tc>
      </w:tr>
    </w:tbl>
    <w:p w:rsidR="00B30313" w:rsidRPr="00BD0231" w:rsidRDefault="00B30313">
      <w:pPr>
        <w:spacing w:before="140"/>
        <w:rPr>
          <w:sz w:val="24"/>
          <w:szCs w:val="24"/>
        </w:rPr>
      </w:pPr>
    </w:p>
    <w:sectPr w:rsidR="00B30313" w:rsidRPr="00BD0231" w:rsidSect="00BD0231">
      <w:pgSz w:w="16838" w:h="11906" w:orient="landscape"/>
      <w:pgMar w:top="60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234EF8"/>
    <w:multiLevelType w:val="hybridMultilevel"/>
    <w:tmpl w:val="89724F50"/>
    <w:lvl w:ilvl="0" w:tplc="1C541C9A">
      <w:start w:val="1"/>
      <w:numFmt w:val="bullet"/>
      <w:lvlText w:val="●"/>
      <w:lvlJc w:val="left"/>
      <w:pPr>
        <w:ind w:left="720" w:hanging="360"/>
      </w:pPr>
    </w:lvl>
    <w:lvl w:ilvl="1" w:tplc="8786886E">
      <w:start w:val="1"/>
      <w:numFmt w:val="bullet"/>
      <w:lvlText w:val="○"/>
      <w:lvlJc w:val="left"/>
      <w:pPr>
        <w:ind w:left="1440" w:hanging="360"/>
      </w:pPr>
    </w:lvl>
    <w:lvl w:ilvl="2" w:tplc="60CA8350">
      <w:start w:val="1"/>
      <w:numFmt w:val="bullet"/>
      <w:lvlText w:val="■"/>
      <w:lvlJc w:val="left"/>
      <w:pPr>
        <w:ind w:left="2160" w:hanging="360"/>
      </w:pPr>
    </w:lvl>
    <w:lvl w:ilvl="3" w:tplc="F2EAA01C">
      <w:start w:val="1"/>
      <w:numFmt w:val="bullet"/>
      <w:lvlText w:val="●"/>
      <w:lvlJc w:val="left"/>
      <w:pPr>
        <w:ind w:left="2880" w:hanging="360"/>
      </w:pPr>
    </w:lvl>
    <w:lvl w:ilvl="4" w:tplc="EDDC94A2">
      <w:start w:val="1"/>
      <w:numFmt w:val="bullet"/>
      <w:lvlText w:val="○"/>
      <w:lvlJc w:val="left"/>
      <w:pPr>
        <w:ind w:left="3600" w:hanging="360"/>
      </w:pPr>
    </w:lvl>
    <w:lvl w:ilvl="5" w:tplc="A0D49192">
      <w:start w:val="1"/>
      <w:numFmt w:val="bullet"/>
      <w:lvlText w:val="■"/>
      <w:lvlJc w:val="left"/>
      <w:pPr>
        <w:ind w:left="4320" w:hanging="360"/>
      </w:pPr>
    </w:lvl>
    <w:lvl w:ilvl="6" w:tplc="39CA810E">
      <w:start w:val="1"/>
      <w:numFmt w:val="bullet"/>
      <w:lvlText w:val="●"/>
      <w:lvlJc w:val="left"/>
      <w:pPr>
        <w:ind w:left="5040" w:hanging="360"/>
      </w:pPr>
    </w:lvl>
    <w:lvl w:ilvl="7" w:tplc="688E6774">
      <w:start w:val="1"/>
      <w:numFmt w:val="bullet"/>
      <w:lvlText w:val="●"/>
      <w:lvlJc w:val="left"/>
      <w:pPr>
        <w:ind w:left="5760" w:hanging="360"/>
      </w:pPr>
    </w:lvl>
    <w:lvl w:ilvl="8" w:tplc="304EA1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313"/>
    <w:rsid w:val="00423A72"/>
    <w:rsid w:val="00B30313"/>
    <w:rsid w:val="00BD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6D8E671-12BA-4097-964F-E5764BD24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BD0231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D02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Ибрагимова Алия</cp:lastModifiedBy>
  <cp:revision>2</cp:revision>
  <cp:lastPrinted>2026-08-27T11:26:00Z</cp:lastPrinted>
  <dcterms:created xsi:type="dcterms:W3CDTF">2026-08-27T11:48:00Z</dcterms:created>
  <dcterms:modified xsi:type="dcterms:W3CDTF">2026-08-27T11:48:00Z</dcterms:modified>
</cp:coreProperties>
</file>