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val="0"/>
          <w:i w:val="0"/>
          <w:color w:val="606060"/>
          <w:sz w:val="24"/>
        </w:rPr>
        <w:t>Final Project Report</w:t>
      </w:r>
    </w:p>
    <w:p>
      <w:pPr>
        <w:spacing w:after="120"/>
        <w:jc w:val="center"/>
      </w:pPr>
      <w:r>
        <w:rPr>
          <w:b/>
          <w:color w:val="14548C"/>
          <w:sz w:val="56"/>
        </w:rPr>
        <w:t>Predicting Road Accident Severity in the UK</w:t>
      </w:r>
    </w:p>
    <w:p>
      <w:pPr>
        <w:spacing w:after="360"/>
        <w:jc w:val="center"/>
      </w:pPr>
      <w:r>
        <w:rPr>
          <w:i/>
          <w:color w:val="2E74B5"/>
          <w:sz w:val="32"/>
        </w:rPr>
        <w:t>A Multi-Source Machine Learning Approach</w:t>
      </w:r>
    </w:p>
    <w:p>
      <w:pPr>
        <w:spacing w:after="40"/>
        <w:pBdr>
          <w:bottom w:val="single" w:sz="8" w:space="1" w:color="2E74B5"/>
        </w:pBdr>
      </w:pPr>
    </w:p>
    <w:p>
      <w:pPr>
        <w:spacing w:after="80"/>
        <w:jc w:val="center"/>
      </w:pPr>
      <w:r>
        <w:rPr>
          <w:b w:val="0"/>
          <w:i w:val="0"/>
          <w:sz w:val="23"/>
        </w:rPr>
        <w:t>Course: Project in Artificial Intelligence (02360502)</w:t>
      </w:r>
    </w:p>
    <w:p>
      <w:pPr>
        <w:spacing w:after="80"/>
        <w:jc w:val="center"/>
      </w:pPr>
      <w:r>
        <w:rPr>
          <w:b w:val="0"/>
          <w:i w:val="0"/>
          <w:sz w:val="23"/>
        </w:rPr>
        <w:t>Semester: Spring 2026</w:t>
      </w:r>
    </w:p>
    <w:p>
      <w:pPr>
        <w:spacing w:after="80"/>
        <w:jc w:val="center"/>
      </w:pPr>
      <w:r>
        <w:rPr>
          <w:b w:val="0"/>
          <w:i w:val="0"/>
          <w:sz w:val="23"/>
        </w:rPr>
        <w:t>Student 1: Ibraheem Akaree  |  ID: 212930846  |  ibraheema@campus.technion.ac.il</w:t>
      </w:r>
    </w:p>
    <w:p>
      <w:pPr>
        <w:spacing w:after="80"/>
        <w:jc w:val="center"/>
      </w:pPr>
      <w:r>
        <w:rPr>
          <w:b w:val="0"/>
          <w:i w:val="0"/>
          <w:sz w:val="23"/>
        </w:rPr>
        <w:t>Student 2: Sewar Abahry  |  ID: 325345734  |  sewar.abahry@campus.technion.ac.il</w:t>
      </w:r>
    </w:p>
    <w:p>
      <w:pPr>
        <w:spacing w:after="80"/>
        <w:jc w:val="center"/>
      </w:pPr>
      <w:r>
        <w:rPr>
          <w:b w:val="0"/>
          <w:i w:val="0"/>
          <w:sz w:val="23"/>
        </w:rPr>
        <w:t>Advisor: Yotam Gavish</w:t>
      </w:r>
    </w:p>
    <w:p>
      <w:pPr>
        <w:spacing w:after="160"/>
      </w:pPr>
    </w:p>
    <w:p>
      <w:pPr>
        <w:spacing w:after="160"/>
        <w:jc w:val="center"/>
      </w:pPr>
      <w:r>
        <w:rPr>
          <w:b w:val="0"/>
          <w:i/>
          <w:color w:val="606060"/>
          <w:sz w:val="20"/>
        </w:rPr>
        <w:t>This report supersedes the project proposal (docs/project_proposal.pdf) with the system as actually built and evaluated: the data pipeline, the eight frozen XGBoost severity classifiers, and the experimental results gathered to date. The Active Feature Acquisition reinforcement-learning agent described in the proposal is a designed but not-yet-implemented extension; its status is stated explicitly in Section 5.</w:t>
      </w:r>
    </w:p>
    <w:p>
      <w:r>
        <w:br w:type="page"/>
      </w:r>
    </w:p>
    <w:p>
      <w:pPr>
        <w:pStyle w:val="Heading1"/>
      </w:pPr>
      <w:r>
        <w:rPr>
          <w:b/>
          <w:color w:val="14548C"/>
          <w:sz w:val="40"/>
        </w:rPr>
        <w:t>Table of Contents</w:t>
      </w:r>
    </w:p>
    <w:p>
      <w:r>
        <w:fldChar w:fldCharType="begin"/>
        <w:instrText xml:space="preserve">TOC \o "1-3" \h \z \u</w:instrText>
        <w:fldChar w:fldCharType="separate"/>
        <w:t>Right-click and choose “Update Field” to generate the table of contents.</w:t>
        <w:fldChar w:fldCharType="end"/>
      </w:r>
    </w:p>
    <w:p>
      <w:r>
        <w:br w:type="page"/>
      </w:r>
    </w:p>
    <w:p>
      <w:pPr>
        <w:pStyle w:val="Heading1"/>
      </w:pPr>
      <w:r>
        <w:rPr>
          <w:b/>
          <w:color w:val="14548C"/>
          <w:sz w:val="40"/>
        </w:rPr>
        <w:t>1. Introduction</w:t>
      </w:r>
    </w:p>
    <w:p>
      <w:pPr>
        <w:pStyle w:val="Heading2"/>
      </w:pPr>
      <w:r>
        <w:rPr>
          <w:b/>
          <w:color w:val="14548C"/>
          <w:sz w:val="30"/>
        </w:rPr>
        <w:t>1.1 Problem Statement</w:t>
      </w:r>
    </w:p>
    <w:p>
      <w:pPr>
        <w:spacing w:after="160"/>
      </w:pPr>
      <w:r>
        <w:rPr>
          <w:b w:val="0"/>
          <w:i w:val="0"/>
          <w:sz w:val="22"/>
        </w:rPr>
        <w:t>Road traffic accidents impose a significant burden on emergency services, healthcare systems, and public safety infrastructure. In Great Britain alone, tens of thousands of personal-injury accidents are recorded annually by the police. When an accident is reported to emergency services, dispatchers must decide within seconds, and with incomplete information, what level of response to send: a single patrol car, an ambulance, or a full emergency response team.</w:t>
      </w:r>
    </w:p>
    <w:p>
      <w:pPr>
        <w:spacing w:after="160"/>
      </w:pPr>
      <w:r>
        <w:rPr>
          <w:b w:val="0"/>
          <w:i w:val="0"/>
          <w:sz w:val="22"/>
        </w:rPr>
        <w:t>This project addresses the question: given only the information available in the first moments after a 999 call — location, time, road type, and whatever the caller can report — can accident severity be predicted accurately enough to be useful for dispatch? A reliable severity predictor at dispatch centres could help optimise emergency resource allocation, reduce response times for the most serious accidents, and ultimately save lives.</w:t>
      </w:r>
    </w:p>
    <w:p>
      <w:pPr>
        <w:pStyle w:val="Heading2"/>
      </w:pPr>
      <w:r>
        <w:rPr>
          <w:b/>
          <w:color w:val="14548C"/>
          <w:sz w:val="30"/>
        </w:rPr>
        <w:t>1.2 Approach</w:t>
      </w:r>
    </w:p>
    <w:p>
      <w:pPr>
        <w:spacing w:after="160"/>
      </w:pPr>
      <w:r>
        <w:rPr>
          <w:b w:val="0"/>
          <w:i w:val="0"/>
          <w:sz w:val="22"/>
        </w:rPr>
        <w:t>The problem is cast as supervised classification over the STATS19 collision_severity label (Fatal / Serious / Slight, and a binary Slight-vs-Severe collapse). Rather than relying on STATS19 alone, every accident record is enriched with three external, non-trivially-joined data sources — OpenStreetMap road infrastructure, DfT AADF traffic volume, and Open-Meteo historical weather — each of which may or may not be available, or worth the latency, at dispatch time. Eight classifiers are trained, one per subset of the three external sources, so that whichever combination of sources happens to be available at inference time, a matching model exists. The long-term goal (Section 5) is a reinforcement-learning agent that decides at runtime which of the three sources are worth acquiring before invoking the matching classifier; that agent is not yet built, and the classifiers described in this report are the environment it will eventually sit on top of.</w:t>
      </w:r>
    </w:p>
    <w:p>
      <w:r>
        <w:br w:type="page"/>
      </w:r>
    </w:p>
    <w:p>
      <w:pPr>
        <w:pStyle w:val="Heading1"/>
      </w:pPr>
      <w:r>
        <w:rPr>
          <w:b/>
          <w:color w:val="14548C"/>
          <w:sz w:val="40"/>
        </w:rPr>
        <w:t>2. Data Pipeline &amp; Dataset Construction</w:t>
      </w:r>
    </w:p>
    <w:p>
      <w:pPr>
        <w:spacing w:after="160"/>
      </w:pPr>
      <w:r>
        <w:rPr>
          <w:b w:val="0"/>
          <w:i w:val="0"/>
          <w:sz w:val="22"/>
        </w:rPr>
        <w:t>The predictive features are drawn from four sources: STATS19, the UK Department for Transport's official road-accident database, which supplies the primary records and the severity label; DfT AADF, annual traffic-volume counts joined to each accident by nearest count point; OpenStreetMap, road-infrastructure detail (speed cameras, lane count, medians) pulled via the Overpass API and Geofabrik extracts; and Open-Meteo, objective historical weather at the accident's exact location and hour, replacing STATS19's subjective officer-recorded weather field. STATS19, AADF, and OpenStreetMap are free; Open-Meteo requires a paid Professional plan (€99) for reliable historical-data volume. The pipeline below folds all four into a single feature table stage by stage.</w:t>
      </w:r>
    </w:p>
    <w:p>
      <w:pPr>
        <w:spacing w:after="160"/>
      </w:pPr>
      <w:r>
        <w:rPr>
          <w:b w:val="0"/>
          <w:i w:val="0"/>
          <w:sz w:val="22"/>
        </w:rPr>
        <w:t>The full pipeline is a strict linear chain of CSV-in/CSV-out R stages, orchestrated by CODE/run_pipeline.R and documented in detail in docs/data_pipeline.md. Each stage is named after the sources folded in so far: stats19 → stats19+aadf → stats19+aadf+osm → ...+meteo → ...+risk → ...+cas, after which the table is split into train/valid/test, normalized, and expanded into masked copies for partial-observability training.</w:t>
      </w:r>
    </w:p>
    <w:p>
      <w:pPr>
        <w:pStyle w:val="Heading2"/>
      </w:pPr>
      <w:r>
        <w:rPr>
          <w:b/>
          <w:color w:val="14548C"/>
          <w:sz w:val="30"/>
        </w:rPr>
        <w:t>2.1 Severity-Aware Sampling</w:t>
      </w:r>
    </w:p>
    <w:p>
      <w:pPr>
        <w:spacing w:after="160"/>
      </w:pPr>
      <w:r>
        <w:rPr>
          <w:b w:val="0"/>
          <w:i w:val="0"/>
          <w:sz w:val="22"/>
        </w:rPr>
        <w:t>STATS19 is heavily imbalanced toward Slight-injury collisions in the real population. stats19_download.R downloads accident years 2016–2025 and applies a deliberate, disclosed sampling policy: every Fatal collision is kept, while Serious and Slight collisions are capped per year (SERIOUS_CAP / SLIGHT_CAP). This class-balance choice is central to the project's reported metrics and has been revisited twice; the current configuration and its history are summarised below.</w:t>
      </w:r>
    </w:p>
    <w:p>
      <w:pPr>
        <w:pStyle w:val="Heading2"/>
      </w:pPr>
      <w:r>
        <w:rPr>
          <w:b/>
          <w:color w:val="14548C"/>
          <w:sz w:val="30"/>
        </w:rPr>
        <w:t>2.2 Dataset-Difficulty History</w:t>
      </w:r>
    </w:p>
    <w:p>
      <w:pPr>
        <w:spacing w:after="160"/>
      </w:pPr>
      <w:r>
        <w:rPr>
          <w:b w:val="0"/>
          <w:i w:val="0"/>
          <w:sz w:val="22"/>
        </w:rPr>
        <w:t>Macro F1 on the binary Slight-vs-Severe task turns out to depend primarily on what fraction of the Severe class is Fatal — Fatal collisions are comparatively easy to classify, while Serious-vs-Slight is the genuinely hard boundary — which the Serious/Slight caps directly control. Three configurations have been built and evaluated:</w:t>
      </w:r>
    </w:p>
    <w:tbl>
      <w:tblPr>
        <w:tblStyle w:val="TableGrid"/>
        <w:tblW w:type="auto" w:w="0"/>
        <w:jc w:val="center"/>
        <w:tblLayout w:type="autofit"/>
        <w:tblLook w:firstColumn="1" w:firstRow="1" w:lastColumn="0" w:lastRow="0" w:noHBand="0" w:noVBand="1" w:val="04A0"/>
      </w:tblPr>
      <w:tblGrid>
        <w:gridCol w:w="1949"/>
        <w:gridCol w:w="1949"/>
        <w:gridCol w:w="1949"/>
        <w:gridCol w:w="1949"/>
        <w:gridCol w:w="1949"/>
      </w:tblGrid>
      <w:tr>
        <w:tc>
          <w:tcPr>
            <w:tcW w:type="dxa" w:w="2381"/>
            <w:shd w:val="clear" w:color="auto" w:fill="14548C"/>
          </w:tcPr>
          <w:p>
            <w:r/>
            <w:r>
              <w:rPr>
                <w:b/>
                <w:color w:val="FFFFFF"/>
                <w:sz w:val="20"/>
              </w:rPr>
              <w:t>Config</w:t>
            </w:r>
          </w:p>
        </w:tc>
        <w:tc>
          <w:tcPr>
            <w:tcW w:type="dxa" w:w="2268"/>
            <w:shd w:val="clear" w:color="auto" w:fill="14548C"/>
          </w:tcPr>
          <w:p>
            <w:r/>
            <w:r>
              <w:rPr>
                <w:b/>
                <w:color w:val="FFFFFF"/>
                <w:sz w:val="20"/>
              </w:rPr>
              <w:t>Caps (Serious / Slight)</w:t>
            </w:r>
          </w:p>
        </w:tc>
        <w:tc>
          <w:tcPr>
            <w:tcW w:type="dxa" w:w="1587"/>
            <w:shd w:val="clear" w:color="auto" w:fill="14548C"/>
          </w:tcPr>
          <w:p>
            <w:r/>
            <w:r>
              <w:rPr>
                <w:b/>
                <w:color w:val="FFFFFF"/>
                <w:sz w:val="20"/>
              </w:rPr>
              <w:t>Collisions</w:t>
            </w:r>
          </w:p>
        </w:tc>
        <w:tc>
          <w:tcPr>
            <w:tcW w:type="dxa" w:w="1984"/>
            <w:shd w:val="clear" w:color="auto" w:fill="14548C"/>
          </w:tcPr>
          <w:p>
            <w:r/>
            <w:r>
              <w:rPr>
                <w:b/>
                <w:color w:val="FFFFFF"/>
                <w:sz w:val="20"/>
              </w:rPr>
              <w:t>Fatal-of-Severe</w:t>
            </w:r>
          </w:p>
        </w:tc>
        <w:tc>
          <w:tcPr>
            <w:tcW w:type="dxa" w:w="1417"/>
            <w:shd w:val="clear" w:color="auto" w:fill="14548C"/>
          </w:tcPr>
          <w:p>
            <w:r/>
            <w:r>
              <w:rPr>
                <w:b/>
                <w:color w:val="FFFFFF"/>
                <w:sz w:val="20"/>
              </w:rPr>
              <w:t>Test macro F1</w:t>
            </w:r>
          </w:p>
        </w:tc>
      </w:tr>
      <w:tr>
        <w:tc>
          <w:tcPr>
            <w:tcW w:type="dxa" w:w="2381"/>
          </w:tcPr>
          <w:p>
            <w:r/>
            <w:r>
              <w:rPr>
                <w:sz w:val="20"/>
              </w:rPr>
              <w:t>1 — original</w:t>
            </w:r>
          </w:p>
        </w:tc>
        <w:tc>
          <w:tcPr>
            <w:tcW w:type="dxa" w:w="2268"/>
          </w:tcPr>
          <w:p>
            <w:r/>
            <w:r>
              <w:rPr>
                <w:sz w:val="20"/>
              </w:rPr>
              <w:t>2,800 / 5,600</w:t>
            </w:r>
          </w:p>
        </w:tc>
        <w:tc>
          <w:tcPr>
            <w:tcW w:type="dxa" w:w="1587"/>
          </w:tcPr>
          <w:p>
            <w:r/>
            <w:r>
              <w:rPr>
                <w:sz w:val="20"/>
              </w:rPr>
              <w:t>89,791</w:t>
            </w:r>
          </w:p>
        </w:tc>
        <w:tc>
          <w:tcPr>
            <w:tcW w:type="dxa" w:w="1984"/>
          </w:tcPr>
          <w:p>
            <w:r/>
            <w:r>
              <w:rPr>
                <w:sz w:val="20"/>
              </w:rPr>
              <w:t>36.0%</w:t>
            </w:r>
          </w:p>
        </w:tc>
        <w:tc>
          <w:tcPr>
            <w:tcW w:type="dxa" w:w="1417"/>
          </w:tcPr>
          <w:p>
            <w:r/>
            <w:r>
              <w:rPr>
                <w:sz w:val="20"/>
              </w:rPr>
              <w:t>0.6967</w:t>
            </w:r>
          </w:p>
        </w:tc>
      </w:tr>
      <w:tr>
        <w:tc>
          <w:tcPr>
            <w:tcW w:type="dxa" w:w="2381"/>
          </w:tcPr>
          <w:p>
            <w:r/>
            <w:r>
              <w:rPr>
                <w:sz w:val="20"/>
              </w:rPr>
              <w:t>2 — scale-up (reverted)</w:t>
            </w:r>
          </w:p>
        </w:tc>
        <w:tc>
          <w:tcPr>
            <w:tcW w:type="dxa" w:w="2268"/>
          </w:tcPr>
          <w:p>
            <w:r/>
            <w:r>
              <w:rPr>
                <w:sz w:val="20"/>
              </w:rPr>
              <w:t>25,000 / 22,400</w:t>
            </w:r>
          </w:p>
        </w:tc>
        <w:tc>
          <w:tcPr>
            <w:tcW w:type="dxa" w:w="1587"/>
          </w:tcPr>
          <w:p>
            <w:r/>
            <w:r>
              <w:rPr>
                <w:sz w:val="20"/>
              </w:rPr>
              <w:t>415,550</w:t>
            </w:r>
          </w:p>
        </w:tc>
        <w:tc>
          <w:tcPr>
            <w:tcW w:type="dxa" w:w="1984"/>
          </w:tcPr>
          <w:p>
            <w:r/>
            <w:r>
              <w:rPr>
                <w:sz w:val="20"/>
              </w:rPr>
              <w:t>6.6% (≈ real population)</w:t>
            </w:r>
          </w:p>
        </w:tc>
        <w:tc>
          <w:tcPr>
            <w:tcW w:type="dxa" w:w="1417"/>
          </w:tcPr>
          <w:p>
            <w:r/>
            <w:r>
              <w:rPr>
                <w:sz w:val="20"/>
              </w:rPr>
              <w:t>0.6704</w:t>
            </w:r>
          </w:p>
        </w:tc>
      </w:tr>
      <w:tr>
        <w:tc>
          <w:tcPr>
            <w:tcW w:type="dxa" w:w="2381"/>
          </w:tcPr>
          <w:p>
            <w:r/>
            <w:r>
              <w:rPr>
                <w:sz w:val="20"/>
              </w:rPr>
              <w:t>3 — current (active)</w:t>
            </w:r>
          </w:p>
        </w:tc>
        <w:tc>
          <w:tcPr>
            <w:tcW w:type="dxa" w:w="2268"/>
          </w:tcPr>
          <w:p>
            <w:r/>
            <w:r>
              <w:rPr>
                <w:sz w:val="20"/>
              </w:rPr>
              <w:t>1,400 / 2,800</w:t>
            </w:r>
          </w:p>
        </w:tc>
        <w:tc>
          <w:tcPr>
            <w:tcW w:type="dxa" w:w="1587"/>
          </w:tcPr>
          <w:p>
            <w:r/>
            <w:r>
              <w:rPr>
                <w:sz w:val="20"/>
              </w:rPr>
              <w:t>51,989</w:t>
            </w:r>
          </w:p>
        </w:tc>
        <w:tc>
          <w:tcPr>
            <w:tcW w:type="dxa" w:w="1984"/>
          </w:tcPr>
          <w:p>
            <w:r/>
            <w:r>
              <w:rPr>
                <w:sz w:val="20"/>
              </w:rPr>
              <w:t>53.0%</w:t>
            </w:r>
          </w:p>
        </w:tc>
        <w:tc>
          <w:tcPr>
            <w:tcW w:type="dxa" w:w="1417"/>
          </w:tcPr>
          <w:p>
            <w:r/>
            <w:r>
              <w:rPr>
                <w:sz w:val="20"/>
              </w:rPr>
              <w:t>0.7322</w:t>
            </w:r>
          </w:p>
        </w:tc>
      </w:tr>
    </w:tbl>
    <w:p>
      <w:pPr>
        <w:spacing w:after="80"/>
      </w:pPr>
    </w:p>
    <w:p>
      <w:pPr>
        <w:spacing w:after="160"/>
      </w:pPr>
      <w:r>
        <w:rPr>
          <w:b w:val="0"/>
          <w:i w:val="0"/>
          <w:sz w:val="22"/>
        </w:rPr>
        <w:t>Config 2 was a deliberate attempt to build a near-population-realistic benchmark (4.6× more data, Fatal-of-Severe close to the true ~7%): it produced a harder, more representative dataset on which macro F1 fell despite additional tuning and new features. A cap-sweep across seven configurations confirmed that score tracks Fatal-of-Severe share monotonically rather than dataset size — larger datasets scored worse here because every added row was a hard Serious case. Config 3, the currently active dataset, was then built by subsampling the archived config-2 data down to half the original caps, explicitly to buy a macro F1 above 0.70. This is a legitimate but material choice: Fatal is ≈53% of Severe in the active dataset against ≈7% in the real population, so every macro-F1 figure in this report should be read as a score on that benchmark, not an estimate of field performance (Section 6.6 discusses the population-realistic reconstruction). All three configs' data are preserved on disk / in git history for reproducibility.</w:t>
      </w:r>
    </w:p>
    <w:p>
      <w:pPr>
        <w:pStyle w:val="Heading2"/>
      </w:pPr>
      <w:r>
        <w:rPr>
          <w:b/>
          <w:color w:val="14548C"/>
          <w:sz w:val="30"/>
        </w:rPr>
        <w:t>2.3 Feature Engineering</w:t>
      </w:r>
    </w:p>
    <w:p>
      <w:pPr>
        <w:spacing w:after="160"/>
      </w:pPr>
      <w:r>
        <w:rPr>
          <w:b w:val="0"/>
          <w:i w:val="0"/>
          <w:sz w:val="22"/>
        </w:rPr>
        <w:t>Starting from the STATS19 fields available at call time, the pipeline successively adds vehicle-type flags, the AADF/OSM/Open-Meteo external features, spatial risk-density features, and dispatch-time casualty features, arriving at a 61-column combined table (89,779 rows in the reference pipeline run).</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2041"/>
            <w:shd w:val="clear" w:color="auto" w:fill="14548C"/>
          </w:tcPr>
          <w:p>
            <w:r/>
            <w:r>
              <w:rPr>
                <w:b/>
                <w:color w:val="FFFFFF"/>
                <w:sz w:val="20"/>
              </w:rPr>
              <w:t>Stage</w:t>
            </w:r>
          </w:p>
        </w:tc>
        <w:tc>
          <w:tcPr>
            <w:tcW w:type="dxa" w:w="3402"/>
            <w:shd w:val="clear" w:color="auto" w:fill="14548C"/>
          </w:tcPr>
          <w:p>
            <w:r/>
            <w:r>
              <w:rPr>
                <w:b/>
                <w:color w:val="FFFFFF"/>
                <w:sz w:val="20"/>
              </w:rPr>
              <w:t>Adds</w:t>
            </w:r>
          </w:p>
        </w:tc>
        <w:tc>
          <w:tcPr>
            <w:tcW w:type="dxa" w:w="3118"/>
            <w:shd w:val="clear" w:color="auto" w:fill="14548C"/>
          </w:tcPr>
          <w:p>
            <w:r/>
            <w:r>
              <w:rPr>
                <w:b/>
                <w:color w:val="FFFFFF"/>
                <w:sz w:val="20"/>
              </w:rPr>
              <w:t>Notes</w:t>
            </w:r>
          </w:p>
        </w:tc>
      </w:tr>
      <w:tr>
        <w:tc>
          <w:tcPr>
            <w:tcW w:type="dxa" w:w="2041"/>
          </w:tcPr>
          <w:p>
            <w:r/>
            <w:r>
              <w:rPr>
                <w:sz w:val="20"/>
              </w:rPr>
              <w:t>STATS19 realtime (collisions)</w:t>
            </w:r>
          </w:p>
        </w:tc>
        <w:tc>
          <w:tcPr>
            <w:tcW w:type="dxa" w:w="3402"/>
          </w:tcPr>
          <w:p>
            <w:r/>
            <w:r>
              <w:rPr>
                <w:sz w:val="20"/>
              </w:rPr>
              <w:t>14 ML features (road type, junction, speed limit, time, …)</w:t>
            </w:r>
          </w:p>
        </w:tc>
        <w:tc>
          <w:tcPr>
            <w:tcW w:type="dxa" w:w="3118"/>
          </w:tcPr>
          <w:p>
            <w:r/>
            <w:r>
              <w:rPr>
                <w:sz w:val="20"/>
              </w:rPr>
              <w:t>Only fields available before post-collision investigation</w:t>
            </w:r>
          </w:p>
        </w:tc>
      </w:tr>
      <w:tr>
        <w:tc>
          <w:tcPr>
            <w:tcW w:type="dxa" w:w="2041"/>
          </w:tcPr>
          <w:p>
            <w:r/>
            <w:r>
              <w:rPr>
                <w:sz w:val="20"/>
              </w:rPr>
              <w:t>STATS19 realtime (vehicles)</w:t>
            </w:r>
          </w:p>
        </w:tc>
        <w:tc>
          <w:tcPr>
            <w:tcW w:type="dxa" w:w="3402"/>
          </w:tcPr>
          <w:p>
            <w:r/>
            <w:r>
              <w:rPr>
                <w:sz w:val="20"/>
              </w:rPr>
              <w:t>7 vehicle-type flags (has_hgv, has_car, …)</w:t>
            </w:r>
          </w:p>
        </w:tc>
        <w:tc>
          <w:tcPr>
            <w:tcW w:type="dxa" w:w="3118"/>
          </w:tcPr>
          <w:p>
            <w:r/>
            <w:r>
              <w:rPr>
                <w:sz w:val="20"/>
              </w:rPr>
              <w:t>Aggregated from one-row-per-vehicle via multi-hot flags</w:t>
            </w:r>
          </w:p>
        </w:tc>
      </w:tr>
      <w:tr>
        <w:tc>
          <w:tcPr>
            <w:tcW w:type="dxa" w:w="2041"/>
          </w:tcPr>
          <w:p>
            <w:r/>
            <w:r>
              <w:rPr>
                <w:sz w:val="20"/>
              </w:rPr>
              <w:t>AADF join</w:t>
            </w:r>
          </w:p>
        </w:tc>
        <w:tc>
          <w:tcPr>
            <w:tcW w:type="dxa" w:w="3402"/>
          </w:tcPr>
          <w:p>
            <w:r/>
            <w:r>
              <w:rPr>
                <w:sz w:val="20"/>
              </w:rPr>
              <w:t>aadf_traffic_volume, aadf_distance_m, aadf_match_type</w:t>
            </w:r>
          </w:p>
        </w:tc>
        <w:tc>
          <w:tcPr>
            <w:tcW w:type="dxa" w:w="3118"/>
          </w:tcPr>
          <w:p>
            <w:r/>
            <w:r>
              <w:rPr>
                <w:sz w:val="20"/>
              </w:rPr>
              <w:t>Nearest count point on the same road, falling back to nearest overall</w:t>
            </w:r>
          </w:p>
        </w:tc>
      </w:tr>
      <w:tr>
        <w:tc>
          <w:tcPr>
            <w:tcW w:type="dxa" w:w="2041"/>
          </w:tcPr>
          <w:p>
            <w:r/>
            <w:r>
              <w:rPr>
                <w:sz w:val="20"/>
              </w:rPr>
              <w:t>OSM join</w:t>
            </w:r>
          </w:p>
        </w:tc>
        <w:tc>
          <w:tcPr>
            <w:tcW w:type="dxa" w:w="3402"/>
          </w:tcPr>
          <w:p>
            <w:r/>
            <w:r>
              <w:rPr>
                <w:sz w:val="20"/>
              </w:rPr>
              <w:t>has_speed_camera, has_traffic_calming, has_traffic_signals, lane_count, has_median</w:t>
            </w:r>
          </w:p>
        </w:tc>
        <w:tc>
          <w:tcPr>
            <w:tcW w:type="dxa" w:w="3118"/>
          </w:tcPr>
          <w:p>
            <w:r/>
            <w:r>
              <w:rPr>
                <w:sz w:val="20"/>
              </w:rPr>
              <w:t>Two-stage ref-then-nearest road matching; 100% coverage</w:t>
            </w:r>
          </w:p>
        </w:tc>
      </w:tr>
      <w:tr>
        <w:tc>
          <w:tcPr>
            <w:tcW w:type="dxa" w:w="2041"/>
          </w:tcPr>
          <w:p>
            <w:r/>
            <w:r>
              <w:rPr>
                <w:sz w:val="20"/>
              </w:rPr>
              <w:t>Open-Meteo join</w:t>
            </w:r>
          </w:p>
        </w:tc>
        <w:tc>
          <w:tcPr>
            <w:tcW w:type="dxa" w:w="3402"/>
          </w:tcPr>
          <w:p>
            <w:r/>
            <w:r>
              <w:rPr>
                <w:sz w:val="20"/>
              </w:rPr>
              <w:t>temperature_2m_c, precipitation_mm, wind_speed_10m_kmh, weather_code, snowfall_cm, snow_depth_m</w:t>
            </w:r>
          </w:p>
        </w:tc>
        <w:tc>
          <w:tcPr>
            <w:tcW w:type="dxa" w:w="3118"/>
          </w:tcPr>
          <w:p>
            <w:r/>
            <w:r>
              <w:rPr>
                <w:sz w:val="20"/>
              </w:rPr>
              <w:t>Batched by date; objective replacement for the subjective STATS19 weather field</w:t>
            </w:r>
          </w:p>
        </w:tc>
      </w:tr>
      <w:tr>
        <w:tc>
          <w:tcPr>
            <w:tcW w:type="dxa" w:w="2041"/>
          </w:tcPr>
          <w:p>
            <w:r/>
            <w:r>
              <w:rPr>
                <w:sz w:val="20"/>
              </w:rPr>
              <w:t>Risk-density</w:t>
            </w:r>
          </w:p>
        </w:tc>
        <w:tc>
          <w:tcPr>
            <w:tcW w:type="dxa" w:w="3402"/>
          </w:tcPr>
          <w:p>
            <w:r/>
            <w:r>
              <w:rPr>
                <w:sz w:val="20"/>
              </w:rPr>
              <w:t>hist_acc_rate_500m, hist_severe_frac_500m, hist_fatal_rate_500m, dist_to_nearest_hist_acc_m</w:t>
            </w:r>
          </w:p>
        </w:tc>
        <w:tc>
          <w:tcPr>
            <w:tcW w:type="dxa" w:w="3118"/>
          </w:tcPr>
          <w:p>
            <w:r/>
            <w:r>
              <w:rPr>
                <w:sz w:val="20"/>
              </w:rPr>
              <w:t>Computed only from strictly prior-year accidents — no leakage; +0.005 macro F1</w:t>
            </w:r>
          </w:p>
        </w:tc>
      </w:tr>
      <w:tr>
        <w:tc>
          <w:tcPr>
            <w:tcW w:type="dxa" w:w="2041"/>
          </w:tcPr>
          <w:p>
            <w:r/>
            <w:r>
              <w:rPr>
                <w:sz w:val="20"/>
              </w:rPr>
              <w:t>Dispatch-time casualties</w:t>
            </w:r>
          </w:p>
        </w:tc>
        <w:tc>
          <w:tcPr>
            <w:tcW w:type="dxa" w:w="3402"/>
          </w:tcPr>
          <w:p>
            <w:r/>
            <w:r>
              <w:rPr>
                <w:sz w:val="20"/>
              </w:rPr>
              <w:t>n_casualties, n_pedestrian_casualties, youngest/oldest_casualty_age</w:t>
            </w:r>
          </w:p>
        </w:tc>
        <w:tc>
          <w:tcPr>
            <w:tcW w:type="dxa" w:w="3118"/>
          </w:tcPr>
          <w:p>
            <w:r/>
            <w:r>
              <w:rPr>
                <w:sz w:val="20"/>
              </w:rPr>
              <w:t>Single largest accuracy gain in the project (Section 6.3)</w:t>
            </w:r>
          </w:p>
        </w:tc>
      </w:tr>
      <w:tr>
        <w:tc>
          <w:tcPr>
            <w:tcW w:type="dxa" w:w="2041"/>
          </w:tcPr>
          <w:p>
            <w:r/>
            <w:r>
              <w:rPr>
                <w:sz w:val="20"/>
              </w:rPr>
              <w:t>Normalization</w:t>
            </w:r>
          </w:p>
        </w:tc>
        <w:tc>
          <w:tcPr>
            <w:tcW w:type="dxa" w:w="3402"/>
          </w:tcPr>
          <w:p>
            <w:r/>
            <w:r>
              <w:rPr>
                <w:sz w:val="20"/>
              </w:rPr>
              <w:t>day_of_week_sin/cos, hour_sin/cos (cyclic); log1p + z-score on 17 skewed/continuous columns</w:t>
            </w:r>
          </w:p>
        </w:tc>
        <w:tc>
          <w:tcPr>
            <w:tcW w:type="dxa" w:w="3118"/>
          </w:tcPr>
          <w:p>
            <w:r/>
            <w:r>
              <w:rPr>
                <w:sz w:val="20"/>
              </w:rPr>
              <w:t>Train-only statistics applied to valid/test; nominal codes left as raw integer codes for native XGBoost categorical splits</w:t>
            </w:r>
          </w:p>
        </w:tc>
      </w:tr>
    </w:tbl>
    <w:p>
      <w:pPr>
        <w:spacing w:after="80"/>
      </w:pPr>
    </w:p>
    <w:p>
      <w:pPr>
        <w:pStyle w:val="Heading2"/>
      </w:pPr>
      <w:r>
        <w:rPr>
          <w:b/>
          <w:color w:val="14548C"/>
          <w:sz w:val="30"/>
        </w:rPr>
        <w:t>2.4 Data Variants</w:t>
      </w:r>
    </w:p>
    <w:p>
      <w:pPr>
        <w:pStyle w:val="ListBullet"/>
        <w:spacing w:after="80"/>
      </w:pPr>
      <w:r>
        <w:rPr>
          <w:b/>
          <w:sz w:val="22"/>
        </w:rPr>
        <w:t xml:space="preserve">raw </w:t>
      </w:r>
      <w:r>
        <w:rPr>
          <w:sz w:val="22"/>
        </w:rPr>
        <w:t>— the untransformed combined feature table, split into train/valid/test.</w:t>
      </w:r>
    </w:p>
    <w:p>
      <w:pPr>
        <w:pStyle w:val="ListBullet"/>
        <w:spacing w:after="80"/>
      </w:pPr>
      <w:r>
        <w:rPr>
          <w:b/>
          <w:sz w:val="22"/>
        </w:rPr>
        <w:t xml:space="preserve">normalized </w:t>
      </w:r>
      <w:r>
        <w:rPr>
          <w:sz w:val="22"/>
        </w:rPr>
        <w:t>— cyclic-encoded (day-of-week, hour), log1p-transformed for 12 right-skewed columns, and z-scored (17 columns) using train-only statistics; one row per collision. This is the variant currently used for the project's headline binary results.</w:t>
      </w:r>
    </w:p>
    <w:p>
      <w:pPr>
        <w:pStyle w:val="ListBullet"/>
        <w:spacing w:after="80"/>
      </w:pPr>
      <w:r>
        <w:rPr>
          <w:b/>
          <w:sz w:val="22"/>
        </w:rPr>
        <w:t xml:space="preserve">masked </w:t>
      </w:r>
      <w:r>
        <w:rPr>
          <w:sz w:val="22"/>
        </w:rPr>
        <w:t>— built from the normalized splits; each row is expanded into 11 copies (1 unmasked + 10 with 0–23 of the 23 acquirable STATS19/vehicle/casualty fields randomly blanked), simulating the partial information a dispatcher actually has. This is why the masked variant has ≈11× the row count of normalized/raw.</w:t>
      </w:r>
    </w:p>
    <w:p>
      <w:pPr>
        <w:spacing w:after="160"/>
      </w:pPr>
      <w:r>
        <w:rPr>
          <w:b w:val="0"/>
          <w:i w:val="0"/>
          <w:sz w:val="22"/>
        </w:rPr>
        <w:t>These three variants exist to separate three different questions: whether normalization matters, whether partial observability matters, and what the ceiling looks like with neither transformation. A hyperparameter configuration tuned on one variant does not automatically transfer to another — the masked variant's larger, noisier data needed heavier regularization than the clean normalized variant.</w:t>
      </w:r>
    </w:p>
    <w:p>
      <w:r>
        <w:br w:type="page"/>
      </w:r>
    </w:p>
    <w:p>
      <w:pPr>
        <w:pStyle w:val="Heading1"/>
      </w:pPr>
      <w:r>
        <w:rPr>
          <w:b/>
          <w:color w:val="14548C"/>
          <w:sz w:val="40"/>
        </w:rPr>
        <w:t>3. Model Architecture &amp; Training</w:t>
      </w:r>
    </w:p>
    <w:p>
      <w:pPr>
        <w:pStyle w:val="Heading2"/>
      </w:pPr>
      <w:r>
        <w:rPr>
          <w:b/>
          <w:color w:val="14548C"/>
          <w:sz w:val="30"/>
        </w:rPr>
        <w:t>3.1 Eight Source-Subset Classifiers</w:t>
      </w:r>
    </w:p>
    <w:p>
      <w:pPr>
        <w:spacing w:after="160"/>
      </w:pPr>
      <w:r>
        <w:rPr>
          <w:b w:val="0"/>
          <w:i w:val="0"/>
          <w:sz w:val="22"/>
        </w:rPr>
        <w:t>Because any of the three external sources may or may not be acquired before a prediction is needed, eight classifiers are trained — one per subset of {AADF, OSM, meteo}, from base-only (no external sources) up to full acquisition (all three). Each is an XGBoost classifier using native categorical and missing-value handling, trained via CODE/training/train/train_classifier.py, which defines the feature set through BASE_COLS (always present) plus SOURCE_COLS[source] (added when that source is acquired). The models are frozen once trained — they form the environment that the planned RL agent (Section 5) will later query.</w:t>
      </w:r>
    </w:p>
    <w:p>
      <w:pPr>
        <w:pStyle w:val="Heading2"/>
      </w:pPr>
      <w:r>
        <w:rPr>
          <w:b/>
          <w:color w:val="14548C"/>
          <w:sz w:val="30"/>
        </w:rPr>
        <w:t>3.2 Target Variable</w:t>
      </w:r>
    </w:p>
    <w:p>
      <w:pPr>
        <w:spacing w:after="160"/>
      </w:pPr>
      <w:r>
        <w:rPr>
          <w:b w:val="0"/>
          <w:i w:val="0"/>
          <w:sz w:val="22"/>
        </w:rPr>
        <w:t>Two target formulations are supported: the native 3-class STATS19 severity label (Fatal / Serious / Slight), and a binary Slight-vs-Severe collapse (Fatal and Serious merged into Severe). The project's current focus is the binary target on the normalized data variant, since it isolates the hardest and most operationally relevant boundary — whether a response needs to be escalated beyond a routine one — without the added noise of partial-observability masking.</w:t>
      </w:r>
    </w:p>
    <w:p>
      <w:pPr>
        <w:pStyle w:val="Heading2"/>
      </w:pPr>
      <w:r>
        <w:rPr>
          <w:b/>
          <w:color w:val="14548C"/>
          <w:sz w:val="30"/>
        </w:rPr>
        <w:t>3.3 Hyperparameter Tuning</w:t>
      </w:r>
    </w:p>
    <w:p>
      <w:pPr>
        <w:spacing w:after="160"/>
      </w:pPr>
      <w:r>
        <w:rPr>
          <w:b w:val="0"/>
          <w:i w:val="0"/>
          <w:sz w:val="22"/>
        </w:rPr>
        <w:t>Hyperparameters are tuned with Optuna (CODE/training/tune/tune_full_acquisition_classifier.py), separately per data variant and target formulation, and cached to models/best_hyperparams*.json for reuse. A re-tune on the current 54-column feature set converged to essentially the same configuration as before, but retraining with it still lifted the flagship 3-class classifier's uncalibrated test macro F1 from 0.4845 to 0.4928 (0.503 → 0.5028 after threshold calibration), driven mostly by the weak Serious class. The binary flagship stayed essentially flat (0.651 → 0.6517) under the same re-tune.</w:t>
      </w:r>
    </w:p>
    <w:p>
      <w:pPr>
        <w:pStyle w:val="Heading2"/>
      </w:pPr>
      <w:r>
        <w:rPr>
          <w:b/>
          <w:color w:val="14548C"/>
          <w:sz w:val="30"/>
        </w:rPr>
        <w:t>3.4 Threshold Calibration</w:t>
      </w:r>
    </w:p>
    <w:p>
      <w:pPr>
        <w:spacing w:after="160"/>
      </w:pPr>
      <w:r>
        <w:rPr>
          <w:b w:val="0"/>
          <w:i w:val="0"/>
          <w:sz w:val="22"/>
        </w:rPr>
        <w:t>CODE/training/train/calibrate_thresholds.py post-processes an already-trained model's predicted probabilities to pick per-class decision thresholds that improve macro F1 without retraining — useful because the severity-oversampled training distribution does not match the decision boundary that maximises macro F1 on a more balanced evaluation split.</w:t>
      </w:r>
    </w:p>
    <w:p>
      <w:r>
        <w:br w:type="page"/>
      </w:r>
    </w:p>
    <w:p>
      <w:pPr>
        <w:pStyle w:val="Heading1"/>
      </w:pPr>
      <w:r>
        <w:rPr>
          <w:b/>
          <w:color w:val="14548C"/>
          <w:sz w:val="40"/>
        </w:rPr>
        <w:t>4. Choice of Model Family</w:t>
      </w:r>
    </w:p>
    <w:p>
      <w:pPr>
        <w:spacing w:after="160"/>
      </w:pPr>
      <w:r>
        <w:rPr>
          <w:b w:val="0"/>
          <w:i w:val="0"/>
          <w:sz w:val="22"/>
        </w:rPr>
        <w:t>Before committing to XGBoost as the deployed model, seventeen model families were compared on identical data: the normalized variant, binary target, full acquisition (aadf+osm+meteo, 52 features), the same train/valid/test split, balanced class weighting where supported, 3 seeds, scored on test.</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c>
          <w:tcPr>
            <w:tcW w:type="dxa" w:w="3402"/>
            <w:shd w:val="clear" w:color="auto" w:fill="14548C"/>
          </w:tcPr>
          <w:p>
            <w:r/>
            <w:r>
              <w:rPr>
                <w:b/>
                <w:color w:val="FFFFFF"/>
                <w:sz w:val="20"/>
              </w:rPr>
              <w:t>Model</w:t>
            </w:r>
          </w:p>
        </w:tc>
        <w:tc>
          <w:tcPr>
            <w:tcW w:type="dxa" w:w="1531"/>
            <w:shd w:val="clear" w:color="auto" w:fill="14548C"/>
          </w:tcPr>
          <w:p>
            <w:r/>
            <w:r>
              <w:rPr>
                <w:b/>
                <w:color w:val="FFFFFF"/>
                <w:sz w:val="20"/>
              </w:rPr>
              <w:t>Macro F1</w:t>
            </w:r>
          </w:p>
        </w:tc>
        <w:tc>
          <w:tcPr>
            <w:tcW w:type="dxa" w:w="1701"/>
            <w:shd w:val="clear" w:color="auto" w:fill="14548C"/>
          </w:tcPr>
          <w:p>
            <w:r/>
            <w:r>
              <w:rPr>
                <w:b/>
                <w:color w:val="FFFFFF"/>
                <w:sz w:val="20"/>
              </w:rPr>
              <w:t>Balanced acc.</w:t>
            </w:r>
          </w:p>
        </w:tc>
        <w:tc>
          <w:tcPr>
            <w:tcW w:type="dxa" w:w="1304"/>
            <w:shd w:val="clear" w:color="auto" w:fill="14548C"/>
          </w:tcPr>
          <w:p>
            <w:r/>
            <w:r>
              <w:rPr>
                <w:b/>
                <w:color w:val="FFFFFF"/>
                <w:sz w:val="20"/>
              </w:rPr>
              <w:t>AUC</w:t>
            </w:r>
          </w:p>
        </w:tc>
      </w:tr>
      <w:tr>
        <w:tc>
          <w:tcPr>
            <w:tcW w:type="dxa" w:w="3402"/>
          </w:tcPr>
          <w:p>
            <w:r/>
            <w:r>
              <w:rPr>
                <w:sz w:val="20"/>
              </w:rPr>
              <w:t>XGBoost (deployed)</w:t>
            </w:r>
          </w:p>
        </w:tc>
        <w:tc>
          <w:tcPr>
            <w:tcW w:type="dxa" w:w="1531"/>
          </w:tcPr>
          <w:p>
            <w:r/>
            <w:r>
              <w:rPr>
                <w:sz w:val="20"/>
              </w:rPr>
              <w:t>0.7367</w:t>
            </w:r>
          </w:p>
        </w:tc>
        <w:tc>
          <w:tcPr>
            <w:tcW w:type="dxa" w:w="1701"/>
          </w:tcPr>
          <w:p>
            <w:r/>
            <w:r>
              <w:rPr>
                <w:sz w:val="20"/>
              </w:rPr>
              <w:t>0.7370</w:t>
            </w:r>
          </w:p>
        </w:tc>
        <w:tc>
          <w:tcPr>
            <w:tcW w:type="dxa" w:w="1304"/>
          </w:tcPr>
          <w:p>
            <w:r/>
            <w:r>
              <w:rPr>
                <w:sz w:val="20"/>
              </w:rPr>
              <w:t>0.8119</w:t>
            </w:r>
          </w:p>
        </w:tc>
      </w:tr>
      <w:tr>
        <w:tc>
          <w:tcPr>
            <w:tcW w:type="dxa" w:w="3402"/>
          </w:tcPr>
          <w:p>
            <w:r/>
            <w:r>
              <w:rPr>
                <w:sz w:val="20"/>
              </w:rPr>
              <w:t>CatBoost</w:t>
            </w:r>
          </w:p>
        </w:tc>
        <w:tc>
          <w:tcPr>
            <w:tcW w:type="dxa" w:w="1531"/>
          </w:tcPr>
          <w:p>
            <w:r/>
            <w:r>
              <w:rPr>
                <w:sz w:val="20"/>
              </w:rPr>
              <w:t>0.7300</w:t>
            </w:r>
          </w:p>
        </w:tc>
        <w:tc>
          <w:tcPr>
            <w:tcW w:type="dxa" w:w="1701"/>
          </w:tcPr>
          <w:p>
            <w:r/>
            <w:r>
              <w:rPr>
                <w:sz w:val="20"/>
              </w:rPr>
              <w:t>0.7302</w:t>
            </w:r>
          </w:p>
        </w:tc>
        <w:tc>
          <w:tcPr>
            <w:tcW w:type="dxa" w:w="1304"/>
          </w:tcPr>
          <w:p>
            <w:r/>
            <w:r>
              <w:rPr>
                <w:sz w:val="20"/>
              </w:rPr>
              <w:t>0.8068</w:t>
            </w:r>
          </w:p>
        </w:tc>
      </w:tr>
      <w:tr>
        <w:tc>
          <w:tcPr>
            <w:tcW w:type="dxa" w:w="3402"/>
          </w:tcPr>
          <w:p>
            <w:r/>
            <w:r>
              <w:rPr>
                <w:sz w:val="20"/>
              </w:rPr>
              <w:t>HistGradientBoosting</w:t>
            </w:r>
          </w:p>
        </w:tc>
        <w:tc>
          <w:tcPr>
            <w:tcW w:type="dxa" w:w="1531"/>
          </w:tcPr>
          <w:p>
            <w:r/>
            <w:r>
              <w:rPr>
                <w:sz w:val="20"/>
              </w:rPr>
              <w:t>0.7300</w:t>
            </w:r>
          </w:p>
        </w:tc>
        <w:tc>
          <w:tcPr>
            <w:tcW w:type="dxa" w:w="1701"/>
          </w:tcPr>
          <w:p>
            <w:r/>
            <w:r>
              <w:rPr>
                <w:sz w:val="20"/>
              </w:rPr>
              <w:t>0.7302</w:t>
            </w:r>
          </w:p>
        </w:tc>
        <w:tc>
          <w:tcPr>
            <w:tcW w:type="dxa" w:w="1304"/>
          </w:tcPr>
          <w:p>
            <w:r/>
            <w:r>
              <w:rPr>
                <w:sz w:val="20"/>
              </w:rPr>
              <w:t>0.8054</w:t>
            </w:r>
          </w:p>
        </w:tc>
      </w:tr>
      <w:tr>
        <w:tc>
          <w:tcPr>
            <w:tcW w:type="dxa" w:w="3402"/>
          </w:tcPr>
          <w:p>
            <w:r/>
            <w:r>
              <w:rPr>
                <w:sz w:val="20"/>
              </w:rPr>
              <w:t>LightGBM</w:t>
            </w:r>
          </w:p>
        </w:tc>
        <w:tc>
          <w:tcPr>
            <w:tcW w:type="dxa" w:w="1531"/>
          </w:tcPr>
          <w:p>
            <w:r/>
            <w:r>
              <w:rPr>
                <w:sz w:val="20"/>
              </w:rPr>
              <w:t>0.7269</w:t>
            </w:r>
          </w:p>
        </w:tc>
        <w:tc>
          <w:tcPr>
            <w:tcW w:type="dxa" w:w="1701"/>
          </w:tcPr>
          <w:p>
            <w:r/>
            <w:r>
              <w:rPr>
                <w:sz w:val="20"/>
              </w:rPr>
              <w:t>0.7270</w:t>
            </w:r>
          </w:p>
        </w:tc>
        <w:tc>
          <w:tcPr>
            <w:tcW w:type="dxa" w:w="1304"/>
          </w:tcPr>
          <w:p>
            <w:r/>
            <w:r>
              <w:rPr>
                <w:sz w:val="20"/>
              </w:rPr>
              <w:t>0.8059</w:t>
            </w:r>
          </w:p>
        </w:tc>
      </w:tr>
      <w:tr>
        <w:tc>
          <w:tcPr>
            <w:tcW w:type="dxa" w:w="3402"/>
          </w:tcPr>
          <w:p>
            <w:r/>
            <w:r>
              <w:rPr>
                <w:sz w:val="20"/>
              </w:rPr>
              <w:t>Random forest</w:t>
            </w:r>
          </w:p>
        </w:tc>
        <w:tc>
          <w:tcPr>
            <w:tcW w:type="dxa" w:w="1531"/>
          </w:tcPr>
          <w:p>
            <w:r/>
            <w:r>
              <w:rPr>
                <w:sz w:val="20"/>
              </w:rPr>
              <w:t>0.7245</w:t>
            </w:r>
          </w:p>
        </w:tc>
        <w:tc>
          <w:tcPr>
            <w:tcW w:type="dxa" w:w="1701"/>
          </w:tcPr>
          <w:p>
            <w:r/>
            <w:r>
              <w:rPr>
                <w:sz w:val="20"/>
              </w:rPr>
              <w:t>0.7244</w:t>
            </w:r>
          </w:p>
        </w:tc>
        <w:tc>
          <w:tcPr>
            <w:tcW w:type="dxa" w:w="1304"/>
          </w:tcPr>
          <w:p>
            <w:r/>
            <w:r>
              <w:rPr>
                <w:sz w:val="20"/>
              </w:rPr>
              <w:t>0.7986</w:t>
            </w:r>
          </w:p>
        </w:tc>
      </w:tr>
      <w:tr>
        <w:tc>
          <w:tcPr>
            <w:tcW w:type="dxa" w:w="3402"/>
          </w:tcPr>
          <w:p>
            <w:r/>
            <w:r>
              <w:rPr>
                <w:sz w:val="20"/>
              </w:rPr>
              <w:t>Neural net (MLP 128-64)</w:t>
            </w:r>
          </w:p>
        </w:tc>
        <w:tc>
          <w:tcPr>
            <w:tcW w:type="dxa" w:w="1531"/>
          </w:tcPr>
          <w:p>
            <w:r/>
            <w:r>
              <w:rPr>
                <w:sz w:val="20"/>
              </w:rPr>
              <w:t>0.7244</w:t>
            </w:r>
          </w:p>
        </w:tc>
        <w:tc>
          <w:tcPr>
            <w:tcW w:type="dxa" w:w="1701"/>
          </w:tcPr>
          <w:p>
            <w:r/>
            <w:r>
              <w:rPr>
                <w:sz w:val="20"/>
              </w:rPr>
              <w:t>0.7247</w:t>
            </w:r>
          </w:p>
        </w:tc>
        <w:tc>
          <w:tcPr>
            <w:tcW w:type="dxa" w:w="1304"/>
          </w:tcPr>
          <w:p>
            <w:r/>
            <w:r>
              <w:rPr>
                <w:sz w:val="20"/>
              </w:rPr>
              <w:t>0.8003</w:t>
            </w:r>
          </w:p>
        </w:tc>
      </w:tr>
      <w:tr>
        <w:tc>
          <w:tcPr>
            <w:tcW w:type="dxa" w:w="3402"/>
          </w:tcPr>
          <w:p>
            <w:r/>
            <w:r>
              <w:rPr>
                <w:sz w:val="20"/>
              </w:rPr>
              <w:t>Linear SVM / Logistic regression</w:t>
            </w:r>
          </w:p>
        </w:tc>
        <w:tc>
          <w:tcPr>
            <w:tcW w:type="dxa" w:w="1531"/>
          </w:tcPr>
          <w:p>
            <w:r/>
            <w:r>
              <w:rPr>
                <w:sz w:val="20"/>
              </w:rPr>
              <w:t>0.717 / 0.717</w:t>
            </w:r>
          </w:p>
        </w:tc>
        <w:tc>
          <w:tcPr>
            <w:tcW w:type="dxa" w:w="1701"/>
          </w:tcPr>
          <w:p>
            <w:r/>
            <w:r>
              <w:rPr>
                <w:sz w:val="20"/>
              </w:rPr>
              <w:t>0.718 / 0.717</w:t>
            </w:r>
          </w:p>
        </w:tc>
        <w:tc>
          <w:tcPr>
            <w:tcW w:type="dxa" w:w="1304"/>
          </w:tcPr>
          <w:p>
            <w:r/>
            <w:r>
              <w:rPr>
                <w:sz w:val="20"/>
              </w:rPr>
              <w:t>0.791 / 0.792</w:t>
            </w:r>
          </w:p>
        </w:tc>
      </w:tr>
      <w:tr>
        <w:tc>
          <w:tcPr>
            <w:tcW w:type="dxa" w:w="3402"/>
          </w:tcPr>
          <w:p>
            <w:r/>
            <w:r>
              <w:rPr>
                <w:sz w:val="20"/>
              </w:rPr>
              <w:t>Decision tree (depth 5)</w:t>
            </w:r>
          </w:p>
        </w:tc>
        <w:tc>
          <w:tcPr>
            <w:tcW w:type="dxa" w:w="1531"/>
          </w:tcPr>
          <w:p>
            <w:r/>
            <w:r>
              <w:rPr>
                <w:sz w:val="20"/>
              </w:rPr>
              <w:t>0.6707</w:t>
            </w:r>
          </w:p>
        </w:tc>
        <w:tc>
          <w:tcPr>
            <w:tcW w:type="dxa" w:w="1701"/>
          </w:tcPr>
          <w:p>
            <w:r/>
            <w:r>
              <w:rPr>
                <w:sz w:val="20"/>
              </w:rPr>
              <w:t>0.6707</w:t>
            </w:r>
          </w:p>
        </w:tc>
        <w:tc>
          <w:tcPr>
            <w:tcW w:type="dxa" w:w="1304"/>
          </w:tcPr>
          <w:p>
            <w:r/>
            <w:r>
              <w:rPr>
                <w:sz w:val="20"/>
              </w:rPr>
              <w:t>0.7298</w:t>
            </w:r>
          </w:p>
        </w:tc>
      </w:tr>
      <w:tr>
        <w:tc>
          <w:tcPr>
            <w:tcW w:type="dxa" w:w="3402"/>
          </w:tcPr>
          <w:p>
            <w:r/>
            <w:r>
              <w:rPr>
                <w:sz w:val="20"/>
              </w:rPr>
              <w:t>One-rule baseline (Holte's OneR)</w:t>
            </w:r>
          </w:p>
        </w:tc>
        <w:tc>
          <w:tcPr>
            <w:tcW w:type="dxa" w:w="1531"/>
          </w:tcPr>
          <w:p>
            <w:r/>
            <w:r>
              <w:rPr>
                <w:sz w:val="20"/>
              </w:rPr>
              <w:t>0.6047</w:t>
            </w:r>
          </w:p>
        </w:tc>
        <w:tc>
          <w:tcPr>
            <w:tcW w:type="dxa" w:w="1701"/>
          </w:tcPr>
          <w:p>
            <w:r/>
            <w:r>
              <w:rPr>
                <w:sz w:val="20"/>
              </w:rPr>
              <w:t>0.6102</w:t>
            </w:r>
          </w:p>
        </w:tc>
        <w:tc>
          <w:tcPr>
            <w:tcW w:type="dxa" w:w="1304"/>
          </w:tcPr>
          <w:p>
            <w:r/>
            <w:r>
              <w:rPr>
                <w:sz w:val="20"/>
              </w:rPr>
              <w:t>0.6102</w:t>
            </w:r>
          </w:p>
        </w:tc>
      </w:tr>
      <w:tr>
        <w:tc>
          <w:tcPr>
            <w:tcW w:type="dxa" w:w="3402"/>
          </w:tcPr>
          <w:p>
            <w:r/>
            <w:r>
              <w:rPr>
                <w:sz w:val="20"/>
              </w:rPr>
              <w:t>Random (stratified)</w:t>
            </w:r>
          </w:p>
        </w:tc>
        <w:tc>
          <w:tcPr>
            <w:tcW w:type="dxa" w:w="1531"/>
          </w:tcPr>
          <w:p>
            <w:r/>
            <w:r>
              <w:rPr>
                <w:sz w:val="20"/>
              </w:rPr>
              <w:t>0.5032</w:t>
            </w:r>
          </w:p>
        </w:tc>
        <w:tc>
          <w:tcPr>
            <w:tcW w:type="dxa" w:w="1701"/>
          </w:tcPr>
          <w:p>
            <w:r/>
            <w:r>
              <w:rPr>
                <w:sz w:val="20"/>
              </w:rPr>
              <w:t>0.5033</w:t>
            </w:r>
          </w:p>
        </w:tc>
        <w:tc>
          <w:tcPr>
            <w:tcW w:type="dxa" w:w="1304"/>
          </w:tcPr>
          <w:p>
            <w:r/>
            <w:r>
              <w:rPr>
                <w:sz w:val="20"/>
              </w:rPr>
              <w:t>0.5033</w:t>
            </w:r>
          </w:p>
        </w:tc>
      </w:tr>
      <w:tr>
        <w:tc>
          <w:tcPr>
            <w:tcW w:type="dxa" w:w="3402"/>
          </w:tcPr>
          <w:p>
            <w:r/>
            <w:r>
              <w:rPr>
                <w:sz w:val="20"/>
              </w:rPr>
              <w:t>Majority class</w:t>
            </w:r>
          </w:p>
        </w:tc>
        <w:tc>
          <w:tcPr>
            <w:tcW w:type="dxa" w:w="1531"/>
          </w:tcPr>
          <w:p>
            <w:r/>
            <w:r>
              <w:rPr>
                <w:sz w:val="20"/>
              </w:rPr>
              <w:t>0.3403</w:t>
            </w:r>
          </w:p>
        </w:tc>
        <w:tc>
          <w:tcPr>
            <w:tcW w:type="dxa" w:w="1701"/>
          </w:tcPr>
          <w:p>
            <w:r/>
            <w:r>
              <w:rPr>
                <w:sz w:val="20"/>
              </w:rPr>
              <w:t>0.5000</w:t>
            </w:r>
          </w:p>
        </w:tc>
        <w:tc>
          <w:tcPr>
            <w:tcW w:type="dxa" w:w="1304"/>
          </w:tcPr>
          <w:p>
            <w:r/>
            <w:r>
              <w:rPr>
                <w:sz w:val="20"/>
              </w:rPr>
              <w:t>0.5000</w:t>
            </w:r>
          </w:p>
        </w:tc>
      </w:tr>
    </w:tbl>
    <w:p>
      <w:pPr>
        <w:spacing w:after="80"/>
      </w:pPr>
    </w:p>
    <w:p>
      <w:pPr>
        <w:pStyle w:val="ListBullet"/>
        <w:spacing w:after="80"/>
      </w:pPr>
      <w:r>
        <w:rPr>
          <w:b/>
          <w:sz w:val="22"/>
        </w:rPr>
        <w:t xml:space="preserve">Against a proper baseline, the model earns +0.132 macro F1 </w:t>
      </w:r>
      <w:r>
        <w:rPr>
          <w:sz w:val="22"/>
        </w:rPr>
        <w:t>over the one-rule (laminated-card) baseline, and +0.231 over random guessing by class prior — the comparison that measures what the model actually contributes.</w:t>
      </w:r>
    </w:p>
    <w:p>
      <w:pPr>
        <w:pStyle w:val="ListBullet"/>
        <w:spacing w:after="80"/>
      </w:pPr>
      <w:r>
        <w:rPr>
          <w:b/>
          <w:sz w:val="22"/>
        </w:rPr>
        <w:t xml:space="preserve">Among learning algorithms the spread is small: </w:t>
      </w:r>
      <w:r>
        <w:rPr>
          <w:sz w:val="22"/>
        </w:rPr>
        <w:t>OLS thresholded at 0.5 reaches 0.7165, within 0.020 of the tuned booster. The engineered features have already absorbed most of the nonlinearity, so the pipeline, not the algorithm, is doing most of the work.</w:t>
      </w:r>
    </w:p>
    <w:p>
      <w:pPr>
        <w:pStyle w:val="ListBullet"/>
        <w:spacing w:after="80"/>
      </w:pPr>
      <w:r>
        <w:rPr>
          <w:b/>
          <w:sz w:val="22"/>
        </w:rPr>
        <w:t xml:space="preserve">Four gradient boosters, a random forest, and a neural net all land in a 0.72–0.73 band </w:t>
      </w:r>
      <w:r>
        <w:rPr>
          <w:sz w:val="22"/>
        </w:rPr>
        <w:t>— the signature of an information ceiling set by the data, not the model family.</w:t>
      </w:r>
    </w:p>
    <w:p>
      <w:pPr>
        <w:pStyle w:val="ListBullet"/>
        <w:spacing w:after="80"/>
      </w:pPr>
      <w:r>
        <w:rPr>
          <w:b/>
          <w:sz w:val="22"/>
        </w:rPr>
        <w:t xml:space="preserve">With an equal 120-trial tuning budget per family, </w:t>
      </w:r>
      <w:r>
        <w:rPr>
          <w:sz w:val="22"/>
        </w:rPr>
        <w:t>XGBoost's lead over the field narrows to +0.0015 macro F1 over LightGBM — inside seed noise. XGBoost is retained for a small, consistent edge plus roughly 11× faster training than tuned LightGBM.</w:t>
      </w:r>
    </w:p>
    <w:p>
      <w:pPr>
        <w:spacing w:after="160"/>
      </w:pPr>
      <w:r>
        <w:rPr>
          <w:b w:val="0"/>
          <w:i/>
          <w:color w:val="606060"/>
          <w:sz w:val="20"/>
        </w:rPr>
        <w:t>Full methodology, all seventeen families, and seven supporting figures are in docs/model_family_comparison.md.</w:t>
      </w:r>
    </w:p>
    <w:p>
      <w:r>
        <w:br w:type="page"/>
      </w:r>
    </w:p>
    <w:p>
      <w:pPr>
        <w:pStyle w:val="Heading1"/>
      </w:pPr>
      <w:r>
        <w:rPr>
          <w:b/>
          <w:color w:val="14548C"/>
          <w:sz w:val="40"/>
        </w:rPr>
        <w:t>5. Active Feature Acquisition (Planned Extension)</w:t>
      </w:r>
    </w:p>
    <w:p>
      <w:pPr>
        <w:spacing w:after="160"/>
      </w:pPr>
      <w:r>
        <w:rPr>
          <w:b w:val="0"/>
          <w:i w:val="0"/>
          <w:sz w:val="22"/>
        </w:rPr>
        <w:t>The eventual goal of the project is a reinforcement-learning agent that decides, at runtime and per accident, which of the three external sources are worth acquiring before invoking the matching frozen classifier from Section 3 — trading prediction confidence against acquisition latency and API cost. This component has been fully designed but is not yet implemented; the eight classifiers described above are the environment it will be trained against. The design is summarised here so the planned system is documented alongside the parts that already exist.</w:t>
      </w:r>
    </w:p>
    <w:p>
      <w:pPr>
        <w:pStyle w:val="Heading2"/>
      </w:pPr>
      <w:r>
        <w:rPr>
          <w:b/>
          <w:color w:val="14548C"/>
          <w:sz w:val="30"/>
        </w:rPr>
        <w:t>5.1 MDP Formulation</w:t>
      </w:r>
    </w:p>
    <w:p>
      <w:pPr>
        <w:spacing w:after="160"/>
      </w:pPr>
      <w:r>
        <w:rPr>
          <w:b w:val="0"/>
          <w:i w:val="0"/>
          <w:sz w:val="22"/>
        </w:rPr>
        <w:t>State: sₜ = (x_base, x_acquired, mₜ, pₜ), where x_base is the STATS19 fields known automatically at call time, x_acquired is the partial feature vector built up as the agent acquires fields, mₜ is a binary mask of which features/sources have been obtained, and pₜ is the classifier's current predicted probability distribution over severity classes given what has been acquired so far.</w:t>
      </w:r>
    </w:p>
    <w:p>
      <w:pPr>
        <w:spacing w:after="160"/>
      </w:pPr>
      <w:r>
        <w:rPr>
          <w:b w:val="0"/>
          <w:i w:val="0"/>
          <w:sz w:val="22"/>
        </w:rPr>
        <w:t>Actions: A0 (predict &amp; terminate, returning the current pₜ); A1…Ak, one per individually acquirable STATS19/vehicle/casualty field (asking the dispatcher); and one grouped action per external API source (OSM, AADF, Open-Meteo), since all features from a given API arrive together in a single call.</w:t>
      </w:r>
    </w:p>
    <w:p>
      <w:pPr>
        <w:spacing w:after="160"/>
      </w:pPr>
      <w:r>
        <w:rPr>
          <w:b w:val="0"/>
          <w:i w:val="0"/>
          <w:sz w:val="22"/>
        </w:rPr>
        <w:t>Reward: Reward = R_terminal + Σₜ R_step(t), with R_step(t) = α·ΔConfidenceₜ − Cᵢ (a small reward for the reduction in prediction entropy after acquiring feature i, minus that feature's acquisition cost) and R_terminal = β·Accuracy(ŷ, y) (macro F1 against ground truth, delivered only at termination). α is kept small relative to β so the dense per-step signal guides exploration without overshadowing the terminal objective; both are treated as tunable design parameters.</w:t>
      </w:r>
    </w:p>
    <w:p>
      <w:pPr>
        <w:pStyle w:val="Heading2"/>
      </w:pPr>
      <w:r>
        <w:rPr>
          <w:b/>
          <w:color w:val="14548C"/>
          <w:sz w:val="30"/>
        </w:rPr>
        <w:t>5.2 Planned Baselines</w:t>
      </w:r>
    </w:p>
    <w:p>
      <w:pPr>
        <w:pStyle w:val="ListBullet"/>
        <w:spacing w:after="80"/>
      </w:pPr>
      <w:r>
        <w:rPr>
          <w:b/>
          <w:sz w:val="22"/>
        </w:rPr>
        <w:t xml:space="preserve">No-acquisition </w:t>
      </w:r>
      <w:r>
        <w:rPr>
          <w:sz w:val="22"/>
        </w:rPr>
        <w:t>— the base-only classifier; zero cost, lower-bound accuracy.</w:t>
      </w:r>
    </w:p>
    <w:p>
      <w:pPr>
        <w:pStyle w:val="ListBullet"/>
        <w:spacing w:after="80"/>
      </w:pPr>
      <w:r>
        <w:rPr>
          <w:b/>
          <w:sz w:val="22"/>
        </w:rPr>
        <w:t xml:space="preserve">Full-acquisition </w:t>
      </w:r>
      <w:r>
        <w:rPr>
          <w:sz w:val="22"/>
        </w:rPr>
        <w:t>— always acquires all three sources; maximum cost, upper-bound accuracy (see Section 6.5 for the closely related full-STATS19 ceiling).</w:t>
      </w:r>
    </w:p>
    <w:p>
      <w:pPr>
        <w:pStyle w:val="ListBullet"/>
        <w:spacing w:after="80"/>
      </w:pPr>
      <w:r>
        <w:rPr>
          <w:b/>
          <w:sz w:val="22"/>
        </w:rPr>
        <w:t xml:space="preserve">Static feature priority </w:t>
      </w:r>
      <w:r>
        <w:rPr>
          <w:sz w:val="22"/>
        </w:rPr>
        <w:t>— a fixed acquisition order (e.g. weather → OSM → AADF) applied up to the same average cost budget as the learned agent, unable to adapt per accident.</w:t>
      </w:r>
    </w:p>
    <w:p>
      <w:pPr>
        <w:spacing w:after="160"/>
      </w:pPr>
      <w:r>
        <w:rPr>
          <w:b w:val="0"/>
          <w:i w:val="0"/>
          <w:sz w:val="22"/>
        </w:rPr>
        <w:t>The per-source ablation results in Section 6 are the intended basis for calibrating each source's acquisition cost Cᵢ in the reward function: a source with a large accuracy gain relative to its cost should be cheap to acquire; a source that contributes little should be expensive enough that the agent learns to skip it.</w:t>
      </w:r>
    </w:p>
    <w:p>
      <w:r>
        <w:br w:type="page"/>
      </w:r>
    </w:p>
    <w:p>
      <w:pPr>
        <w:pStyle w:val="Heading1"/>
      </w:pPr>
      <w:r>
        <w:rPr>
          <w:b/>
          <w:color w:val="14548C"/>
          <w:sz w:val="40"/>
        </w:rPr>
        <w:t>6. Experiments &amp; Results</w:t>
      </w:r>
    </w:p>
    <w:p>
      <w:pPr>
        <w:pStyle w:val="Heading2"/>
      </w:pPr>
      <w:r>
        <w:rPr>
          <w:b/>
          <w:color w:val="14548C"/>
          <w:sz w:val="30"/>
        </w:rPr>
        <w:t>6.1 Headline Result</w:t>
      </w:r>
    </w:p>
    <w:p>
      <w:pPr>
        <w:spacing w:after="160"/>
      </w:pPr>
      <w:r>
        <w:rPr>
          <w:b w:val="0"/>
          <w:i w:val="0"/>
          <w:sz w:val="22"/>
        </w:rPr>
        <w:t>The current project focus, the full-acquisition (aadf+osm+meteo) binary Slight-vs-Severe classifier on the normalized data variant, reaches test macro F1 = 0.7322 in its single-run training log and 0.7367 ± 0.001 averaged over three seeds in the model-family comparison (Section 4) — both measured on the current, 1,400/2,800-cap dataset (Section 2.2). All macro-F1 figures in this report are tied to a specific dataset configuration; comparing across configurations without noting which one is in play is misleading, since the score is driven substantially by how Fatal-heavy the Severe class is (Section 2.2).</w:t>
      </w:r>
    </w:p>
    <w:p>
      <w:pPr>
        <w:pStyle w:val="Heading2"/>
      </w:pPr>
      <w:r>
        <w:rPr>
          <w:b/>
          <w:color w:val="14548C"/>
          <w:sz w:val="30"/>
        </w:rPr>
        <w:t>6.2 Dispatch-Time Ceiling: Full-STATS19 Upper Bound</w:t>
      </w:r>
    </w:p>
    <w:p>
      <w:pPr>
        <w:spacing w:after="160"/>
      </w:pPr>
      <w:r>
        <w:rPr>
          <w:b w:val="0"/>
          <w:i w:val="0"/>
          <w:sz w:val="22"/>
        </w:rPr>
        <w:t>To measure the accuracy cost of restricting the model to genuinely dispatch-time information, a reference “upper-bound” model was trained using every pre-label STATS19 field — forensic vehicle/casualty detail, driver demographics, road surface, whether police attended, and more — none of which a dispatcher actually has. This is explicitly not a deployment candidate (police_attended in particular is leakage-adjacent, since attendance is itself driven by how severe the collision looks).</w:t>
      </w:r>
    </w:p>
    <w:p>
      <w:pPr>
        <w:pStyle w:val="ListBullet"/>
        <w:spacing w:after="80"/>
      </w:pPr>
      <w:r>
        <w:rPr>
          <w:b/>
          <w:sz w:val="22"/>
        </w:rPr>
        <w:t xml:space="preserve">Full model: test macro F1 0.7625 / accuracy 0.7627 </w:t>
      </w:r>
      <w:r>
        <w:rPr>
          <w:sz w:val="22"/>
        </w:rPr>
        <w:t>versus the dispatch model's 0.7367 — a +0.026 ceiling on the current dataset.</w:t>
      </w:r>
    </w:p>
    <w:p>
      <w:pPr>
        <w:pStyle w:val="ListBullet"/>
        <w:spacing w:after="80"/>
      </w:pPr>
      <w:r>
        <w:rPr>
          <w:b/>
          <w:sz w:val="22"/>
        </w:rPr>
        <w:t xml:space="preserve">The gap is size-invariant </w:t>
      </w:r>
      <w:r>
        <w:rPr>
          <w:sz w:val="22"/>
        </w:rPr>
        <w:t>(≈+0.027 across a 6× range of dataset sizes/severity mixes): the dispatch-time constraint is a fixed structural information cost, supporting the project's Active Feature Acquisition framing — closing the gap requires external sources, not more STATS19 rows.</w:t>
      </w:r>
    </w:p>
    <w:p>
      <w:pPr>
        <w:pStyle w:val="ListBullet"/>
        <w:spacing w:after="80"/>
      </w:pPr>
      <w:r>
        <w:rPr>
          <w:b/>
          <w:sz w:val="22"/>
        </w:rPr>
        <w:t xml:space="preserve">Dedicated tuning of the 84-feature full model did not help </w:t>
      </w:r>
      <w:r>
        <w:rPr>
          <w:sz w:val="22"/>
        </w:rPr>
        <w:t>(0.7610 vs 0.7625 using the dispatch model's tuned hyperparameters) — the fifth independent search in this project to converge on the same configuration.</w:t>
      </w:r>
    </w:p>
    <w:p>
      <w:pPr>
        <w:pStyle w:val="ListBullet"/>
        <w:spacing w:after="80"/>
      </w:pPr>
      <w:r>
        <w:rPr>
          <w:b/>
          <w:sz w:val="22"/>
        </w:rPr>
        <w:t xml:space="preserve">On a natural ~79%-Slight distribution </w:t>
      </w:r>
      <w:r>
        <w:rPr>
          <w:sz w:val="22"/>
        </w:rPr>
        <w:t>(clean split, no leakage) the full model reaches ~0.84 accuracy but only ~0.375 Severe recall — the honest version of the 90%+ accuracy figures reported in some published STATS19 studies, which turn out to reflect majority-class accuracy on imbalanced data (and, in at least one paper, class rebalancing applied before the train/test split, a leakage artifact this project reproduced separately). Accuracy is reported only alongside per-class recall throughout this project for exactly this reason.</w:t>
      </w:r>
    </w:p>
    <w:p>
      <w:pPr>
        <w:pStyle w:val="Heading2"/>
      </w:pPr>
      <w:r>
        <w:rPr>
          <w:b/>
          <w:color w:val="14548C"/>
          <w:sz w:val="30"/>
        </w:rPr>
        <w:t>6.3 Dispatch-Time Casualty Features</w:t>
      </w:r>
    </w:p>
    <w:p>
      <w:pPr>
        <w:spacing w:after="160"/>
      </w:pPr>
      <w:r>
        <w:rPr>
          <w:b w:val="0"/>
          <w:i w:val="0"/>
          <w:sz w:val="22"/>
        </w:rPr>
        <w:t>Aggregating the casualties table into four dispatch-time-plausible fields (n_casualties, n_pedestrian_casualties, youngest/oldest_casualty_age — the kind of detail a 999 caller volunteers, such as “a pedestrian's been hit” or “three people hurt”) was the single largest accuracy improvement found in the project: 3-class calibrated test macro F1 rose from 0.478 to 0.501 (Fatal F1 0.40 → 0.45, precision and recall both up), and binary Slight-vs-Severe macro F1 rose from 0.631 to 0.651. An extended set of five further demographic/mode-of-travel columns was trialled on top of these and removed after a controlled ablation showed only +0.0012 macro F1 on normalized (within noise) and +0.0052 on masked — not enough to justify the extra complexity.</w:t>
      </w:r>
    </w:p>
    <w:p>
      <w:pPr>
        <w:pStyle w:val="Heading2"/>
      </w:pPr>
      <w:r>
        <w:rPr>
          <w:b/>
          <w:color w:val="14548C"/>
          <w:sz w:val="30"/>
        </w:rPr>
        <w:t>6.4 Spatial Risk-Density Features</w:t>
      </w:r>
    </w:p>
    <w:p>
      <w:pPr>
        <w:spacing w:after="160"/>
      </w:pPr>
      <w:r>
        <w:rPr>
          <w:b w:val="0"/>
          <w:i w:val="0"/>
          <w:sz w:val="22"/>
        </w:rPr>
        <w:t>Four location-history features (accident rate, severe fraction, fatal rate, and distance to the nearest prior accident, all within 500 m) are computed using only strictly prior-year accidents, so they carry no future information. They add a small but consistent ~+0.005 macro F1 on both the 3-class and binary targets, on both validation and test.</w:t>
      </w:r>
    </w:p>
    <w:p>
      <w:pPr>
        <w:pStyle w:val="Heading2"/>
      </w:pPr>
      <w:r>
        <w:rPr>
          <w:b/>
          <w:color w:val="14548C"/>
          <w:sz w:val="30"/>
        </w:rPr>
        <w:t>6.5 Vehicle-Type Flags</w:t>
      </w:r>
    </w:p>
    <w:p>
      <w:pPr>
        <w:spacing w:after="160"/>
      </w:pPr>
      <w:r>
        <w:rPr>
          <w:b w:val="0"/>
          <w:i w:val="0"/>
          <w:sz w:val="22"/>
        </w:rPr>
        <w:t>Of fifteen candidate per-vehicle-type flags derived from the vehicles table, eight ultra-rare flags (each under 1.5% prevalence) were dropped after showing an overfitting signature — e.g. has_tram, at 0.02% prevalence, still appeared in 123 tree splits. The remaining seven were kept on the strength of a healthy split-to-prevalence ratio; has_hgv in particular carried the highest gain of any flag, and removing it cost real accuracy (test macro F1 0.697 → 0.692 on the normalized binary variant).</w:t>
      </w:r>
    </w:p>
    <w:p>
      <w:pPr>
        <w:pStyle w:val="Heading2"/>
      </w:pPr>
      <w:r>
        <w:rPr>
          <w:b/>
          <w:color w:val="14548C"/>
          <w:sz w:val="30"/>
        </w:rPr>
        <w:t>6.6 Population-Realistic Evaluation</w:t>
      </w:r>
    </w:p>
    <w:p>
      <w:pPr>
        <w:spacing w:after="160"/>
      </w:pPr>
      <w:r>
        <w:rPr>
          <w:b w:val="0"/>
          <w:i w:val="0"/>
          <w:sz w:val="22"/>
        </w:rPr>
        <w:t>Because the training/evaluation splits are deliberately severity-oversampled (≈52% Severe here vs ≈21% in the real population, and Fatal ≈53% of Severe here vs ≈7% in reality), macro F1 and balanced accuracy — not plain accuracy — are the metrics trusted throughout this project; plain accuracy on these splits is systematically lower than field accuracy would be, and can be gamed upward by a model that leans toward the majority class. CODE/experiments/evaluate_population.py reconstructs a true population-accuracy estimate from the per-year sampling fractions recorded in each STATS19 download's metadata file, and is reported alongside minority-class recall to make clear how many severe accidents a deployment-realistic model would actually miss.</w:t>
      </w:r>
    </w:p>
    <w:p>
      <w:r>
        <w:br w:type="page"/>
      </w:r>
    </w:p>
    <w:p>
      <w:pPr>
        <w:pStyle w:val="Heading1"/>
      </w:pPr>
      <w:r>
        <w:rPr>
          <w:b/>
          <w:color w:val="14548C"/>
          <w:sz w:val="40"/>
        </w:rPr>
        <w:t>7. Discussion &amp; Limitations</w:t>
      </w:r>
    </w:p>
    <w:p>
      <w:pPr>
        <w:pStyle w:val="ListBullet"/>
        <w:spacing w:after="80"/>
      </w:pPr>
      <w:r>
        <w:rPr>
          <w:b/>
          <w:sz w:val="22"/>
        </w:rPr>
        <w:t xml:space="preserve">Class balance is deliberately non-natural. </w:t>
      </w:r>
      <w:r>
        <w:rPr>
          <w:sz w:val="22"/>
        </w:rPr>
        <w:t>Every headline metric in this report is measured on a Fatal-enriched benchmark chosen to make the classification problem tractable and comparable across experiments; it is not an estimate of real-world dispatch accuracy. Section 6.6 gives the reconstruction path back to a population-realistic estimate.</w:t>
      </w:r>
    </w:p>
    <w:p>
      <w:pPr>
        <w:pStyle w:val="ListBullet"/>
        <w:spacing w:after="80"/>
      </w:pPr>
      <w:r>
        <w:rPr>
          <w:b/>
          <w:sz w:val="22"/>
        </w:rPr>
        <w:t xml:space="preserve">OSM is a present-day snapshot. </w:t>
      </w:r>
      <w:r>
        <w:rPr>
          <w:sz w:val="22"/>
        </w:rPr>
        <w:t>Road-infrastructure features reflect the network as it exists today, not as it was at each historical accident's date, since Geofabrik does not publish historical extracts at this granularity.</w:t>
      </w:r>
    </w:p>
    <w:p>
      <w:pPr>
        <w:pStyle w:val="ListBullet"/>
        <w:spacing w:after="80"/>
      </w:pPr>
      <w:r>
        <w:rPr>
          <w:b/>
          <w:sz w:val="22"/>
        </w:rPr>
        <w:t xml:space="preserve">Open-Meteo weather is paid at production volume. </w:t>
      </w:r>
      <w:r>
        <w:rPr>
          <w:sz w:val="22"/>
        </w:rPr>
        <w:t>The free archive endpoint's rate limits (600 calls/min, 5,000/hour, 10,000/day) are workable for offline training-data construction but would need a paid plan for real-time dispatch-time acquisition at scale.</w:t>
      </w:r>
    </w:p>
    <w:p>
      <w:pPr>
        <w:pStyle w:val="ListBullet"/>
        <w:spacing w:after="80"/>
      </w:pPr>
      <w:r>
        <w:rPr>
          <w:b/>
          <w:sz w:val="22"/>
        </w:rPr>
        <w:t xml:space="preserve">Model-family choice barely matters once the feature pipeline is fixed. </w:t>
      </w:r>
      <w:r>
        <w:rPr>
          <w:sz w:val="22"/>
        </w:rPr>
        <w:t>Section 4 shows the gap between the deployed XGBoost model and a plain thresholded linear regression is only 0.020 macro F1 — most of this project's measurable contribution is in the feature engineering, not the learning algorithm.</w:t>
      </w:r>
    </w:p>
    <w:p>
      <w:pPr>
        <w:pStyle w:val="ListBullet"/>
        <w:spacing w:after="80"/>
      </w:pPr>
      <w:r>
        <w:rPr>
          <w:b/>
          <w:sz w:val="22"/>
        </w:rPr>
        <w:t xml:space="preserve">The Active Feature Acquisition agent is not yet built. </w:t>
      </w:r>
      <w:r>
        <w:rPr>
          <w:sz w:val="22"/>
        </w:rPr>
        <w:t>Section 5 documents its design; implementing, training, and evaluating it against the three baselines remains the primary open item in the project plan.</w:t>
      </w:r>
    </w:p>
    <w:p>
      <w:r>
        <w:br w:type="page"/>
      </w:r>
    </w:p>
    <w:p>
      <w:pPr>
        <w:pStyle w:val="Heading1"/>
      </w:pPr>
      <w:r>
        <w:rPr>
          <w:b/>
          <w:color w:val="14548C"/>
          <w:sz w:val="40"/>
        </w:rPr>
        <w:t>8. Conclusion &amp; Future Work</w:t>
      </w:r>
    </w:p>
    <w:p>
      <w:pPr>
        <w:spacing w:after="160"/>
      </w:pPr>
      <w:r>
        <w:rPr>
          <w:b w:val="0"/>
          <w:i w:val="0"/>
          <w:sz w:val="22"/>
        </w:rPr>
        <w:t>This project has built and validated a complete, reproducible pipeline for predicting road-accident severity from dispatch-time-available information, enriched with three external data sources joined through non-trivial spatial and temporal logic. Eight frozen XGBoost classifiers cover every combination of external-source availability, and the flagship full-acquisition binary classifier reaches test macro F1 ≈ 0.73–0.74 on the current, disclosed, Fatal-enriched benchmark — +0.132 macro F1 over a non-learned one-rule baseline, with the dispatch-time restriction itself costing only ≈+0.026 macro F1 relative to a model given every pre-label STATS19 field. Model-family comparisons show this gap is set almost entirely by the engineered feature set rather than by the choice of learning algorithm.</w:t>
      </w:r>
    </w:p>
    <w:p>
      <w:pPr>
        <w:spacing w:after="160"/>
      </w:pPr>
      <w:r>
        <w:rPr>
          <w:b w:val="0"/>
          <w:i w:val="0"/>
          <w:sz w:val="22"/>
        </w:rPr>
        <w:t>The immediate next steps are: (1) implement and train the Active Feature Acquisition reinforcement-learning agent designed in Section 5 against the frozen classifiers as its environment, calibrating per-source acquisition costs from the ablation results in Section 6; (2) evaluate the trained agent against the no-acquisition, full-acquisition, and static-priority baselines; and (3) extend the population-realistic reconstruction (Section 6.6) into a standard reporting step alongside every future macro-F1 result, so headline numbers and field-deployment expectations are never conflated.</w:t>
      </w:r>
    </w:p>
    <w:p>
      <w:r>
        <w:br w:type="page"/>
      </w:r>
    </w:p>
    <w:p>
      <w:pPr>
        <w:pStyle w:val="Heading1"/>
      </w:pPr>
      <w:r>
        <w:rPr>
          <w:b/>
          <w:color w:val="14548C"/>
          <w:sz w:val="40"/>
        </w:rPr>
        <w:t>Appendix A: Repository &amp; Reproducibility</w:t>
      </w:r>
    </w:p>
    <w:p>
      <w:pPr>
        <w:spacing w:after="160"/>
      </w:pPr>
      <w:r>
        <w:rPr>
          <w:b w:val="0"/>
          <w:i w:val="0"/>
          <w:sz w:val="22"/>
        </w:rPr>
        <w:t>The full codebase, all raw and processed data (where not gitignored for size), and the exact commands to reproduce every result in this report are in the project repository. Key commands (run from the repo root, with the project's .venv activated):</w:t>
      </w:r>
    </w:p>
    <w:tbl>
      <w:tblPr>
        <w:tblStyle w:val="TableGrid"/>
        <w:tblW w:type="auto" w:w="0"/>
        <w:jc w:val="center"/>
        <w:tblLayout w:type="autofit"/>
        <w:tblLook w:firstColumn="1" w:firstRow="1" w:lastColumn="0" w:lastRow="0" w:noHBand="0" w:noVBand="1" w:val="04A0"/>
      </w:tblPr>
      <w:tblGrid>
        <w:gridCol w:w="4873"/>
        <w:gridCol w:w="4873"/>
      </w:tblGrid>
      <w:tr>
        <w:tc>
          <w:tcPr>
            <w:tcW w:type="dxa" w:w="2551"/>
            <w:shd w:val="clear" w:color="auto" w:fill="14548C"/>
          </w:tcPr>
          <w:p>
            <w:r/>
            <w:r>
              <w:rPr>
                <w:b/>
                <w:color w:val="FFFFFF"/>
                <w:sz w:val="20"/>
              </w:rPr>
              <w:t>Task</w:t>
            </w:r>
          </w:p>
        </w:tc>
        <w:tc>
          <w:tcPr>
            <w:tcW w:type="dxa" w:w="5386"/>
            <w:shd w:val="clear" w:color="auto" w:fill="14548C"/>
          </w:tcPr>
          <w:p>
            <w:r/>
            <w:r>
              <w:rPr>
                <w:b/>
                <w:color w:val="FFFFFF"/>
                <w:sz w:val="20"/>
              </w:rPr>
              <w:t>Command</w:t>
            </w:r>
          </w:p>
        </w:tc>
      </w:tr>
      <w:tr>
        <w:tc>
          <w:tcPr>
            <w:tcW w:type="dxa" w:w="2551"/>
          </w:tcPr>
          <w:p>
            <w:r/>
            <w:r>
              <w:rPr>
                <w:sz w:val="18"/>
              </w:rPr>
              <w:t>Run the full R data pipeline</w:t>
            </w:r>
          </w:p>
        </w:tc>
        <w:tc>
          <w:tcPr>
            <w:tcW w:type="dxa" w:w="5386"/>
          </w:tcPr>
          <w:p>
            <w:r/>
            <w:r>
              <w:rPr>
                <w:sz w:val="18"/>
              </w:rPr>
              <w:t>Rscript CODE/run_pipeline.R</w:t>
            </w:r>
          </w:p>
        </w:tc>
      </w:tr>
      <w:tr>
        <w:tc>
          <w:tcPr>
            <w:tcW w:type="dxa" w:w="2551"/>
          </w:tcPr>
          <w:p>
            <w:r/>
            <w:r>
              <w:rPr>
                <w:sz w:val="18"/>
              </w:rPr>
              <w:t>Train the flagship binary classifier</w:t>
            </w:r>
          </w:p>
        </w:tc>
        <w:tc>
          <w:tcPr>
            <w:tcW w:type="dxa" w:w="5386"/>
          </w:tcPr>
          <w:p>
            <w:r/>
            <w:r>
              <w:rPr>
                <w:sz w:val="18"/>
              </w:rPr>
              <w:t>python CODE/training/train/train_classifier.py --sources aadf osm meteo --binary --data-variant normalized --use-best-params</w:t>
            </w:r>
          </w:p>
        </w:tc>
      </w:tr>
      <w:tr>
        <w:tc>
          <w:tcPr>
            <w:tcW w:type="dxa" w:w="2551"/>
          </w:tcPr>
          <w:p>
            <w:r/>
            <w:r>
              <w:rPr>
                <w:sz w:val="18"/>
              </w:rPr>
              <w:t>Tune hyperparameters</w:t>
            </w:r>
          </w:p>
        </w:tc>
        <w:tc>
          <w:tcPr>
            <w:tcW w:type="dxa" w:w="5386"/>
          </w:tcPr>
          <w:p>
            <w:r/>
            <w:r>
              <w:rPr>
                <w:sz w:val="18"/>
              </w:rPr>
              <w:t>python CODE/training/tune/tune_full_acquisition_classifier.py --n-trials 60 --binary --data-variant normalized</w:t>
            </w:r>
          </w:p>
        </w:tc>
      </w:tr>
      <w:tr>
        <w:tc>
          <w:tcPr>
            <w:tcW w:type="dxa" w:w="2551"/>
          </w:tcPr>
          <w:p>
            <w:r/>
            <w:r>
              <w:rPr>
                <w:sz w:val="18"/>
              </w:rPr>
              <w:t>Calibrate decision thresholds</w:t>
            </w:r>
          </w:p>
        </w:tc>
        <w:tc>
          <w:tcPr>
            <w:tcW w:type="dxa" w:w="5386"/>
          </w:tcPr>
          <w:p>
            <w:r/>
            <w:r>
              <w:rPr>
                <w:sz w:val="18"/>
              </w:rPr>
              <w:t>python CODE/training/train/calibrate_thresholds.py --sources aadf osm meteo --binary --data-variant normalized</w:t>
            </w:r>
          </w:p>
        </w:tc>
      </w:tr>
      <w:tr>
        <w:tc>
          <w:tcPr>
            <w:tcW w:type="dxa" w:w="2551"/>
          </w:tcPr>
          <w:p>
            <w:r/>
            <w:r>
              <w:rPr>
                <w:sz w:val="18"/>
              </w:rPr>
              <w:t>Model-family comparison</w:t>
            </w:r>
          </w:p>
        </w:tc>
        <w:tc>
          <w:tcPr>
            <w:tcW w:type="dxa" w:w="5386"/>
          </w:tcPr>
          <w:p>
            <w:r/>
            <w:r>
              <w:rPr>
                <w:sz w:val="18"/>
              </w:rPr>
              <w:t>python CODE/experiments/compare_model_families.py --seeds 42 43 44</w:t>
            </w:r>
          </w:p>
        </w:tc>
      </w:tr>
      <w:tr>
        <w:tc>
          <w:tcPr>
            <w:tcW w:type="dxa" w:w="2551"/>
          </w:tcPr>
          <w:p>
            <w:r/>
            <w:r>
              <w:rPr>
                <w:sz w:val="18"/>
              </w:rPr>
              <w:t>Population-accuracy reconstruction</w:t>
            </w:r>
          </w:p>
        </w:tc>
        <w:tc>
          <w:tcPr>
            <w:tcW w:type="dxa" w:w="5386"/>
          </w:tcPr>
          <w:p>
            <w:r/>
            <w:r>
              <w:rPr>
                <w:sz w:val="18"/>
              </w:rPr>
              <w:t>python CODE/experiments/evaluate_population.py</w:t>
            </w:r>
          </w:p>
        </w:tc>
      </w:tr>
    </w:tbl>
    <w:p>
      <w:pPr>
        <w:spacing w:after="80"/>
      </w:pPr>
    </w:p>
    <w:p>
      <w:pPr>
        <w:spacing w:after="160"/>
      </w:pPr>
      <w:r>
        <w:rPr>
          <w:b w:val="0"/>
          <w:i w:val="0"/>
          <w:sz w:val="22"/>
        </w:rPr>
        <w:t>There is no automated test suite, linter, or CI configuration in this repository; correctness is validated experimentally, via the ablations and comparisons summarised in Section 6.</w:t>
      </w:r>
    </w:p>
    <w:p>
      <w:pPr>
        <w:pStyle w:val="Heading1"/>
      </w:pPr>
      <w:r>
        <w:rPr>
          <w:b/>
          <w:color w:val="14548C"/>
          <w:sz w:val="40"/>
        </w:rPr>
        <w:t>Appendix B: References</w:t>
      </w:r>
    </w:p>
    <w:p>
      <w:pPr>
        <w:pStyle w:val="ListBullet"/>
        <w:spacing w:after="80"/>
      </w:pPr>
      <w:r>
        <w:rPr>
          <w:sz w:val="22"/>
        </w:rPr>
        <w:t>STATS19 (UK Department for Transport), via github.com/ropensci/stats19.</w:t>
      </w:r>
    </w:p>
    <w:p>
      <w:pPr>
        <w:pStyle w:val="ListBullet"/>
        <w:spacing w:after="80"/>
      </w:pPr>
      <w:r>
        <w:rPr>
          <w:sz w:val="22"/>
        </w:rPr>
        <w:t>DfT Annual Average Daily Flow traffic counts, roadtraffic.dft.gov.uk/downloads.</w:t>
      </w:r>
    </w:p>
    <w:p>
      <w:pPr>
        <w:pStyle w:val="ListBullet"/>
        <w:spacing w:after="80"/>
      </w:pPr>
      <w:r>
        <w:rPr>
          <w:sz w:val="22"/>
        </w:rPr>
        <w:t>OpenStreetMap, via the Overpass API (overpass-api.de) and Geofabrik Great Britain extracts (download.geofabrik.de).</w:t>
      </w:r>
    </w:p>
    <w:p>
      <w:pPr>
        <w:pStyle w:val="ListBullet"/>
        <w:spacing w:after="80"/>
      </w:pPr>
      <w:r>
        <w:rPr>
          <w:sz w:val="22"/>
        </w:rPr>
        <w:t>Open-Meteo Historical Weather API, open-meteo.com/en/docs/historical-weather-api.</w:t>
      </w:r>
    </w:p>
    <w:p>
      <w:pPr>
        <w:pStyle w:val="ListBullet"/>
        <w:spacing w:after="80"/>
      </w:pPr>
      <w:r>
        <w:rPr>
          <w:sz w:val="22"/>
        </w:rPr>
        <w:t>XGBoost: Chen &amp; Guestrin, “XGBoost: A Scalable Tree Boosting System,” KDD 2016.</w:t>
      </w:r>
    </w:p>
    <w:p>
      <w:pPr>
        <w:pStyle w:val="ListBullet"/>
        <w:spacing w:after="80"/>
      </w:pPr>
      <w:r>
        <w:rPr>
          <w:sz w:val="22"/>
        </w:rPr>
        <w:t>Optuna: Akiba et al., “Optuna: A Next-generation Hyperparameter Optimization Framework,” KDD 2019.</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