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Calibri" w:hAnsi="Calibri"/>
          <w:b/>
          <w:color w:val="000000"/>
          <w:sz w:val="36"/>
        </w:rPr>
        <w:t>Project Management</w:t>
      </w:r>
    </w:p>
    <w:p>
      <w:pPr>
        <w:keepNext/>
        <w:spacing w:before="200" w:after="80"/>
      </w:pPr>
      <w:r>
        <w:rPr>
          <w:rFonts w:ascii="Calibri" w:hAnsi="Calibri"/>
          <w:b/>
          <w:color w:val="000000"/>
          <w:sz w:val="28"/>
        </w:rPr>
        <w:t>Writing the Project Scope Statement</w:t>
      </w:r>
    </w:p>
    <w:p>
      <w:pPr>
        <w:spacing w:after="120" w:before="0" w:line="276" w:lineRule="auto"/>
      </w:pPr>
      <w:r>
        <w:rPr>
          <w:rFonts w:ascii="Calibri" w:hAnsi="Calibri"/>
          <w:b/>
          <w:color w:val="000000"/>
          <w:sz w:val="22"/>
        </w:rPr>
        <w:t xml:space="preserve">Project scope statement: </w:t>
      </w:r>
      <w:r>
        <w:rPr>
          <w:rFonts w:ascii="Calibri" w:hAnsi="Calibri"/>
          <w:color w:val="000000"/>
          <w:sz w:val="22"/>
        </w:rPr>
        <w:t>this document defines all the deliverables the project will create, the boundaries of the project, and the work that the project team will need to complete in order to create the project deliverables. Is based on the project requirements, the feasibility study, the business goals and objectives, and the business case document</w:t>
      </w:r>
    </w:p>
    <w:p>
      <w:pPr>
        <w:spacing w:after="120" w:before="0" w:line="276" w:lineRule="auto"/>
      </w:pPr>
      <w:r>
        <w:rPr>
          <w:rFonts w:ascii="Calibri" w:hAnsi="Calibri"/>
          <w:color w:val="000000"/>
          <w:sz w:val="22"/>
        </w:rPr>
        <w:t>Project boundaries are important to define so that stakeholders don’t make false assumptions about what’s in or out of the project scope.</w:t>
      </w:r>
    </w:p>
    <w:p>
      <w:pPr>
        <w:spacing w:after="120" w:before="0" w:line="276" w:lineRule="auto"/>
      </w:pPr>
      <w:r>
        <w:rPr>
          <w:rFonts w:ascii="Calibri" w:hAnsi="Calibri"/>
          <w:color w:val="000000"/>
          <w:sz w:val="22"/>
        </w:rPr>
        <w:t>The project scope statement has six components:</w:t>
      </w:r>
    </w:p>
    <w:p>
      <w:pPr>
        <w:keepNext/>
        <w:spacing w:before="200" w:after="80"/>
      </w:pPr>
      <w:r>
        <w:rPr>
          <w:rFonts w:ascii="Calibri" w:hAnsi="Calibri"/>
          <w:b/>
          <w:color w:val="000000"/>
          <w:sz w:val="28"/>
        </w:rPr>
        <w:t>Product Scope Description:</w:t>
      </w:r>
    </w:p>
    <w:p>
      <w:pPr>
        <w:spacing w:after="120" w:before="0" w:line="276" w:lineRule="auto"/>
      </w:pPr>
      <w:r>
        <w:rPr>
          <w:rFonts w:ascii="Calibri" w:hAnsi="Calibri"/>
          <w:color w:val="000000"/>
          <w:sz w:val="22"/>
        </w:rPr>
        <w:t>is a description of the deliverables that the customer will receive as a result of your project team completing the project scope. Is the thing the project will be creating.</w:t>
      </w:r>
    </w:p>
    <w:p>
      <w:pPr>
        <w:spacing w:after="120" w:before="0" w:line="276" w:lineRule="auto"/>
      </w:pPr>
      <w:r>
        <w:rPr>
          <w:rFonts w:ascii="Calibri" w:hAnsi="Calibri"/>
          <w:color w:val="000000"/>
          <w:sz w:val="22"/>
        </w:rPr>
        <w:t>For example, if a customer wants you to create a new piece of software for her, she’ll describe the product scope, how it will be used, the functional components of the software, and the tangible components of the solution.</w:t>
      </w:r>
    </w:p>
    <w:p>
      <w:pPr>
        <w:spacing w:after="120" w:before="0" w:line="276" w:lineRule="auto"/>
      </w:pPr>
      <w:r>
        <w:rPr>
          <w:rFonts w:ascii="Calibri" w:hAnsi="Calibri"/>
          <w:color w:val="000000"/>
          <w:sz w:val="22"/>
        </w:rPr>
        <w:t>The Scam Shield system is a national anti-fraud protection solution designed to protect Egyptian citizens from mobile and online scams (such as fake SMS, phishing links, and WhatsApp scams). The product comprises:</w:t>
      </w:r>
    </w:p>
    <w:p>
      <w:pPr>
        <w:spacing w:after="120" w:before="0" w:line="276" w:lineRule="auto"/>
      </w:pPr>
      <w:r>
        <w:rPr>
          <w:rFonts w:ascii="Calibri" w:hAnsi="Calibri"/>
          <w:b/>
          <w:color w:val="000000"/>
          <w:sz w:val="22"/>
        </w:rPr>
        <w:t xml:space="preserve">• Mobile Application: </w:t>
      </w:r>
      <w:r>
        <w:rPr>
          <w:rFonts w:ascii="Calibri" w:hAnsi="Calibri"/>
          <w:color w:val="000000"/>
          <w:sz w:val="22"/>
        </w:rPr>
        <w:t>A cross-platform mobile application (Android and iOS) in Arabic and English allowing users to check suspicious links, lookup phone numbers, and report scams with a single tap.</w:t>
      </w:r>
    </w:p>
    <w:p>
      <w:pPr>
        <w:spacing w:after="120" w:before="0" w:line="276" w:lineRule="auto"/>
      </w:pPr>
      <w:r>
        <w:rPr>
          <w:rFonts w:ascii="Calibri" w:hAnsi="Calibri"/>
          <w:b/>
          <w:color w:val="000000"/>
          <w:sz w:val="22"/>
        </w:rPr>
        <w:t xml:space="preserve">• Back-End Engine &amp; National Database: </w:t>
      </w:r>
      <w:r>
        <w:rPr>
          <w:rFonts w:ascii="Calibri" w:hAnsi="Calibri"/>
          <w:color w:val="000000"/>
          <w:sz w:val="22"/>
        </w:rPr>
        <w:t>A cloud-based back-end engine hosting a public database of confirmed scam links, phone numbers, and threat patterns, exposed via REST APIs for integration with financial institutions and telecom operators.</w:t>
      </w:r>
    </w:p>
    <w:p>
      <w:pPr>
        <w:spacing w:after="120" w:before="0" w:line="276" w:lineRule="auto"/>
      </w:pPr>
      <w:r>
        <w:rPr>
          <w:rFonts w:ascii="Calibri" w:hAnsi="Calibri"/>
          <w:b/>
          <w:color w:val="000000"/>
          <w:sz w:val="22"/>
        </w:rPr>
        <w:t xml:space="preserve">• Administrative Dashboard: </w:t>
      </w:r>
      <w:r>
        <w:rPr>
          <w:rFonts w:ascii="Calibri" w:hAnsi="Calibri"/>
          <w:color w:val="000000"/>
          <w:sz w:val="22"/>
        </w:rPr>
        <w:t>An administrative web dashboard for fraud analysts to review, verify, and track scam propagation across Egyptian governorates.</w:t>
      </w:r>
    </w:p>
    <w:p>
      <w:pPr>
        <w:spacing w:after="120" w:before="0" w:line="276" w:lineRule="auto"/>
      </w:pPr>
      <w:r>
        <w:rPr>
          <w:rFonts w:ascii="Calibri" w:hAnsi="Calibri"/>
          <w:b/>
          <w:color w:val="000000"/>
          <w:sz w:val="22"/>
        </w:rPr>
        <w:t xml:space="preserve">• Awareness Section: </w:t>
      </w:r>
      <w:r>
        <w:rPr>
          <w:rFonts w:ascii="Calibri" w:hAnsi="Calibri"/>
          <w:color w:val="000000"/>
          <w:sz w:val="22"/>
        </w:rPr>
        <w:t>An embedded educational module providing short practical guides and real-world Egyptian scam examples.</w:t>
      </w:r>
    </w:p>
    <w:p>
      <w:pPr>
        <w:keepNext/>
        <w:spacing w:before="200" w:after="80"/>
      </w:pPr>
      <w:r>
        <w:rPr>
          <w:rFonts w:ascii="Calibri" w:hAnsi="Calibri"/>
          <w:b/>
          <w:color w:val="000000"/>
          <w:sz w:val="28"/>
        </w:rPr>
        <w:t>Product Acceptance Criteria:</w:t>
      </w:r>
    </w:p>
    <w:p>
      <w:pPr>
        <w:spacing w:after="120" w:before="0" w:line="276" w:lineRule="auto"/>
      </w:pPr>
      <w:r>
        <w:rPr>
          <w:rFonts w:ascii="Calibri" w:hAnsi="Calibri"/>
          <w:color w:val="000000"/>
          <w:sz w:val="22"/>
        </w:rPr>
        <w:t>clearly define what the project must create for the project to be accepted by the customer and for the project to be considered completed.</w:t>
      </w:r>
    </w:p>
    <w:p>
      <w:pPr>
        <w:spacing w:after="120" w:before="0" w:line="276" w:lineRule="auto"/>
      </w:pPr>
      <w:r>
        <w:rPr>
          <w:rFonts w:ascii="Calibri" w:hAnsi="Calibri"/>
          <w:color w:val="000000"/>
          <w:sz w:val="22"/>
        </w:rPr>
        <w:t>For Scam Shield, the customer (Ministry of Communications and Information Technology) will accept the product upon meeting the following criteria:</w:t>
      </w:r>
    </w:p>
    <w:p>
      <w:pPr>
        <w:spacing w:after="120" w:before="0" w:line="276" w:lineRule="auto"/>
      </w:pPr>
      <w:r>
        <w:rPr>
          <w:rFonts w:ascii="Calibri" w:hAnsi="Calibri"/>
          <w:b/>
          <w:color w:val="000000"/>
          <w:sz w:val="22"/>
        </w:rPr>
        <w:t xml:space="preserve">• Requirements Compliance: </w:t>
      </w:r>
      <w:r>
        <w:rPr>
          <w:rFonts w:ascii="Calibri" w:hAnsi="Calibri"/>
          <w:color w:val="000000"/>
          <w:sz w:val="22"/>
        </w:rPr>
        <w:t>100% compliance with signed-off requirements during the Requirements Review.</w:t>
      </w:r>
    </w:p>
    <w:p>
      <w:pPr>
        <w:spacing w:after="120" w:before="0" w:line="276" w:lineRule="auto"/>
      </w:pPr>
      <w:r>
        <w:rPr>
          <w:rFonts w:ascii="Calibri" w:hAnsi="Calibri"/>
          <w:b/>
          <w:color w:val="000000"/>
          <w:sz w:val="22"/>
        </w:rPr>
        <w:t xml:space="preserve">• Security &amp; Quality Sign-Off: </w:t>
      </w:r>
      <w:r>
        <w:rPr>
          <w:rFonts w:ascii="Calibri" w:hAnsi="Calibri"/>
          <w:color w:val="000000"/>
          <w:sz w:val="22"/>
        </w:rPr>
        <w:t>Successful passing of all functional, performance, and third-party independent penetration security tests without unmitigated critical or high-severity vulnerabilities.</w:t>
      </w:r>
    </w:p>
    <w:p>
      <w:pPr>
        <w:spacing w:after="120" w:before="0" w:line="276" w:lineRule="auto"/>
      </w:pPr>
      <w:r>
        <w:rPr>
          <w:rFonts w:ascii="Calibri" w:hAnsi="Calibri"/>
          <w:b/>
          <w:color w:val="000000"/>
          <w:sz w:val="22"/>
        </w:rPr>
        <w:t xml:space="preserve">• Accessibility &amp; Low-End Compatibility: </w:t>
      </w:r>
      <w:r>
        <w:rPr>
          <w:rFonts w:ascii="Calibri" w:hAnsi="Calibri"/>
          <w:color w:val="000000"/>
          <w:sz w:val="22"/>
        </w:rPr>
        <w:t>Operational support for plain Arabic and English user interfaces, optimized to run seamlessly on low-end mobile hardware under weak connectivity (2G/3G).</w:t>
      </w:r>
    </w:p>
    <w:p>
      <w:pPr>
        <w:spacing w:after="120" w:before="0" w:line="276" w:lineRule="auto"/>
      </w:pPr>
      <w:r>
        <w:rPr>
          <w:rFonts w:ascii="Calibri" w:hAnsi="Calibri"/>
          <w:b/>
          <w:color w:val="000000"/>
          <w:sz w:val="22"/>
        </w:rPr>
        <w:t xml:space="preserve">• Data Governance: </w:t>
      </w:r>
      <w:r>
        <w:rPr>
          <w:rFonts w:ascii="Calibri" w:hAnsi="Calibri"/>
          <w:color w:val="000000"/>
          <w:sz w:val="22"/>
        </w:rPr>
        <w:t>Full regulatory compliance with Egyptian Personal Data Protection Law and hosting on Egyptian cloud infrastructure.</w:t>
      </w:r>
    </w:p>
    <w:p>
      <w:pPr>
        <w:spacing w:after="120" w:before="0" w:line="276" w:lineRule="auto"/>
      </w:pPr>
      <w:r>
        <w:rPr>
          <w:rFonts w:ascii="Calibri" w:hAnsi="Calibri"/>
          <w:b/>
          <w:color w:val="000000"/>
          <w:sz w:val="22"/>
        </w:rPr>
        <w:t xml:space="preserve">• Pilot &amp; Operational Readiness: </w:t>
      </w:r>
      <w:r>
        <w:rPr>
          <w:rFonts w:ascii="Calibri" w:hAnsi="Calibri"/>
          <w:color w:val="000000"/>
          <w:sz w:val="22"/>
        </w:rPr>
        <w:t>Successful execution of the Pilot Launch with real users and operational sign-off from the fraud review team.</w:t>
      </w:r>
    </w:p>
    <w:p>
      <w:pPr>
        <w:keepNext/>
        <w:spacing w:before="200" w:after="80"/>
      </w:pPr>
      <w:r>
        <w:rPr>
          <w:rFonts w:ascii="Calibri" w:hAnsi="Calibri"/>
          <w:b/>
          <w:color w:val="000000"/>
          <w:sz w:val="28"/>
        </w:rPr>
        <w:t>Project Deliverables:</w:t>
      </w:r>
    </w:p>
    <w:p>
      <w:pPr>
        <w:spacing w:after="120" w:before="0" w:line="276" w:lineRule="auto"/>
      </w:pPr>
      <w:r>
        <w:rPr>
          <w:rFonts w:ascii="Calibri" w:hAnsi="Calibri"/>
          <w:color w:val="000000"/>
          <w:sz w:val="22"/>
        </w:rPr>
        <w:t>There are other deliverables that the project may create or purchase as well: tools, templates, reports, plans, and other deliverables that the organization will retain as a benefit for completing the project work. The project deliverables that the organization save become part of organizational process assets so that other project teams can benefit from these deliverables in their relevant projects.</w:t>
      </w:r>
    </w:p>
    <w:p>
      <w:pPr>
        <w:spacing w:after="120" w:before="0" w:line="276" w:lineRule="auto"/>
      </w:pPr>
      <w:r>
        <w:rPr>
          <w:rFonts w:ascii="Calibri" w:hAnsi="Calibri"/>
          <w:color w:val="000000"/>
          <w:sz w:val="22"/>
        </w:rPr>
        <w:t>The Scam Shield project creates both technical end-user deliverables and organizational process assets:</w:t>
      </w:r>
    </w:p>
    <w:p>
      <w:pPr>
        <w:spacing w:after="120" w:before="0" w:line="276" w:lineRule="auto"/>
      </w:pPr>
      <w:r>
        <w:rPr>
          <w:rFonts w:ascii="Calibri" w:hAnsi="Calibri"/>
          <w:b/>
          <w:color w:val="000000"/>
          <w:sz w:val="22"/>
        </w:rPr>
        <w:t xml:space="preserve">• Technical &amp; Architecture Plans: </w:t>
      </w:r>
      <w:r>
        <w:rPr>
          <w:rFonts w:ascii="Calibri" w:hAnsi="Calibri"/>
          <w:color w:val="000000"/>
          <w:sz w:val="22"/>
        </w:rPr>
        <w:t>Requirements Specification Document &amp; Architecture Design Document.</w:t>
      </w:r>
    </w:p>
    <w:p>
      <w:pPr>
        <w:spacing w:after="120" w:before="0" w:line="276" w:lineRule="auto"/>
      </w:pPr>
      <w:r>
        <w:rPr>
          <w:rFonts w:ascii="Calibri" w:hAnsi="Calibri"/>
          <w:b/>
          <w:color w:val="000000"/>
          <w:sz w:val="22"/>
        </w:rPr>
        <w:t xml:space="preserve">• Software Artifacts: </w:t>
      </w:r>
      <w:r>
        <w:rPr>
          <w:rFonts w:ascii="Calibri" w:hAnsi="Calibri"/>
          <w:color w:val="000000"/>
          <w:sz w:val="22"/>
        </w:rPr>
        <w:t>Native Mobile Apps (Android APK/Bundle &amp; iOS IPA) published to Google Play Store and Apple App Store.</w:t>
      </w:r>
    </w:p>
    <w:p>
      <w:pPr>
        <w:spacing w:after="120" w:before="0" w:line="276" w:lineRule="auto"/>
      </w:pPr>
      <w:r>
        <w:rPr>
          <w:rFonts w:ascii="Calibri" w:hAnsi="Calibri"/>
          <w:b/>
          <w:color w:val="000000"/>
          <w:sz w:val="22"/>
        </w:rPr>
        <w:t xml:space="preserve">• Database &amp; Integration Interfaces: </w:t>
      </w:r>
      <w:r>
        <w:rPr>
          <w:rFonts w:ascii="Calibri" w:hAnsi="Calibri"/>
          <w:color w:val="000000"/>
          <w:sz w:val="22"/>
        </w:rPr>
        <w:t>Central Scam Reputation Database Schema and API Integration Protocols for banks and telcos.</w:t>
      </w:r>
    </w:p>
    <w:p>
      <w:pPr>
        <w:spacing w:after="120" w:before="0" w:line="276" w:lineRule="auto"/>
      </w:pPr>
      <w:r>
        <w:rPr>
          <w:rFonts w:ascii="Calibri" w:hAnsi="Calibri"/>
          <w:b/>
          <w:color w:val="000000"/>
          <w:sz w:val="22"/>
        </w:rPr>
        <w:t xml:space="preserve">• Security &amp; Audit Reports: </w:t>
      </w:r>
      <w:r>
        <w:rPr>
          <w:rFonts w:ascii="Calibri" w:hAnsi="Calibri"/>
          <w:color w:val="000000"/>
          <w:sz w:val="22"/>
        </w:rPr>
        <w:t>Third-Party Security Penetration Test Report &amp; System Test Review Audit.</w:t>
      </w:r>
    </w:p>
    <w:p>
      <w:pPr>
        <w:spacing w:after="120" w:before="0" w:line="276" w:lineRule="auto"/>
      </w:pPr>
      <w:r>
        <w:rPr>
          <w:rFonts w:ascii="Calibri" w:hAnsi="Calibri"/>
          <w:b/>
          <w:color w:val="000000"/>
          <w:sz w:val="22"/>
        </w:rPr>
        <w:t xml:space="preserve">• Operational Assets: </w:t>
      </w:r>
      <w:r>
        <w:rPr>
          <w:rFonts w:ascii="Calibri" w:hAnsi="Calibri"/>
          <w:color w:val="000000"/>
          <w:sz w:val="22"/>
        </w:rPr>
        <w:t>Fraud Analyst Operational Playbook and Review Guidelines.</w:t>
      </w:r>
    </w:p>
    <w:p>
      <w:pPr>
        <w:spacing w:after="120" w:before="0" w:line="276" w:lineRule="auto"/>
      </w:pPr>
      <w:r>
        <w:rPr>
          <w:rFonts w:ascii="Calibri" w:hAnsi="Calibri"/>
          <w:b/>
          <w:color w:val="000000"/>
          <w:sz w:val="22"/>
        </w:rPr>
        <w:t xml:space="preserve">• Pilot Performance Report: </w:t>
      </w:r>
      <w:r>
        <w:rPr>
          <w:rFonts w:ascii="Calibri" w:hAnsi="Calibri"/>
          <w:color w:val="000000"/>
          <w:sz w:val="22"/>
        </w:rPr>
        <w:t>Pilot Launch Assessment Report detailing threat detection metrics and performance.</w:t>
      </w:r>
    </w:p>
    <w:p>
      <w:pPr>
        <w:keepNext/>
        <w:spacing w:before="200" w:after="80"/>
      </w:pPr>
      <w:r>
        <w:rPr>
          <w:rFonts w:ascii="Calibri" w:hAnsi="Calibri"/>
          <w:b/>
          <w:color w:val="000000"/>
          <w:sz w:val="28"/>
        </w:rPr>
        <w:t>Project Exclusions:</w:t>
      </w:r>
    </w:p>
    <w:p>
      <w:pPr>
        <w:spacing w:after="120" w:before="0" w:line="276" w:lineRule="auto"/>
      </w:pPr>
      <w:r>
        <w:rPr>
          <w:rFonts w:ascii="Calibri" w:hAnsi="Calibri"/>
          <w:color w:val="000000"/>
          <w:sz w:val="22"/>
        </w:rPr>
        <w:t>The project scope statement must define the boundaries of the project to communicate what will not be included in the project deliverables. It’s important to define what’s excluded so that there’s no confusion when the project manager wants to close the project and the project customers are expecting more deliverables.</w:t>
      </w:r>
    </w:p>
    <w:p>
      <w:pPr>
        <w:spacing w:after="120" w:before="0" w:line="276" w:lineRule="auto"/>
      </w:pPr>
      <w:r>
        <w:rPr>
          <w:rFonts w:ascii="Calibri" w:hAnsi="Calibri"/>
          <w:color w:val="000000"/>
          <w:sz w:val="22"/>
        </w:rPr>
        <w:t>To avoid scope creep and false stakeholder expectations, the following are explicitly excluded from Scam Shield:</w:t>
      </w:r>
    </w:p>
    <w:p>
      <w:pPr>
        <w:spacing w:after="120" w:before="0" w:line="276" w:lineRule="auto"/>
      </w:pPr>
      <w:r>
        <w:rPr>
          <w:rFonts w:ascii="Calibri" w:hAnsi="Calibri"/>
          <w:b/>
          <w:color w:val="000000"/>
          <w:sz w:val="22"/>
        </w:rPr>
        <w:t xml:space="preserve">• Full Antivirus / Anti-Malware: </w:t>
      </w:r>
      <w:r>
        <w:rPr>
          <w:rFonts w:ascii="Calibri" w:hAnsi="Calibri"/>
          <w:color w:val="000000"/>
          <w:sz w:val="22"/>
        </w:rPr>
        <w:t>Scam Shield will NOT function as a full antivirus software, endpoint malware cleaner, or device optimization tool.</w:t>
      </w:r>
    </w:p>
    <w:p>
      <w:pPr>
        <w:spacing w:after="120" w:before="0" w:line="276" w:lineRule="auto"/>
      </w:pPr>
      <w:r>
        <w:rPr>
          <w:rFonts w:ascii="Calibri" w:hAnsi="Calibri"/>
          <w:b/>
          <w:color w:val="000000"/>
          <w:sz w:val="22"/>
        </w:rPr>
        <w:t xml:space="preserve">• Banking &amp; Financial Operations: </w:t>
      </w:r>
      <w:r>
        <w:rPr>
          <w:rFonts w:ascii="Calibri" w:hAnsi="Calibri"/>
          <w:color w:val="000000"/>
          <w:sz w:val="22"/>
        </w:rPr>
        <w:t>Scam Shield will NOT handle direct financial transactions, banking operations, or user fund recovery.</w:t>
      </w:r>
    </w:p>
    <w:p>
      <w:pPr>
        <w:spacing w:after="120" w:before="0" w:line="276" w:lineRule="auto"/>
      </w:pPr>
      <w:r>
        <w:rPr>
          <w:rFonts w:ascii="Calibri" w:hAnsi="Calibri"/>
          <w:b/>
          <w:color w:val="000000"/>
          <w:sz w:val="22"/>
        </w:rPr>
        <w:t xml:space="preserve">• Automatic Private Message Interception: </w:t>
      </w:r>
      <w:r>
        <w:rPr>
          <w:rFonts w:ascii="Calibri" w:hAnsi="Calibri"/>
          <w:color w:val="000000"/>
          <w:sz w:val="22"/>
        </w:rPr>
        <w:t>The app will NOT perform unauthorized reading or continuous background monitoring of private SMS or WhatsApp messages. Scanning occurs ONLY when explicitly shared or requested by the user.</w:t>
      </w:r>
    </w:p>
    <w:p>
      <w:pPr>
        <w:spacing w:after="120" w:before="0" w:line="276" w:lineRule="auto"/>
      </w:pPr>
      <w:r>
        <w:rPr>
          <w:rFonts w:ascii="Calibri" w:hAnsi="Calibri"/>
          <w:b/>
          <w:color w:val="000000"/>
          <w:sz w:val="22"/>
        </w:rPr>
        <w:t xml:space="preserve">• Hardware Provisioning: </w:t>
      </w:r>
      <w:r>
        <w:rPr>
          <w:rFonts w:ascii="Calibri" w:hAnsi="Calibri"/>
          <w:color w:val="000000"/>
          <w:sz w:val="22"/>
        </w:rPr>
        <w:t>Hardware procurement beyond the 8 developer laptops defined in resources.</w:t>
      </w:r>
    </w:p>
    <w:p>
      <w:pPr>
        <w:keepNext/>
        <w:spacing w:before="200" w:after="80"/>
      </w:pPr>
      <w:r>
        <w:rPr>
          <w:rFonts w:ascii="Calibri" w:hAnsi="Calibri"/>
          <w:b/>
          <w:color w:val="000000"/>
          <w:sz w:val="28"/>
        </w:rPr>
        <w:t>Project Constraints:</w:t>
      </w:r>
    </w:p>
    <w:p>
      <w:pPr>
        <w:spacing w:after="120" w:before="0" w:line="276" w:lineRule="auto"/>
      </w:pPr>
      <w:r>
        <w:rPr>
          <w:rFonts w:ascii="Calibri" w:hAnsi="Calibri"/>
          <w:color w:val="000000"/>
          <w:sz w:val="22"/>
        </w:rPr>
        <w:t>are anything that limit the project manager’s options. Predetermined budgets, deadlines, resources, preferred vendors, and required technology are all examples of constraints. Project management always has three constraints: time, cost, and scope (the triple constraints of project management)</w:t>
      </w:r>
    </w:p>
    <w:p>
      <w:pPr>
        <w:spacing w:after="120" w:before="0" w:line="276" w:lineRule="auto"/>
      </w:pPr>
      <w:r>
        <w:rPr>
          <w:rFonts w:ascii="Calibri" w:hAnsi="Calibri"/>
          <w:color w:val="000000"/>
          <w:sz w:val="22"/>
        </w:rPr>
        <w:t>The Scam Shield constraints consist of:</w:t>
      </w:r>
    </w:p>
    <w:p>
      <w:pPr>
        <w:spacing w:after="120" w:before="0" w:line="276" w:lineRule="auto"/>
      </w:pPr>
      <w:r>
        <w:rPr>
          <w:rFonts w:ascii="Calibri" w:hAnsi="Calibri"/>
          <w:b/>
          <w:color w:val="000000"/>
          <w:sz w:val="22"/>
        </w:rPr>
        <w:t xml:space="preserve">• Budget Constraint (Cost): </w:t>
      </w:r>
      <w:r>
        <w:rPr>
          <w:rFonts w:ascii="Calibri" w:hAnsi="Calibri"/>
          <w:color w:val="000000"/>
          <w:sz w:val="22"/>
        </w:rPr>
        <w:t>Fixed total budget of 1,200,000 L.E., covering development, first-year cloud hosting, security testing, and pilot execution.</w:t>
      </w:r>
    </w:p>
    <w:p>
      <w:pPr>
        <w:spacing w:after="120" w:before="0" w:line="276" w:lineRule="auto"/>
      </w:pPr>
      <w:r>
        <w:rPr>
          <w:rFonts w:ascii="Calibri" w:hAnsi="Calibri"/>
          <w:b/>
          <w:color w:val="000000"/>
          <w:sz w:val="22"/>
        </w:rPr>
        <w:t xml:space="preserve">• Time Constraint (Schedule): </w:t>
      </w:r>
      <w:r>
        <w:rPr>
          <w:rFonts w:ascii="Calibri" w:hAnsi="Calibri"/>
          <w:color w:val="000000"/>
          <w:sz w:val="22"/>
        </w:rPr>
        <w:t>Strict final project delivery deadline of 15/03/2027.</w:t>
      </w:r>
    </w:p>
    <w:p>
      <w:pPr>
        <w:spacing w:after="120" w:before="0" w:line="276" w:lineRule="auto"/>
      </w:pPr>
      <w:r>
        <w:rPr>
          <w:rFonts w:ascii="Calibri" w:hAnsi="Calibri"/>
          <w:b/>
          <w:color w:val="000000"/>
          <w:sz w:val="22"/>
        </w:rPr>
        <w:t xml:space="preserve">• Resource Constraint: </w:t>
      </w:r>
      <w:r>
        <w:rPr>
          <w:rFonts w:ascii="Calibri" w:hAnsi="Calibri"/>
          <w:color w:val="000000"/>
          <w:sz w:val="22"/>
        </w:rPr>
        <w:t>Fixed project staffing (2 Android Devs, 2 iOS Devs, 2 Back-End Devs, 1 Security Engineer, 1 Data/ML Engineer, 1 UI/UX Designer, 2 Fraud Analysts) and 8 laptops.</w:t>
      </w:r>
    </w:p>
    <w:p>
      <w:pPr>
        <w:spacing w:after="120" w:before="0" w:line="276" w:lineRule="auto"/>
      </w:pPr>
      <w:r>
        <w:rPr>
          <w:rFonts w:ascii="Calibri" w:hAnsi="Calibri"/>
          <w:b/>
          <w:color w:val="000000"/>
          <w:sz w:val="22"/>
        </w:rPr>
        <w:t xml:space="preserve">• Legal &amp; Technological Constraint: </w:t>
      </w:r>
      <w:r>
        <w:rPr>
          <w:rFonts w:ascii="Calibri" w:hAnsi="Calibri"/>
          <w:color w:val="000000"/>
          <w:sz w:val="22"/>
        </w:rPr>
        <w:t>Mandatory storage of all user and system data on cloud servers located inside Egypt in strict adherence to Egyptian Personal Data Protection Law.</w:t>
      </w:r>
    </w:p>
    <w:p>
      <w:pPr>
        <w:keepNext/>
        <w:spacing w:before="200" w:after="80"/>
      </w:pPr>
      <w:r>
        <w:rPr>
          <w:rFonts w:ascii="Calibri" w:hAnsi="Calibri"/>
          <w:b/>
          <w:color w:val="000000"/>
          <w:sz w:val="28"/>
        </w:rPr>
        <w:t>Project Assumptions:</w:t>
      </w:r>
    </w:p>
    <w:p>
      <w:pPr>
        <w:spacing w:after="120" w:before="0" w:line="276" w:lineRule="auto"/>
      </w:pPr>
      <w:r>
        <w:rPr>
          <w:rFonts w:ascii="Calibri" w:hAnsi="Calibri"/>
          <w:color w:val="000000"/>
          <w:sz w:val="22"/>
        </w:rPr>
        <w:t>As part of planning, there may be assumptions that must be made in order to plan effectively and timely. Assumptions about hardware and software compatibility, resource availability, longevity of the solution. All project assumptions should be evaluated later in planning to determine their risk for the project should the assumptions prove false.</w:t>
      </w:r>
    </w:p>
    <w:p>
      <w:pPr>
        <w:spacing w:after="120" w:before="0" w:line="276" w:lineRule="auto"/>
      </w:pPr>
      <w:r>
        <w:rPr>
          <w:rFonts w:ascii="Calibri" w:hAnsi="Calibri"/>
          <w:color w:val="000000"/>
          <w:sz w:val="22"/>
        </w:rPr>
        <w:t>Planning for Scam Shield is based on the following critical assumptions:</w:t>
      </w:r>
    </w:p>
    <w:p>
      <w:pPr>
        <w:spacing w:after="120" w:before="0" w:line="276" w:lineRule="auto"/>
      </w:pPr>
      <w:r>
        <w:rPr>
          <w:rFonts w:ascii="Calibri" w:hAnsi="Calibri"/>
          <w:b/>
          <w:color w:val="000000"/>
          <w:sz w:val="22"/>
        </w:rPr>
        <w:t xml:space="preserve">• Stakeholder Cooperation: </w:t>
      </w:r>
      <w:r>
        <w:rPr>
          <w:rFonts w:ascii="Calibri" w:hAnsi="Calibri"/>
          <w:color w:val="000000"/>
          <w:sz w:val="22"/>
        </w:rPr>
        <w:t>Egyptian telecom operators and major banks will cooperate in consuming the central API and providing reputation feedback.</w:t>
      </w:r>
    </w:p>
    <w:p>
      <w:pPr>
        <w:spacing w:after="120" w:before="0" w:line="276" w:lineRule="auto"/>
      </w:pPr>
      <w:r>
        <w:rPr>
          <w:rFonts w:ascii="Calibri" w:hAnsi="Calibri"/>
          <w:b/>
          <w:color w:val="000000"/>
          <w:sz w:val="22"/>
        </w:rPr>
        <w:t xml:space="preserve">• Data Feed Reliability: </w:t>
      </w:r>
      <w:r>
        <w:rPr>
          <w:rFonts w:ascii="Calibri" w:hAnsi="Calibri"/>
          <w:color w:val="000000"/>
          <w:sz w:val="22"/>
        </w:rPr>
        <w:t>External SMS/URL reputation data feeds will maintain high availability and reliability during production.</w:t>
      </w:r>
    </w:p>
    <w:p>
      <w:pPr>
        <w:spacing w:after="120" w:before="0" w:line="276" w:lineRule="auto"/>
      </w:pPr>
      <w:r>
        <w:rPr>
          <w:rFonts w:ascii="Calibri" w:hAnsi="Calibri"/>
          <w:b/>
          <w:color w:val="000000"/>
          <w:sz w:val="22"/>
        </w:rPr>
        <w:t xml:space="preserve">• Resource Availability: </w:t>
      </w:r>
      <w:r>
        <w:rPr>
          <w:rFonts w:ascii="Calibri" w:hAnsi="Calibri"/>
          <w:color w:val="000000"/>
          <w:sz w:val="22"/>
        </w:rPr>
        <w:t>Assigned key technical personnel (specifically the Security Engineer and Data/ML Engineer) remain available throughout the project lifecycle.</w:t>
      </w:r>
    </w:p>
    <w:p>
      <w:pPr>
        <w:spacing w:after="120" w:before="0" w:line="276" w:lineRule="auto"/>
      </w:pPr>
      <w:r>
        <w:rPr>
          <w:rFonts w:ascii="Calibri" w:hAnsi="Calibri"/>
          <w:b/>
          <w:color w:val="000000"/>
          <w:sz w:val="22"/>
        </w:rPr>
        <w:t xml:space="preserve">• Data Sizing &amp; Model Accuracy: </w:t>
      </w:r>
      <w:r>
        <w:rPr>
          <w:rFonts w:ascii="Calibri" w:hAnsi="Calibri"/>
          <w:color w:val="000000"/>
          <w:sz w:val="22"/>
        </w:rPr>
        <w:t>Sufficient volume of initial user-submitted scam reports during the pilot phase to train and refine the detection algorithms effectively.</w:t>
      </w:r>
    </w:p>
    <w:p>
      <w:pPr>
        <w:keepNext/>
        <w:spacing w:before="240" w:after="120"/>
      </w:pPr>
      <w:r>
        <w:rPr>
          <w:rFonts w:ascii="Calibri" w:hAnsi="Calibri"/>
          <w:b/>
          <w:color w:val="000000"/>
          <w:sz w:val="36"/>
        </w:rPr>
        <w:t>Work Breakdown Structure</w:t>
      </w:r>
    </w:p>
    <w:p>
      <w:pPr>
        <w:spacing w:after="120" w:before="0" w:line="276" w:lineRule="auto"/>
      </w:pPr>
      <w:r>
        <w:rPr>
          <w:rFonts w:ascii="Calibri" w:hAnsi="Calibri"/>
          <w:color w:val="000000"/>
          <w:sz w:val="22"/>
        </w:rPr>
        <w:t>A WBS is a deliverables-oriented collection of project components. It is a categorization and decomposition of the project scope statement. it’s called decomposition because you’re breaking down the massive project scope statement into smaller, more manageable components. Each component is subdivided again and again until you reach the smallest element of the WBS.</w:t>
      </w:r>
    </w:p>
    <w:p>
      <w:pPr>
        <w:spacing w:after="120" w:before="0" w:line="276" w:lineRule="auto"/>
      </w:pPr>
      <w:r>
        <w:rPr>
          <w:rFonts w:ascii="Calibri" w:hAnsi="Calibri"/>
          <w:color w:val="000000"/>
          <w:sz w:val="22"/>
        </w:rPr>
        <w:t>The work package is a WBS element that you can schedule in your project, estimate the costs from, and monitor and control.</w:t>
      </w:r>
    </w:p>
    <w:p>
      <w:pPr>
        <w:keepNext/>
        <w:spacing w:before="200" w:after="80"/>
      </w:pPr>
      <w:r>
        <w:rPr>
          <w:rFonts w:ascii="Calibri" w:hAnsi="Calibri"/>
          <w:b/>
          <w:color w:val="000000"/>
          <w:sz w:val="28"/>
        </w:rPr>
        <w:t>Coordinating WBS Components</w:t>
      </w:r>
    </w:p>
    <w:p>
      <w:pPr>
        <w:spacing w:after="120" w:before="0" w:line="276" w:lineRule="auto"/>
      </w:pPr>
      <w:r>
        <w:rPr>
          <w:rFonts w:ascii="Calibri" w:hAnsi="Calibri"/>
          <w:b/>
          <w:color w:val="000000"/>
          <w:sz w:val="22"/>
        </w:rPr>
        <w:t xml:space="preserve">“8/80” Rule : </w:t>
      </w:r>
      <w:r>
        <w:rPr>
          <w:rFonts w:ascii="Calibri" w:hAnsi="Calibri"/>
          <w:color w:val="000000"/>
          <w:sz w:val="22"/>
        </w:rPr>
        <w:t>The 8/80 Rule suggests that the smallest work package take no more than 80 hours of time to complete—or no less than eight hours to complete.</w:t>
      </w:r>
    </w:p>
    <w:p>
      <w:pPr>
        <w:spacing w:after="120" w:before="0" w:line="276" w:lineRule="auto"/>
      </w:pPr>
      <w:r>
        <w:rPr>
          <w:rFonts w:ascii="Calibri" w:hAnsi="Calibri"/>
          <w:color w:val="000000"/>
          <w:sz w:val="22"/>
        </w:rPr>
        <w:t>A code of accounts is a numbering system that shows the different levels of WBS components and identifies which components belong to which parts of the WBS.</w:t>
      </w:r>
    </w:p>
    <w:p>
      <w:pPr>
        <w:spacing w:after="120" w:before="0" w:line="276" w:lineRule="auto"/>
      </w:pPr>
      <w:r>
        <w:rPr>
          <w:rFonts w:ascii="Calibri" w:hAnsi="Calibri"/>
          <w:color w:val="000000"/>
          <w:sz w:val="22"/>
        </w:rPr>
        <w:t>For Example</w:t>
      </w:r>
    </w:p>
    <w:p>
      <w:pPr>
        <w:spacing w:after="120" w:before="0" w:line="276" w:lineRule="auto"/>
      </w:pPr>
      <w:r>
        <w:rPr>
          <w:rFonts w:ascii="Calibri" w:hAnsi="Calibri"/>
          <w:color w:val="000000"/>
          <w:sz w:val="22"/>
        </w:rPr>
        <w:t>You could have a project named Scam Shield (let’s pretend it’s been assigned a project code of 601 in your organization). Within this project there are five major categories of deliverables: Requirements &amp; Governance, System Architecture &amp; Design, Development &amp; Implementation, Testing &amp; Quality Assurance, and Operational Launch &amp; Deployment. Each of these categories would append the assigned project code and would look like this</w:t>
      </w:r>
    </w:p>
    <w:p>
      <w:pPr>
        <w:spacing w:after="40"/>
        <w:ind w:left="0"/>
      </w:pPr>
      <w:r>
        <w:rPr>
          <w:rFonts w:ascii="Calibri" w:hAnsi="Calibri"/>
          <w:color w:val="000000"/>
          <w:sz w:val="22"/>
        </w:rPr>
        <w:t>601.1 Requirements &amp; Governance</w:t>
      </w:r>
    </w:p>
    <w:p>
      <w:pPr>
        <w:spacing w:after="40"/>
        <w:ind w:left="0"/>
      </w:pPr>
      <w:r>
        <w:rPr>
          <w:rFonts w:ascii="Calibri" w:hAnsi="Calibri"/>
          <w:color w:val="000000"/>
          <w:sz w:val="22"/>
        </w:rPr>
        <w:t>601.2 System Architecture &amp; Design</w:t>
      </w:r>
    </w:p>
    <w:p>
      <w:pPr>
        <w:spacing w:after="40"/>
        <w:ind w:left="0"/>
      </w:pPr>
      <w:r>
        <w:rPr>
          <w:rFonts w:ascii="Calibri" w:hAnsi="Calibri"/>
          <w:color w:val="000000"/>
          <w:sz w:val="22"/>
        </w:rPr>
        <w:t>601.3 Development &amp; Implementation</w:t>
      </w:r>
    </w:p>
    <w:p>
      <w:pPr>
        <w:spacing w:after="40"/>
        <w:ind w:left="0"/>
      </w:pPr>
      <w:r>
        <w:rPr>
          <w:rFonts w:ascii="Calibri" w:hAnsi="Calibri"/>
          <w:color w:val="000000"/>
          <w:sz w:val="22"/>
        </w:rPr>
        <w:t>601.4 Testing &amp; Quality Assurance</w:t>
      </w:r>
    </w:p>
    <w:p>
      <w:pPr>
        <w:spacing w:after="40"/>
        <w:ind w:left="0"/>
      </w:pPr>
      <w:r>
        <w:rPr>
          <w:rFonts w:ascii="Calibri" w:hAnsi="Calibri"/>
          <w:color w:val="000000"/>
          <w:sz w:val="22"/>
        </w:rPr>
        <w:t>601.5 Operational Launch &amp; Deployment</w:t>
      </w:r>
    </w:p>
    <w:p>
      <w:pPr>
        <w:spacing w:after="120" w:before="0" w:line="276" w:lineRule="auto"/>
      </w:pPr>
      <w:r>
        <w:rPr>
          <w:rFonts w:ascii="Calibri" w:hAnsi="Calibri"/>
          <w:color w:val="000000"/>
          <w:sz w:val="22"/>
        </w:rPr>
        <w:t>Then when you and your project team decompose these elements, you’d continue to branch off the elements within the code of accounts. For example,</w:t>
      </w:r>
    </w:p>
    <w:p>
      <w:pPr>
        <w:spacing w:after="120" w:before="0" w:line="276" w:lineRule="auto"/>
      </w:pPr>
      <w:r>
        <w:rPr>
          <w:rFonts w:ascii="Calibri" w:hAnsi="Calibri"/>
          <w:color w:val="000000"/>
          <w:sz w:val="22"/>
        </w:rPr>
        <w:t>You decomposed 601.3 Development &amp; Implementation a bit more and created this:</w:t>
      </w:r>
    </w:p>
    <w:p>
      <w:pPr>
        <w:spacing w:after="40"/>
        <w:ind w:left="0"/>
      </w:pPr>
      <w:r>
        <w:rPr>
          <w:rFonts w:ascii="Calibri" w:hAnsi="Calibri"/>
          <w:color w:val="000000"/>
          <w:sz w:val="22"/>
        </w:rPr>
        <w:t>601.3 Development &amp; Implementation</w:t>
      </w:r>
    </w:p>
    <w:p>
      <w:pPr>
        <w:spacing w:after="40"/>
        <w:ind w:left="288"/>
      </w:pPr>
      <w:r>
        <w:rPr>
          <w:rFonts w:ascii="Calibri" w:hAnsi="Calibri"/>
          <w:color w:val="000000"/>
          <w:sz w:val="22"/>
        </w:rPr>
        <w:t>601.3.1 Mobile Application</w:t>
      </w:r>
    </w:p>
    <w:p>
      <w:pPr>
        <w:spacing w:after="40"/>
        <w:ind w:left="576"/>
      </w:pPr>
      <w:r>
        <w:rPr>
          <w:rFonts w:ascii="Calibri" w:hAnsi="Calibri"/>
          <w:color w:val="000000"/>
          <w:sz w:val="22"/>
        </w:rPr>
        <w:t>601.3.1.1 Android App Development</w:t>
      </w:r>
    </w:p>
    <w:p>
      <w:pPr>
        <w:spacing w:after="40"/>
        <w:ind w:left="576"/>
      </w:pPr>
      <w:r>
        <w:rPr>
          <w:rFonts w:ascii="Calibri" w:hAnsi="Calibri"/>
          <w:color w:val="000000"/>
          <w:sz w:val="22"/>
        </w:rPr>
        <w:t>601.3.1.2 iOS App Development</w:t>
      </w:r>
    </w:p>
    <w:p>
      <w:pPr>
        <w:spacing w:after="40"/>
        <w:ind w:left="576"/>
      </w:pPr>
      <w:r>
        <w:rPr>
          <w:rFonts w:ascii="Calibri" w:hAnsi="Calibri"/>
          <w:color w:val="000000"/>
          <w:sz w:val="22"/>
        </w:rPr>
        <w:t>601.3.1.3 Link &amp; Number Checker Engine</w:t>
      </w:r>
    </w:p>
    <w:p>
      <w:pPr>
        <w:spacing w:after="40"/>
        <w:ind w:left="576"/>
      </w:pPr>
      <w:r>
        <w:rPr>
          <w:rFonts w:ascii="Calibri" w:hAnsi="Calibri"/>
          <w:color w:val="000000"/>
          <w:sz w:val="22"/>
        </w:rPr>
        <w:t>601.3.1.4 Awareness Module Integration</w:t>
      </w:r>
    </w:p>
    <w:p>
      <w:pPr>
        <w:spacing w:after="40"/>
        <w:ind w:left="288"/>
      </w:pPr>
      <w:r>
        <w:rPr>
          <w:rFonts w:ascii="Calibri" w:hAnsi="Calibri"/>
          <w:color w:val="000000"/>
          <w:sz w:val="22"/>
        </w:rPr>
        <w:t>601.3.2 Back-End &amp; Public Database</w:t>
      </w:r>
    </w:p>
    <w:p>
      <w:pPr>
        <w:spacing w:after="40"/>
        <w:ind w:left="576"/>
      </w:pPr>
      <w:r>
        <w:rPr>
          <w:rFonts w:ascii="Calibri" w:hAnsi="Calibri"/>
          <w:color w:val="000000"/>
          <w:sz w:val="22"/>
        </w:rPr>
        <w:t>601.3.2.1 Cloud Server Infrastructure (Egypt)</w:t>
      </w:r>
    </w:p>
    <w:p>
      <w:pPr>
        <w:spacing w:after="40"/>
        <w:ind w:left="576"/>
      </w:pPr>
      <w:r>
        <w:rPr>
          <w:rFonts w:ascii="Calibri" w:hAnsi="Calibri"/>
          <w:color w:val="000000"/>
          <w:sz w:val="22"/>
        </w:rPr>
        <w:t>601.3.2.2 API Gateway for Banks &amp; Telcos</w:t>
      </w:r>
    </w:p>
    <w:p>
      <w:pPr>
        <w:spacing w:after="40"/>
        <w:ind w:left="576"/>
      </w:pPr>
      <w:r>
        <w:rPr>
          <w:rFonts w:ascii="Calibri" w:hAnsi="Calibri"/>
          <w:color w:val="000000"/>
          <w:sz w:val="22"/>
        </w:rPr>
        <w:t>601.3.2.3 Detection Engine &amp; ML Classifier</w:t>
      </w:r>
    </w:p>
    <w:p>
      <w:pPr>
        <w:spacing w:after="40"/>
        <w:ind w:left="288"/>
      </w:pPr>
      <w:r>
        <w:rPr>
          <w:rFonts w:ascii="Calibri" w:hAnsi="Calibri"/>
          <w:color w:val="000000"/>
          <w:sz w:val="22"/>
        </w:rPr>
        <w:t>601.3.3 Administrative Dashboard</w:t>
      </w:r>
    </w:p>
    <w:p>
      <w:pPr>
        <w:spacing w:after="40"/>
        <w:ind w:left="576"/>
      </w:pPr>
      <w:r>
        <w:rPr>
          <w:rFonts w:ascii="Calibri" w:hAnsi="Calibri"/>
          <w:color w:val="000000"/>
          <w:sz w:val="22"/>
        </w:rPr>
        <w:t>601.3.3.1 Report Verification Workflow</w:t>
      </w:r>
    </w:p>
    <w:p>
      <w:pPr>
        <w:spacing w:after="40"/>
        <w:ind w:left="576"/>
      </w:pPr>
      <w:r>
        <w:rPr>
          <w:rFonts w:ascii="Calibri" w:hAnsi="Calibri"/>
          <w:color w:val="000000"/>
          <w:sz w:val="22"/>
        </w:rPr>
        <w:t>601.3.3.2 Geographical Heatmap Tracker</w:t>
      </w:r>
    </w:p>
    <w:p>
      <w:pPr>
        <w:keepNext/>
        <w:spacing w:before="200" w:after="80"/>
      </w:pPr>
      <w:r>
        <w:rPr>
          <w:rFonts w:ascii="Calibri" w:hAnsi="Calibri"/>
          <w:b/>
          <w:color w:val="000000"/>
          <w:sz w:val="28"/>
        </w:rPr>
        <w:t>Defining a WBS Approach</w:t>
      </w:r>
    </w:p>
    <w:p>
      <w:pPr>
        <w:spacing w:after="120" w:before="0" w:line="276" w:lineRule="auto"/>
      </w:pPr>
      <w:r>
        <w:rPr>
          <w:rFonts w:ascii="Calibri" w:hAnsi="Calibri"/>
          <w:color w:val="000000"/>
          <w:sz w:val="22"/>
        </w:rPr>
        <w:t>There are two broad methods used to create a WBS: top-down and bottom-up</w:t>
      </w:r>
    </w:p>
    <w:p>
      <w:pPr>
        <w:spacing w:after="120" w:before="0" w:line="276" w:lineRule="auto"/>
      </w:pPr>
      <w:r>
        <w:rPr>
          <w:rFonts w:ascii="Calibri" w:hAnsi="Calibri"/>
          <w:color w:val="000000"/>
          <w:sz w:val="22"/>
        </w:rPr>
        <w:t>The top-down approach uses deductive reasoning because it starts with the general and moves to the very specific.</w:t>
      </w:r>
    </w:p>
    <w:p>
      <w:pPr>
        <w:spacing w:after="120" w:before="0" w:line="276" w:lineRule="auto"/>
      </w:pPr>
      <w:r>
        <w:rPr>
          <w:rFonts w:ascii="Calibri" w:hAnsi="Calibri"/>
          <w:color w:val="000000"/>
          <w:sz w:val="22"/>
        </w:rPr>
        <w:t>Bottom-up moves from the very specific toward the general.</w:t>
      </w:r>
    </w:p>
    <w:p>
      <w:pPr>
        <w:keepNext/>
        <w:spacing w:before="200" w:after="80"/>
      </w:pPr>
      <w:r>
        <w:rPr>
          <w:rFonts w:ascii="Calibri" w:hAnsi="Calibri"/>
          <w:b/>
          <w:color w:val="000000"/>
          <w:sz w:val="28"/>
        </w:rPr>
        <w:t>Creating a WBS Dictionary</w:t>
      </w:r>
    </w:p>
    <w:p>
      <w:pPr>
        <w:spacing w:after="120" w:before="0" w:line="276" w:lineRule="auto"/>
      </w:pPr>
      <w:r>
        <w:rPr>
          <w:rFonts w:ascii="Calibri" w:hAnsi="Calibri"/>
          <w:color w:val="000000"/>
          <w:sz w:val="22"/>
        </w:rPr>
        <w:t>The WBS dictionary, as its name implies, is a dictionary that defines each work package in the WBS.</w:t>
      </w:r>
    </w:p>
    <w:p>
      <w:pPr>
        <w:spacing w:after="120" w:before="0" w:line="276" w:lineRule="auto"/>
      </w:pPr>
      <w:r>
        <w:rPr>
          <w:rFonts w:ascii="Calibri" w:hAnsi="Calibri"/>
          <w:color w:val="000000"/>
          <w:sz w:val="22"/>
        </w:rPr>
        <w:t>You’ll use the WBS dictionary to clearly identify what the components (elements) of the WBS are and how they relate to the project scope</w:t>
      </w:r>
    </w:p>
    <w:p>
      <w:pPr>
        <w:spacing w:after="120" w:before="0" w:line="276" w:lineRule="auto"/>
      </w:pPr>
      <w:r>
        <w:rPr>
          <w:rFonts w:ascii="Calibri" w:hAnsi="Calibri"/>
          <w:color w:val="000000"/>
          <w:sz w:val="22"/>
        </w:rPr>
        <w:t>The WBS dictionary typically defines, at a minimum, all the following about each WBS element:</w:t>
      </w:r>
    </w:p>
    <w:p>
      <w:pPr>
        <w:spacing w:after="120" w:before="0" w:line="276" w:lineRule="auto"/>
      </w:pPr>
      <w:r>
        <w:rPr>
          <w:rFonts w:ascii="Calibri" w:hAnsi="Calibri"/>
          <w:color w:val="000000"/>
          <w:sz w:val="22"/>
        </w:rPr>
        <w:t>Code of accounts number</w:t>
      </w:r>
    </w:p>
    <w:p>
      <w:pPr>
        <w:spacing w:after="120" w:before="0" w:line="276" w:lineRule="auto"/>
      </w:pPr>
      <w:r>
        <w:rPr>
          <w:rFonts w:ascii="Calibri" w:hAnsi="Calibri"/>
          <w:color w:val="000000"/>
          <w:sz w:val="22"/>
        </w:rPr>
        <w:t>Description of the WBS element</w:t>
      </w:r>
    </w:p>
    <w:p>
      <w:pPr>
        <w:spacing w:after="120" w:before="0" w:line="276" w:lineRule="auto"/>
      </w:pPr>
      <w:r>
        <w:rPr>
          <w:rFonts w:ascii="Calibri" w:hAnsi="Calibri"/>
          <w:color w:val="000000"/>
          <w:sz w:val="22"/>
        </w:rPr>
        <w:t>Person, or other organization responsible for the WBS element</w:t>
      </w:r>
    </w:p>
    <w:p>
      <w:pPr>
        <w:spacing w:after="120" w:before="0" w:line="276" w:lineRule="auto"/>
      </w:pPr>
      <w:r>
        <w:rPr>
          <w:rFonts w:ascii="Calibri" w:hAnsi="Calibri"/>
          <w:color w:val="000000"/>
          <w:sz w:val="22"/>
        </w:rPr>
        <w:t>Resources required to create the WBS element (resources are people, materials, and facilities)</w:t>
      </w:r>
    </w:p>
    <w:p>
      <w:pPr>
        <w:spacing w:after="120" w:before="0" w:line="276" w:lineRule="auto"/>
      </w:pPr>
      <w:r>
        <w:rPr>
          <w:rFonts w:ascii="Calibri" w:hAnsi="Calibri"/>
          <w:color w:val="000000"/>
          <w:sz w:val="22"/>
        </w:rPr>
        <w:t>Cost to create the WBS element</w:t>
      </w:r>
    </w:p>
    <w:p>
      <w:pPr>
        <w:spacing w:after="120" w:before="0" w:line="276" w:lineRule="auto"/>
      </w:pPr>
      <w:r>
        <w:rPr>
          <w:rFonts w:ascii="Calibri" w:hAnsi="Calibri"/>
          <w:color w:val="000000"/>
          <w:sz w:val="22"/>
        </w:rPr>
        <w:t>Criteria for acceptance of the specific deliverable</w:t>
      </w:r>
    </w:p>
    <w:p>
      <w:pPr>
        <w:spacing w:after="120" w:before="0" w:line="276" w:lineRule="auto"/>
      </w:pPr>
      <w:r>
        <w:rPr>
          <w:rFonts w:ascii="Calibri" w:hAnsi="Calibri"/>
          <w:color w:val="000000"/>
          <w:sz w:val="22"/>
        </w:rPr>
        <w:t>Milestone schedule</w:t>
      </w:r>
    </w:p>
    <w:p>
      <w:pPr>
        <w:spacing w:after="80" w:before="0" w:line="276" w:lineRule="auto"/>
      </w:pPr>
      <w:r>
        <w:rPr>
          <w:rFonts w:ascii="Calibri" w:hAnsi="Calibri"/>
          <w:color w:val="000000"/>
          <w:sz w:val="22"/>
        </w:rPr>
        <w:t>Sample WBS Dictionary Entry for Scam Shield (Work Package 601.3.1.3):</w:t>
      </w:r>
    </w:p>
    <w:tbl>
      <w:tblPr>
        <w:tblW w:type="auto" w:w="0"/>
        <w:jc w:val="center"/>
        <w:tblLayout w:type="fixed"/>
        <w:tblLook w:firstColumn="1" w:firstRow="1" w:lastColumn="0" w:lastRow="0" w:noHBand="0" w:noVBand="1" w:val="04A0"/>
      </w:tblPr>
      <w:tblGrid>
        <w:gridCol w:w="4680"/>
        <w:gridCol w:w="4680"/>
      </w:tblGrid>
      <w:tr>
        <w:tc>
          <w:tcPr>
            <w:tcW w:type="dxa" w:w="3312"/>
          </w:tcPr>
          <w:p>
            <w:pPr>
              <w:spacing w:after="40"/>
            </w:pPr>
            <w:r>
              <w:rPr>
                <w:rFonts w:ascii="Calibri" w:hAnsi="Calibri"/>
                <w:b/>
                <w:color w:val="000000"/>
                <w:sz w:val="21"/>
              </w:rPr>
              <w:t>Code of accounts number</w:t>
            </w:r>
          </w:p>
        </w:tc>
        <w:tc>
          <w:tcPr>
            <w:tcW w:type="dxa" w:w="6048"/>
          </w:tcPr>
          <w:p>
            <w:pPr>
              <w:spacing w:after="40"/>
            </w:pPr>
            <w:r>
              <w:rPr>
                <w:rFonts w:ascii="Calibri" w:hAnsi="Calibri"/>
                <w:color w:val="000000"/>
                <w:sz w:val="21"/>
              </w:rPr>
              <w:t>601.3.1.3</w:t>
            </w:r>
          </w:p>
        </w:tc>
      </w:tr>
      <w:tr>
        <w:tc>
          <w:tcPr>
            <w:tcW w:type="dxa" w:w="3312"/>
          </w:tcPr>
          <w:p>
            <w:pPr>
              <w:spacing w:after="40"/>
            </w:pPr>
            <w:r>
              <w:rPr>
                <w:rFonts w:ascii="Calibri" w:hAnsi="Calibri"/>
                <w:b/>
                <w:color w:val="000000"/>
                <w:sz w:val="21"/>
              </w:rPr>
              <w:t>Description of the WBS element</w:t>
            </w:r>
          </w:p>
        </w:tc>
        <w:tc>
          <w:tcPr>
            <w:tcW w:type="dxa" w:w="6048"/>
          </w:tcPr>
          <w:p>
            <w:pPr>
              <w:spacing w:after="40"/>
            </w:pPr>
            <w:r>
              <w:rPr>
                <w:rFonts w:ascii="Calibri" w:hAnsi="Calibri"/>
                <w:color w:val="000000"/>
                <w:sz w:val="21"/>
              </w:rPr>
              <w:t>Link &amp; Number Checker Engine: Core mobile application logic that enables users to scan suspicious URL links and phone numbers in seconds, providing real-time risk feedback in plain Arabic and English.</w:t>
            </w:r>
          </w:p>
        </w:tc>
      </w:tr>
      <w:tr>
        <w:tc>
          <w:tcPr>
            <w:tcW w:type="dxa" w:w="3312"/>
          </w:tcPr>
          <w:p>
            <w:pPr>
              <w:spacing w:after="40"/>
            </w:pPr>
            <w:r>
              <w:rPr>
                <w:rFonts w:ascii="Calibri" w:hAnsi="Calibri"/>
                <w:b/>
                <w:color w:val="000000"/>
                <w:sz w:val="21"/>
              </w:rPr>
              <w:t>Person responsible</w:t>
            </w:r>
          </w:p>
        </w:tc>
        <w:tc>
          <w:tcPr>
            <w:tcW w:type="dxa" w:w="6048"/>
          </w:tcPr>
          <w:p>
            <w:pPr>
              <w:spacing w:after="40"/>
            </w:pPr>
            <w:r>
              <w:rPr>
                <w:rFonts w:ascii="Calibri" w:hAnsi="Calibri"/>
                <w:color w:val="000000"/>
                <w:sz w:val="21"/>
              </w:rPr>
              <w:t>Hussein Khalifa (Project Manager) / Lead Mobile Developers</w:t>
            </w:r>
          </w:p>
        </w:tc>
      </w:tr>
      <w:tr>
        <w:tc>
          <w:tcPr>
            <w:tcW w:type="dxa" w:w="3312"/>
          </w:tcPr>
          <w:p>
            <w:pPr>
              <w:spacing w:after="40"/>
            </w:pPr>
            <w:r>
              <w:rPr>
                <w:rFonts w:ascii="Calibri" w:hAnsi="Calibri"/>
                <w:b/>
                <w:color w:val="000000"/>
                <w:sz w:val="21"/>
              </w:rPr>
              <w:t>Resources required</w:t>
            </w:r>
          </w:p>
        </w:tc>
        <w:tc>
          <w:tcPr>
            <w:tcW w:type="dxa" w:w="6048"/>
          </w:tcPr>
          <w:p>
            <w:pPr>
              <w:spacing w:after="40"/>
            </w:pPr>
            <w:r>
              <w:rPr>
                <w:rFonts w:ascii="Calibri" w:hAnsi="Calibri"/>
                <w:color w:val="000000"/>
                <w:sz w:val="21"/>
              </w:rPr>
              <w:t>2 Android Developers, 2 iOS Developers, Laptops, Development IDE Licenses, SMS/URL Reputation Data Feed.</w:t>
            </w:r>
          </w:p>
        </w:tc>
      </w:tr>
      <w:tr>
        <w:tc>
          <w:tcPr>
            <w:tcW w:type="dxa" w:w="3312"/>
          </w:tcPr>
          <w:p>
            <w:pPr>
              <w:spacing w:after="40"/>
            </w:pPr>
            <w:r>
              <w:rPr>
                <w:rFonts w:ascii="Calibri" w:hAnsi="Calibri"/>
                <w:b/>
                <w:color w:val="000000"/>
                <w:sz w:val="21"/>
              </w:rPr>
              <w:t>Cost to create WBS element</w:t>
            </w:r>
          </w:p>
        </w:tc>
        <w:tc>
          <w:tcPr>
            <w:tcW w:type="dxa" w:w="6048"/>
          </w:tcPr>
          <w:p>
            <w:pPr>
              <w:spacing w:after="40"/>
            </w:pPr>
            <w:r>
              <w:rPr>
                <w:rFonts w:ascii="Calibri" w:hAnsi="Calibri"/>
                <w:color w:val="000000"/>
                <w:sz w:val="21"/>
              </w:rPr>
              <w:t>Estimated L.E. 180,000 (Allocated developer salary hours + feed integration).</w:t>
            </w:r>
          </w:p>
        </w:tc>
      </w:tr>
      <w:tr>
        <w:tc>
          <w:tcPr>
            <w:tcW w:type="dxa" w:w="3312"/>
          </w:tcPr>
          <w:p>
            <w:pPr>
              <w:spacing w:after="40"/>
            </w:pPr>
            <w:r>
              <w:rPr>
                <w:rFonts w:ascii="Calibri" w:hAnsi="Calibri"/>
                <w:b/>
                <w:color w:val="000000"/>
                <w:sz w:val="21"/>
              </w:rPr>
              <w:t>Criteria for acceptance</w:t>
            </w:r>
          </w:p>
        </w:tc>
        <w:tc>
          <w:tcPr>
            <w:tcW w:type="dxa" w:w="6048"/>
          </w:tcPr>
          <w:p>
            <w:pPr>
              <w:spacing w:after="40"/>
            </w:pPr>
            <w:r>
              <w:rPr>
                <w:rFonts w:ascii="Calibri" w:hAnsi="Calibri"/>
                <w:color w:val="000000"/>
                <w:sz w:val="21"/>
              </w:rPr>
              <w:t>Engine successfully parses incoming links/numbers, checks cache and API, returns correct status (Safe/Risky/Fraud) in under 3 seconds on a 3G network connection.</w:t>
            </w:r>
          </w:p>
        </w:tc>
      </w:tr>
      <w:tr>
        <w:tc>
          <w:tcPr>
            <w:tcW w:type="dxa" w:w="3312"/>
          </w:tcPr>
          <w:p>
            <w:pPr>
              <w:spacing w:after="40"/>
            </w:pPr>
            <w:r>
              <w:rPr>
                <w:rFonts w:ascii="Calibri" w:hAnsi="Calibri"/>
                <w:b/>
                <w:color w:val="000000"/>
                <w:sz w:val="21"/>
              </w:rPr>
              <w:t>Milestone schedule</w:t>
            </w:r>
          </w:p>
        </w:tc>
        <w:tc>
          <w:tcPr>
            <w:tcW w:type="dxa" w:w="6048"/>
          </w:tcPr>
          <w:p>
            <w:pPr>
              <w:spacing w:after="40"/>
            </w:pPr>
            <w:r>
              <w:rPr>
                <w:rFonts w:ascii="Calibri" w:hAnsi="Calibri"/>
                <w:color w:val="000000"/>
                <w:sz w:val="21"/>
              </w:rPr>
              <w:t>Completion required before System Test Review (31/01/2027).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