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pStyle w:val="Title"/>
        <w:rPr>
          <w:u w:val="none"/>
        </w:rPr>
      </w:pPr>
      <w:r>
        <w:rPr>
          <w:u w:val="thick"/>
        </w:rPr>
        <w:t>Documentation Projet DDWS</w:t>
      </w: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pStyle w:val="Heading1"/>
        <w:rPr/>
      </w:pPr>
      <w:r>
        <w:rPr>
          <w:u w:val="thick"/>
        </w:rPr>
        <w:t>Job 1</w:t>
      </w:r>
      <w:r>
        <w:rPr>
          <w:spacing w:val="66"/>
        </w:rPr>
        <w:t xml:space="preserve"> </w:t>
      </w:r>
      <w:r>
        <w:t>installer une VM Debian avec interface graphique.</w:t>
      </w:r>
    </w:p>
    <w:p>
      <w:pPr>
        <w:pStyle w:val="BodyText"/>
        <w:spacing w:before="1"/>
        <w:rPr>
          <w:rFonts w:ascii="Arial"/>
          <w:b/>
          <w:sz w:val="28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0" simplePos="0">
            <wp:simplePos x="0" y="0"/>
            <wp:positionH relativeFrom="page">
              <wp:posOffset>2113124</wp:posOffset>
            </wp:positionH>
            <wp:positionV relativeFrom="paragraph">
              <wp:posOffset>230169</wp:posOffset>
            </wp:positionV>
            <wp:extent cx="3289751" cy="1851659"/>
            <wp:effectExtent l="0" t="0" r="0" b="0"/>
            <wp:wrapTopAndBottom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751" cy="185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"/>
          <w:b/>
          <w:sz w:val="3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Job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2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>installer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serveur Web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comme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Apache2.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0"/>
        </w:rPr>
      </w:pPr>
      <w:r>
        <w:rPr>
          <w:rFonts w:ascii="Arial"/>
          <w:b/>
          <w:sz w:val="10"/>
        </w:rPr>
        <w:drawing xmlns:mc="http://schemas.openxmlformats.org/markup-compatibility/2006">
          <wp:inline>
            <wp:extent cx="5854700" cy="28124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Arial"/>
          <w:b/>
          <w:sz w:val="28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>
          <w:u w:val="thick"/>
        </w:rPr>
      </w:pPr>
    </w:p>
    <w:p>
      <w:pPr>
        <w:pStyle w:val="Heading1"/>
        <w:rPr/>
      </w:pPr>
      <w:r>
        <w:rPr>
          <w:u w:val="thick"/>
        </w:rPr>
        <w:t>Job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  <w:r>
        <w:rPr>
          <w:spacing w:val="65"/>
        </w:rPr>
        <w:t xml:space="preserve"> </w:t>
      </w:r>
      <w:r>
        <w:t>Principaux</w:t>
      </w:r>
      <w:r>
        <w:rPr>
          <w:spacing w:val="-1"/>
        </w:rPr>
        <w:t xml:space="preserve"> </w:t>
      </w:r>
      <w:r>
        <w:t>serveurs Web</w:t>
      </w:r>
      <w:r>
        <w:rPr>
          <w:spacing w:val="-1"/>
        </w:rPr>
        <w:t xml:space="preserve"> </w:t>
      </w:r>
      <w:r>
        <w:t>existants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-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Apache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Heading2"/>
        <w:spacing w:before="1"/>
        <w:rPr/>
      </w:pPr>
      <w:r>
        <w:t>Avantages</w:t>
      </w:r>
    </w:p>
    <w:p>
      <w:pPr>
        <w:pStyle w:val="BodyText"/>
        <w:spacing w:before="41"/>
        <w:ind w:left="100"/>
        <w:rPr/>
      </w:pPr>
      <w:r>
        <w:t>-grande communauté derrière lui, avec beaucoup de documentation.</w:t>
      </w:r>
    </w:p>
    <w:p>
      <w:pPr>
        <w:pStyle w:val="BodyText"/>
        <w:spacing w:before="41"/>
        <w:ind w:left="100"/>
        <w:rPr/>
      </w:pPr>
      <w:r>
        <w:t>-multiplateforme, peut fonctionner sur Windows, Unix/Linux et Mac</w:t>
      </w:r>
    </w:p>
    <w:p>
      <w:pPr>
        <w:pStyle w:val="BodyText"/>
        <w:spacing w:before="42" w:line="276" w:lineRule="auto"/>
        <w:ind w:left="100" w:right="829"/>
        <w:rPr/>
      </w:pPr>
      <w:r>
        <w:t>-prend en charge le cryptage des certificats SSL/TLS, assure la sécurité des</w:t>
      </w:r>
      <w:r>
        <w:rPr>
          <w:spacing w:val="1"/>
        </w:rPr>
        <w:t xml:space="preserve"> </w:t>
      </w:r>
      <w:r>
        <w:t>applications via des modules d'autorisation ou d'authentification et intègre des</w:t>
      </w:r>
      <w:r>
        <w:rPr>
          <w:spacing w:val="-65"/>
        </w:rPr>
        <w:t xml:space="preserve"> </w:t>
      </w:r>
      <w:r>
        <w:t>fonctionnalités de contrôle d'accès.</w:t>
      </w:r>
    </w:p>
    <w:p>
      <w:pPr>
        <w:pStyle w:val="BodyText"/>
        <w:ind w:left="100"/>
        <w:rPr/>
      </w:pPr>
      <w:r>
        <w:t>-facile à installer et à configurer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2"/>
        <w:rPr/>
      </w:pPr>
      <w:r>
        <w:t>Inconvénient</w:t>
      </w:r>
    </w:p>
    <w:p>
      <w:pPr>
        <w:pStyle w:val="BodyText"/>
        <w:spacing w:before="41" w:line="276" w:lineRule="auto"/>
        <w:ind w:left="100" w:right="576"/>
        <w:rPr/>
        <w:sectPr>
          <w:type w:val="continuous"/>
          <w:pgSz w:w="11920" w:h="16840"/>
          <w:pgMar w:top="1360" w:right="1360" w:bottom="280" w:left="1340"/>
        </w:sectPr>
      </w:pPr>
      <w:r>
        <w:t>Malheureusement les performances sont médiocres, d’autres serveurs web sont</w:t>
      </w:r>
      <w:r>
        <w:rPr>
          <w:spacing w:val="-65"/>
        </w:rPr>
        <w:t xml:space="preserve"> </w:t>
      </w:r>
      <w:r>
        <w:t>plus rapides et peuvent utiliser les mêmes ressources pour gérer plus de trafic.</w:t>
      </w:r>
      <w:r>
        <w:t>
</w:t>
      </w:r>
    </w:p>
    <w:p>
      <w:pPr>
        <w:pStyle w:val="Heading1"/>
        <w:spacing w:before="80"/>
        <w:rPr/>
      </w:pPr>
      <w:r>
        <w:t>- Nginx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Heading2"/>
        <w:rPr/>
      </w:pPr>
      <w:r>
        <w:t>Avantages</w:t>
      </w:r>
    </w:p>
    <w:p>
      <w:pPr>
        <w:pStyle w:val="BodyText"/>
        <w:spacing w:before="41" w:line="276" w:lineRule="auto"/>
        <w:ind w:left="100" w:right="641"/>
        <w:rPr/>
      </w:pPr>
      <w:r>
        <w:t>-spécialement adapté pour mettre à disposition de grands volumes de contenus</w:t>
      </w:r>
      <w:r>
        <w:rPr>
          <w:spacing w:val="-65"/>
        </w:rPr>
        <w:t xml:space="preserve"> </w:t>
      </w:r>
      <w:r>
        <w:t>statiques (images, vidéos, fichiers CSS, XML</w:t>
      </w:r>
      <w:r>
        <w:rPr>
          <w:spacing w:val="-9"/>
        </w:rPr>
        <w:t xml:space="preserve"> </w:t>
      </w:r>
      <w:r>
        <w:t>etc...).</w:t>
      </w:r>
    </w:p>
    <w:p>
      <w:pPr>
        <w:pStyle w:val="BodyText"/>
        <w:spacing w:line="276" w:lineRule="auto"/>
        <w:ind w:left="100" w:right="1342"/>
        <w:rPr/>
      </w:pPr>
      <w:r>
        <w:t>-beaucoup plus performant qu'Apache dans le traitement de nombreuses</w:t>
      </w:r>
      <w:r>
        <w:rPr>
          <w:spacing w:val="-65"/>
        </w:rPr>
        <w:t xml:space="preserve"> </w:t>
      </w:r>
      <w:r>
        <w:t>connexions simultanées.</w:t>
      </w:r>
    </w:p>
    <w:p>
      <w:pPr>
        <w:pStyle w:val="BodyText"/>
        <w:ind w:left="166"/>
        <w:rPr/>
      </w:pPr>
      <w:r>
        <w:t>-utilise considérablement moins de stockage par connexion client.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rPr/>
      </w:pPr>
      <w:r>
        <w:t>Inconvénients</w:t>
      </w:r>
    </w:p>
    <w:p>
      <w:pPr>
        <w:pStyle w:val="BodyText"/>
        <w:spacing w:before="41" w:line="276" w:lineRule="auto"/>
        <w:ind w:left="100" w:right="596"/>
        <w:rPr/>
      </w:pPr>
      <w:r>
        <w:t>-peu</w:t>
      </w:r>
      <w:r>
        <w:rPr>
          <w:spacing w:val="-2"/>
        </w:rPr>
        <w:t xml:space="preserve"> </w:t>
      </w:r>
      <w:r>
        <w:t>d’hébergeurs</w:t>
      </w:r>
      <w:r>
        <w:rPr>
          <w:spacing w:val="-2"/>
        </w:rPr>
        <w:t xml:space="preserve"> </w:t>
      </w:r>
      <w:r>
        <w:t>offrent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Nginx,</w:t>
      </w:r>
      <w:r>
        <w:rPr>
          <w:spacing w:val="-1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avez</w:t>
      </w:r>
      <w:r>
        <w:rPr>
          <w:spacing w:val="-2"/>
        </w:rPr>
        <w:t xml:space="preserve"> </w:t>
      </w:r>
      <w:r>
        <w:t>donc</w:t>
      </w:r>
      <w:r>
        <w:rPr>
          <w:spacing w:val="-1"/>
        </w:rPr>
        <w:t xml:space="preserve"> </w:t>
      </w:r>
      <w:r>
        <w:t>moins</w:t>
      </w:r>
      <w:r>
        <w:rPr>
          <w:spacing w:val="-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plans disponibles sous Nginx.</w:t>
      </w:r>
    </w:p>
    <w:p>
      <w:pPr>
        <w:pStyle w:val="BodyText"/>
        <w:ind w:left="100"/>
        <w:rPr/>
      </w:pPr>
      <w:r>
        <w:t>-communauté moins développée.</w:t>
      </w:r>
    </w:p>
    <w:p>
      <w:pPr>
        <w:pStyle w:val="BodyText"/>
        <w:spacing w:before="41"/>
        <w:ind w:left="100"/>
        <w:rPr/>
      </w:pPr>
      <w:r>
        <w:t>-Une moins bonne option pour servir du contenu dynamique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rPr/>
      </w:pPr>
      <w:r>
        <w:rPr>
          <w:u w:val="thick"/>
        </w:rPr>
        <w:t>Job 4</w:t>
      </w:r>
      <w:r>
        <w:rPr>
          <w:spacing w:val="1"/>
        </w:rPr>
        <w:t xml:space="preserve"> </w:t>
      </w:r>
      <w:r>
        <w:t>Mise en place d’un DNS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0"/>
        </w:rPr>
      </w:pPr>
      <w:r>
        <w:rPr>
          <w:rFonts w:ascii="Arial"/>
          <w:b/>
          <w:sz w:val="10"/>
        </w:rPr>
        <w:drawing xmlns:mc="http://schemas.openxmlformats.org/markup-compatibility/2006">
          <wp:inline>
            <wp:extent cx="3406775" cy="1918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Job 5</w:t>
      </w:r>
      <w:r>
        <w:rPr>
          <w:rFonts w:ascii="Arial"/>
          <w:b/>
          <w:sz w:val="24"/>
        </w:rPr>
        <w:t xml:space="preserve"> Comment obtient-on un nom de domaine public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100" w:right="1377"/>
        <w:rPr/>
      </w:pPr>
      <w:r>
        <w:t>Pour déposer un nom de domaine, il faut s'adresser à l'un des nombreux</w:t>
      </w:r>
      <w:r>
        <w:rPr>
          <w:spacing w:val="-65"/>
        </w:rPr>
        <w:t xml:space="preserve"> </w:t>
      </w:r>
      <w:r>
        <w:t>prestataires agréés.</w:t>
      </w:r>
    </w:p>
    <w:p>
      <w:pPr>
        <w:pStyle w:val="BodyText"/>
        <w:spacing w:line="276" w:lineRule="auto"/>
        <w:ind w:left="100" w:right="87"/>
        <w:rPr/>
      </w:pPr>
      <w:r>
        <w:t>L'extension du nom de domaine peut être géographique ou générique. Elle se choisit</w:t>
      </w:r>
      <w:r>
        <w:rPr>
          <w:spacing w:val="-65"/>
        </w:rPr>
        <w:t xml:space="preserve"> </w:t>
      </w:r>
      <w:r>
        <w:t>en fonction de la disponibilité du nom de domaine, mais également en fonction des</w:t>
      </w:r>
      <w:r>
        <w:rPr>
          <w:spacing w:val="1"/>
        </w:rPr>
        <w:t xml:space="preserve"> </w:t>
      </w:r>
      <w:r>
        <w:t>objectifs visés par le site Internet.</w:t>
      </w:r>
    </w:p>
    <w:p>
      <w:pPr>
        <w:pStyle w:val="BodyText"/>
        <w:spacing w:line="276" w:lineRule="auto"/>
        <w:ind w:left="100" w:right="445"/>
        <w:rPr/>
      </w:pPr>
      <w:r>
        <w:t>Le choix d'une extension n'est pas limité. Il est d'ailleurs conseillé d'enregistrer un</w:t>
      </w:r>
      <w:r>
        <w:rPr>
          <w:spacing w:val="-65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de domaine sous de</w:t>
      </w:r>
      <w:r>
        <w:rPr>
          <w:spacing w:val="-1"/>
        </w:rPr>
        <w:t xml:space="preserve"> </w:t>
      </w:r>
      <w:r>
        <w:t>multiples extensions pour une efficacité</w:t>
      </w:r>
      <w:r>
        <w:rPr>
          <w:spacing w:val="-1"/>
        </w:rPr>
        <w:t xml:space="preserve"> </w:t>
      </w:r>
      <w:r>
        <w:t>accrue.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  <w:rPr/>
      </w:pPr>
      <w:r>
        <w:t>Il y des spécificités pour chacunes de ces extensions:</w:t>
      </w:r>
    </w:p>
    <w:p>
      <w:pPr>
        <w:pStyle w:val="ListParagraph"/>
        <w:numPr>
          <w:ilvl w:val="0"/>
          <w:numId w:val="1"/>
        </w:numPr>
        <w:tabs>
          <w:tab w:val="left" w:leader="none" w:pos="247"/>
        </w:tabs>
        <w:spacing w:before="41" w:after="0" w:line="276" w:lineRule="auto"/>
        <w:ind w:left="100" w:right="822" w:firstLine="0"/>
        <w:jc w:val="left"/>
        <w:rPr>
          <w:sz w:val="24"/>
        </w:rPr>
      </w:pPr>
      <w:r>
        <w:rPr>
          <w:sz w:val="24"/>
        </w:rPr>
        <w:t>l'extension “.com” conçue à l'origine pour les organisations commerciales est</w:t>
      </w:r>
      <w:r>
        <w:rPr>
          <w:spacing w:val="-64"/>
          <w:sz w:val="24"/>
        </w:rPr>
        <w:t xml:space="preserve"> </w:t>
      </w:r>
      <w:r>
        <w:rPr>
          <w:sz w:val="24"/>
        </w:rPr>
        <w:t>devenue quasi obligatoire pour un positionnement.</w:t>
      </w:r>
    </w:p>
    <w:p>
      <w:pPr>
        <w:pStyle w:val="ListParagraph"/>
        <w:numPr>
          <w:ilvl w:val="0"/>
          <w:numId w:val="1"/>
        </w:numPr>
        <w:tabs>
          <w:tab w:val="left" w:leader="none" w:pos="247"/>
        </w:tabs>
        <w:spacing w:before="0" w:after="0" w:line="240" w:lineRule="auto"/>
        <w:ind w:left="246" w:right="0" w:hanging="147"/>
        <w:jc w:val="left"/>
        <w:rPr>
          <w:sz w:val="24"/>
        </w:rPr>
      </w:pPr>
      <w:r>
        <w:rPr>
          <w:sz w:val="24"/>
        </w:rPr>
        <w:t>l’extension “.de” place le domaine dans la catégorie «</w:t>
      </w:r>
      <w:r>
        <w:rPr>
          <w:spacing w:val="-14"/>
          <w:sz w:val="24"/>
        </w:rPr>
        <w:t xml:space="preserve"> </w:t>
      </w:r>
      <w:r>
        <w:rPr>
          <w:sz w:val="24"/>
        </w:rPr>
        <w:t>Allemand ».</w:t>
      </w:r>
    </w:p>
    <w:p>
      <w:pPr>
        <w:pStyle w:val="ListParagraph"/>
        <w:numPr>
          <w:ilvl w:val="0"/>
          <w:numId w:val="1"/>
        </w:numPr>
        <w:tabs>
          <w:tab w:val="left" w:leader="none" w:pos="247"/>
        </w:tabs>
        <w:spacing w:before="42" w:after="0" w:line="240" w:lineRule="auto"/>
        <w:ind w:left="246" w:right="0" w:hanging="147"/>
        <w:jc w:val="left"/>
        <w:rPr>
          <w:sz w:val="24"/>
        </w:rPr>
      </w:pPr>
      <w:r>
        <w:rPr>
          <w:sz w:val="24"/>
        </w:rPr>
        <w:t>l’utilisation de “.gov” signifie que le domaine est dans la catégorie</w:t>
      </w:r>
    </w:p>
    <w:p>
      <w:pPr>
        <w:pStyle w:val="BodyText"/>
        <w:spacing w:before="41"/>
        <w:ind w:left="100"/>
        <w:rPr/>
        <w:sectPr>
          <w:pgSz w:w="11920" w:h="16840"/>
          <w:pgMar w:top="1360" w:right="1360" w:bottom="280" w:left="1340"/>
        </w:sectPr>
      </w:pPr>
      <w:r>
        <w:t>« Organisation gouvernementale américaine ».</w:t>
      </w:r>
      <w:r>
        <w:t>
</w:t>
      </w:r>
    </w:p>
    <w:p>
      <w:pPr>
        <w:pStyle w:val="Heading1"/>
        <w:spacing w:before="157"/>
        <w:rPr/>
      </w:pPr>
      <w:r>
        <w:rPr>
          <w:u w:val="thick"/>
        </w:rPr>
        <w:t>Job 6</w:t>
      </w:r>
      <w:r>
        <w:t xml:space="preserve"> Connecter l'hôte au nom de domaine local du serveur</w:t>
      </w:r>
    </w:p>
    <w:p>
      <w:pPr>
        <w:pStyle w:val="BodyText"/>
        <w:spacing w:before="5"/>
        <w:rPr>
          <w:rFonts w:ascii="Arial"/>
          <w:b/>
          <w:sz w:val="10"/>
        </w:rPr>
      </w:pPr>
      <w:r>
        <w:rPr>
          <w:rFonts w:ascii="Arial"/>
          <w:b/>
          <w:sz w:val="10"/>
        </w:rPr>
        <w:drawing xmlns:mc="http://schemas.openxmlformats.org/markup-compatibility/2006">
          <wp:inline>
            <wp:extent cx="5854700" cy="27800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pStyle w:val="BodyText"/>
        <w:spacing w:before="5"/>
        <w:rPr>
          <w:rFonts w:ascii="Arial"/>
          <w:b/>
          <w:sz w:val="26"/>
          <w:szCs w:val="26"/>
          <w:u w:val="single"/>
        </w:rPr>
      </w:pPr>
      <w:r>
        <w:rPr>
          <w:rFonts w:ascii="Arial"/>
          <w:b/>
          <w:sz w:val="26"/>
          <w:szCs w:val="26"/>
          <w:u w:val="single"/>
        </w:rPr>
        <w:t>Job 7 : pare feu</w:t>
      </w:r>
    </w:p>
    <w:p>
      <w:pPr>
        <w:pStyle w:val="BodyText"/>
        <w:spacing w:before="5"/>
        <w:rPr>
          <w:rFonts w:ascii="Arial"/>
          <w:b/>
          <w:sz w:val="26"/>
          <w:szCs w:val="26"/>
          <w:u w:val="single"/>
        </w:rPr>
      </w:pPr>
    </w:p>
    <w:p>
      <w:pPr>
        <w:pStyle w:val="BodyText"/>
        <w:spacing w:before="5"/>
        <w:rPr>
          <w:rFonts w:ascii="Arial"/>
          <w:b/>
          <w:sz w:val="26"/>
          <w:szCs w:val="26"/>
          <w:u w:val="single"/>
        </w:rPr>
      </w:pPr>
      <w:r>
        <w:rPr>
          <w:rFonts w:ascii="Arial"/>
          <w:b/>
          <w:sz w:val="26"/>
          <w:szCs w:val="26"/>
          <w:u w:val="single"/>
        </w:rPr>
        <w:drawing xmlns:mc="http://schemas.openxmlformats.org/markup-compatibility/2006">
          <wp:inline>
            <wp:extent cx="5854700" cy="3530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"/>
        <w:rPr>
          <w:rFonts w:ascii="Arial"/>
          <w:b/>
          <w:sz w:val="26"/>
          <w:szCs w:val="26"/>
          <w:u w:val="single"/>
        </w:rPr>
      </w:pPr>
    </w:p>
    <w:p>
      <w:pPr>
        <w:rPr>
          <w:rFonts w:ascii="Lucida Console"/>
          <w:sz w:val="18"/>
        </w:rPr>
      </w:pPr>
    </w:p>
    <w:p>
      <w:pPr>
        <w:pStyle w:val="BodyText"/>
        <w:spacing w:before="5"/>
        <w:rPr>
          <w:rFonts w:ascii="Arial"/>
          <w:b/>
          <w:sz w:val="26"/>
          <w:szCs w:val="26"/>
          <w:u w:val="single"/>
        </w:rPr>
      </w:pPr>
    </w:p>
    <w:sectPr>
      <w:pgSz w:w="11920" w:h="16840"/>
      <w:pgMar w:top="1600" w:right="136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altName w:val="Arial"/>
    <w:charset w:val="01"/>
    <w:family w:val="swiss"/>
    <w:pitch w:val="variable"/>
  </w:font>
  <w:font w:name="Arial MT">
    <w:altName w:val="Arial MT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Lucida Console">
    <w:family w:val="modern"/>
    <w:pitch w:val="fixed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-"/>
      <w:lvlJc w:val="left"/>
      <w:pPr>
        <w:ind w:left="100" w:hanging="147"/>
      </w:pPr>
      <w:rPr>
        <w:rFonts w:ascii="Arial MT" w:cs="Arial MT" w:eastAsia="Arial MT" w:hAnsi="Arial MT" w:hint="default"/>
        <w:w w:val="100"/>
        <w:sz w:val="24"/>
        <w:szCs w:val="24"/>
        <w:lang w:val="fr-FR" w:bidi="ar-SA" w:eastAsia="en-US"/>
      </w:rPr>
    </w:lvl>
    <w:lvl w:ilvl="1" w:tentative="0">
      <w:start w:val="0"/>
      <w:numFmt w:val="bullet"/>
      <w:lvlText w:val="•"/>
      <w:lvlJc w:val="left"/>
      <w:pPr>
        <w:ind w:left="1012" w:hanging="147"/>
      </w:pPr>
      <w:rPr>
        <w:rFonts w:hint="default"/>
        <w:lang w:val="fr-FR" w:bidi="ar-SA" w:eastAsia="en-US"/>
      </w:rPr>
    </w:lvl>
    <w:lvl w:ilvl="2" w:tentative="0">
      <w:start w:val="0"/>
      <w:numFmt w:val="bullet"/>
      <w:lvlText w:val="•"/>
      <w:lvlJc w:val="left"/>
      <w:pPr>
        <w:ind w:left="1924" w:hanging="147"/>
      </w:pPr>
      <w:rPr>
        <w:rFonts w:hint="default"/>
        <w:lang w:val="fr-FR" w:bidi="ar-SA" w:eastAsia="en-US"/>
      </w:rPr>
    </w:lvl>
    <w:lvl w:ilvl="3" w:tentative="0">
      <w:start w:val="0"/>
      <w:numFmt w:val="bullet"/>
      <w:lvlText w:val="•"/>
      <w:lvlJc w:val="left"/>
      <w:pPr>
        <w:ind w:left="2836" w:hanging="147"/>
      </w:pPr>
      <w:rPr>
        <w:rFonts w:hint="default"/>
        <w:lang w:val="fr-FR" w:bidi="ar-SA" w:eastAsia="en-US"/>
      </w:rPr>
    </w:lvl>
    <w:lvl w:ilvl="4" w:tentative="0">
      <w:start w:val="0"/>
      <w:numFmt w:val="bullet"/>
      <w:lvlText w:val="•"/>
      <w:lvlJc w:val="left"/>
      <w:pPr>
        <w:ind w:left="3748" w:hanging="147"/>
      </w:pPr>
      <w:rPr>
        <w:rFonts w:hint="default"/>
        <w:lang w:val="fr-FR" w:bidi="ar-SA" w:eastAsia="en-US"/>
      </w:rPr>
    </w:lvl>
    <w:lvl w:ilvl="5" w:tentative="0">
      <w:start w:val="0"/>
      <w:numFmt w:val="bullet"/>
      <w:lvlText w:val="•"/>
      <w:lvlJc w:val="left"/>
      <w:pPr>
        <w:ind w:left="4660" w:hanging="147"/>
      </w:pPr>
      <w:rPr>
        <w:rFonts w:hint="default"/>
        <w:lang w:val="fr-FR" w:bidi="ar-SA" w:eastAsia="en-US"/>
      </w:rPr>
    </w:lvl>
    <w:lvl w:ilvl="6" w:tentative="0">
      <w:start w:val="0"/>
      <w:numFmt w:val="bullet"/>
      <w:lvlText w:val="•"/>
      <w:lvlJc w:val="left"/>
      <w:pPr>
        <w:ind w:left="5572" w:hanging="147"/>
      </w:pPr>
      <w:rPr>
        <w:rFonts w:hint="default"/>
        <w:lang w:val="fr-FR" w:bidi="ar-SA" w:eastAsia="en-US"/>
      </w:rPr>
    </w:lvl>
    <w:lvl w:ilvl="7" w:tentative="0">
      <w:start w:val="0"/>
      <w:numFmt w:val="bullet"/>
      <w:lvlText w:val="•"/>
      <w:lvlJc w:val="left"/>
      <w:pPr>
        <w:ind w:left="6484" w:hanging="147"/>
      </w:pPr>
      <w:rPr>
        <w:rFonts w:hint="default"/>
        <w:lang w:val="fr-FR" w:bidi="ar-SA" w:eastAsia="en-US"/>
      </w:rPr>
    </w:lvl>
    <w:lvl w:ilvl="8" w:tentative="0">
      <w:start w:val="0"/>
      <w:numFmt w:val="bullet"/>
      <w:lvlText w:val="•"/>
      <w:lvlJc w:val="left"/>
      <w:pPr>
        <w:ind w:left="7396" w:hanging="147"/>
      </w:pPr>
      <w:rPr>
        <w:rFonts w:hint="default"/>
        <w:lang w:val="fr-FR" w:bidi="ar-SA" w:eastAsia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Arial MT" w:cs="Arial MT" w:eastAsia="Arial MT" w:hAnsi="Arial MT"/>
      <w:lang w:val="fr-FR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Arial MT" w:cs="Arial MT" w:eastAsia="Arial MT" w:hAnsi="Arial MT"/>
      <w:sz w:val="24"/>
      <w:szCs w:val="24"/>
      <w:lang w:val="fr-FR" w:bidi="ar-SA" w:eastAsia="en-US"/>
    </w:rPr>
  </w:style>
  <w:style w:type="paragraph" w:styleId="Heading1">
    <w:name w:val="Heading 1"/>
    <w:basedOn w:val="Normal"/>
    <w:uiPriority w:val="1"/>
    <w:qFormat w:val="on"/>
    <w:pPr>
      <w:ind w:left="100"/>
    </w:pPr>
    <w:rPr>
      <w:rFonts w:ascii="Arial" w:cs="Arial" w:eastAsia="Arial" w:hAnsi="Arial"/>
      <w:b/>
      <w:bCs/>
      <w:sz w:val="24"/>
      <w:szCs w:val="24"/>
      <w:lang w:val="fr-FR" w:bidi="ar-SA" w:eastAsia="en-US"/>
    </w:rPr>
  </w:style>
  <w:style w:type="paragraph" w:styleId="Heading2">
    <w:name w:val="Heading 2"/>
    <w:basedOn w:val="Normal"/>
    <w:uiPriority w:val="1"/>
    <w:qFormat w:val="on"/>
    <w:pPr>
      <w:ind w:left="100"/>
    </w:pPr>
    <w:rPr>
      <w:rFonts w:ascii="Arial" w:cs="Arial" w:eastAsia="Arial" w:hAnsi="Arial"/>
      <w:b/>
      <w:bCs/>
      <w:i/>
      <w:iCs/>
      <w:sz w:val="24"/>
      <w:szCs w:val="24"/>
      <w:lang w:val="fr-FR" w:bidi="ar-SA" w:eastAsia="en-US"/>
    </w:rPr>
  </w:style>
  <w:style w:type="paragraph" w:styleId="Title">
    <w:name w:val="Title"/>
    <w:basedOn w:val="Normal"/>
    <w:uiPriority w:val="1"/>
    <w:qFormat w:val="on"/>
    <w:pPr>
      <w:spacing w:before="80"/>
      <w:ind w:left="2534" w:right="2529"/>
      <w:jc w:val="center"/>
    </w:pPr>
    <w:rPr>
      <w:rFonts w:ascii="Arial" w:cs="Arial" w:eastAsia="Arial" w:hAnsi="Arial"/>
      <w:b/>
      <w:bCs/>
      <w:sz w:val="30"/>
      <w:szCs w:val="30"/>
      <w:u w:val="single" w:color="000000"/>
      <w:lang w:val="fr-FR" w:bidi="ar-SA" w:eastAsia="en-US"/>
    </w:rPr>
  </w:style>
  <w:style w:type="paragraph" w:styleId="ListParagraph">
    <w:name w:val="List Paragraph"/>
    <w:basedOn w:val="Normal"/>
    <w:uiPriority w:val="1"/>
    <w:qFormat w:val="on"/>
    <w:pPr>
      <w:ind w:left="246" w:hanging="147"/>
    </w:pPr>
    <w:rPr>
      <w:rFonts w:ascii="Arial MT" w:cs="Arial MT" w:eastAsia="Arial MT" w:hAnsi="Arial MT"/>
      <w:lang w:val="fr-FR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fr-FR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" Type="http://schemas.openxmlformats.org/officeDocument/2006/relationships/fontTable" Target="fontTable.xml"/><Relationship Id="rId20" Type="http://schemas.openxmlformats.org/officeDocument/2006/relationships/image" Target="media/image3.jpe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numbering" Target="numbering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DDWS</dc:title>
  <dc:creator>ibrahim soumare</dc:creator>
  <cp:lastModifiedBy>ibrahim soumare</cp:lastModifiedBy>
</cp:coreProperties>
</file>