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3A68"/>
          <w:sz w:val="40"/>
          <w:szCs w:val="40"/>
        </w:rPr>
        <w:t xml:space="preserve">TRAFFIC VOLUME ANALYSIS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B6B7C"/>
          <w:sz w:val="24"/>
          <w:szCs w:val="24"/>
        </w:rPr>
        <w:t xml:space="preserve">Four-junction hourly flow study, November 2015 – June 2017</w:t>
      </w:r>
    </w:p>
    <w:p>
      <w:pPr>
        <w:spacing w:after="200" w:before="80" w:line="300"/>
      </w:pPr>
      <w:r>
        <w:rPr>
          <w:rFonts w:ascii="Arial" w:cs="Arial" w:eastAsia="Arial" w:hAnsi="Arial"/>
          <w:b/>
          <w:bCs/>
          <w:color w:val="5B6B7C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5B6B7C"/>
          <w:sz w:val="20"/>
          <w:szCs w:val="20"/>
        </w:rPr>
        <w:t xml:space="preserve">Executive stakeholders   </w:t>
      </w:r>
      <w:r>
        <w:rPr>
          <w:rFonts w:ascii="Arial" w:cs="Arial" w:eastAsia="Arial" w:hAnsi="Arial"/>
          <w:b/>
          <w:bCs/>
          <w:color w:val="5B6B7C"/>
          <w:sz w:val="20"/>
          <w:szCs w:val="20"/>
        </w:rPr>
        <w:t xml:space="preserve">|  Date: </w:t>
      </w:r>
      <w:r>
        <w:rPr>
          <w:rFonts w:ascii="Arial" w:cs="Arial" w:eastAsia="Arial" w:hAnsi="Arial"/>
          <w:color w:val="5B6B7C"/>
          <w:sz w:val="20"/>
          <w:szCs w:val="20"/>
        </w:rPr>
        <w:t xml:space="preserve">April 22, 2026</w:t>
      </w:r>
    </w:p>
    <w:p>
      <w:pPr>
        <w:pBdr>
          <w:bottom w:val="single" w:color="2E75B6" w:sz="6" w:space="1"/>
        </w:pBdr>
        <w:spacing w:after="12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48,120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Hourly observations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20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Nov 2015 – Jun 2017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6B7C"/>
                <w:sz w:val="18"/>
                <w:szCs w:val="18"/>
              </w:rPr>
              <w:t xml:space="preserve">Junctions monitored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hourly traffic dataset covering four junctions over twenty months was analysed to understand volume, identify patterns, and build a short-term forecasting model. The analysis produced four actionable findings for planning and operations.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Junction 1 carries the majority of the load.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It averages 45 vehicles per hour — roughly three times Junctions 2 and 3, and six times Junction 4. Any capacity or signal-timing intervention should start here.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Traffic follows a predictable daily and weekly rhythm.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Volumes peak late-morning and early-evening on weekdays, with weekend volumes roughly 25 % lower. This regularity makes short-term forecasting reliable.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Volumes are rising year-on-year.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Daily totals at Junction 1 have grown steadily across the observation window, and the model ranks calendar year as the second most important driver after the junction itself.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 Random Forest model predicts hourly traffic with 96.5 % accuracy.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Mean error is ±2.4 vehicles per hour — tight enough to support signal-timing decisions, staffing, and incident-response planning.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1 — Volume is concentrated at one junction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 48,120 hourly observations, vehicle counts differ sharply across junctions. The overall distribution is right-skewed — most hours see light traffic, with Junction 1's consistent rush-hour peaks driving the bulk of the mean. Separately, Junction 3 contributes rare but extreme spikes, reaching the single highest observed value of 180 vehicles in an hour despite a low typical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vehicles/hr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vehicles/hr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of total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45.1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156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56 %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2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14.3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48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13.7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17 %</w:t>
            </w:r>
          </w:p>
        </w:tc>
      </w:tr>
      <w:tr>
        <w:tc>
          <w:tcPr>
            <w:tcW w:type="dxa" w:w="156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Junction 4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7.3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36</w:t>
            </w:r>
          </w:p>
        </w:tc>
        <w:tc>
          <w:tcPr>
            <w:tcW w:type="dxa" w:w="195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1657350"/>
            <wp:effectExtent t="0" r="0" b="0" l="0"/>
            <wp:docPr id="1" name="fig1_distributions.png" descr="Figure 1 — Hourly vehicle distribution (left) and volume by junction (right). Junction 1's box sits far higher than the rest." title="Figure 1 — Hourly vehicle distribution (left) and volume by junction (right). Junction 1's box sits far higher than the 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1 — Hourly vehicle distribution (left) and volume by junction (right). Junction 1's box sits far higher than the rest.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2 — Traffic follows predictable daily and weekly rhythms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Hourly and weekly patterns are consistent enough to plan around. On weekdays, volumes climb from a 4-5 a.m. trough, reach a late-morning plateau, dip modestly mid-afternoon, then peak again between 6 and 8 p.m. Saturday and Sunday averages are roughly 25 % below the Monday-to-Friday baseline. Junction 1 amplifies every pattern; Junction 4 stays flat throughout.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fig2_time_patterns.png" descr="Figure 2 — Average traffic by hour of day, day of week, month, and weekend vs. weekday." title="Figure 2 — Average traffic by hour of day, day of week, month, and weekend vs. week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2 — Average traffic by hour of day, day of week, month, and weekend vs. weekday.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3 — Volumes are growing, particularly at Junction 1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daily time series shows Junction 1 climbing materially between late 2015 and mid-2017, while the other three junctions remain broadly stable. The correlation heat-map and the Random Forest both confirm that the year variable is among the strongest time-based predictors of volume — ranking second only to the junction itself in feature importance, and tied with hour of day in raw correlation — indicating a genuine upward trend rather than seasonal noise.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fig3_daily_and_corr.png" descr="Figure 3 — Daily vehicle totals per junction (top) and correlation between features (bottom)." title="Figure 3 — Daily vehicle totals per junction (top) and correlation between features (botto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3 — Daily vehicle totals per junction (top) and correlation between features (bottom).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4 — A forecasting model is ready for operational use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models were fitted against a held-out 20 % test set. The Random Forest substantially outperforms a linear baseline and predicts hourly volume with a mean absolute error of about 2.4 vehicles.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(vehicles)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9.57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12.88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312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shd w:fill="E8EE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Random Forest (selected)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2.44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3.85</w:t>
            </w:r>
          </w:p>
        </w:tc>
        <w:tc>
          <w:tcPr>
            <w:tcW w:type="dxa" w:w="2080"/>
            <w:tcBorders>
              <w:top w:val="single" w:color="BFCBDB" w:sz="4"/>
              <w:left w:val="single" w:color="BFCBDB" w:sz="4"/>
              <w:bottom w:val="single" w:color="BFCBDB" w:sz="4"/>
              <w:right w:val="single" w:color="BFCB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0.965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importance is dominated by which junction is being predicted (52 %), followed by year (16 %) and hour of day (14 %). Day-of-week and weekend flags contribute little once hour and month are known — a useful simplification for any downstream tool that needs fewer inputs.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943100"/>
            <wp:effectExtent t="0" r="0" b="0" l="0"/>
            <wp:docPr id="1" name="fig4_rf_results.png" descr="Figure 4 — Random Forest feature importance (left) and actual vs. predicted hourly volumes on a 500-point sample (right)." title="Figure 4 — Random Forest feature importance (left) and actual vs. predicted hourly volumes on a 500-point sample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Figure 4 — Random Forest feature importance (left) and actual vs. predicted hourly volumes on a 500-point sample (right).</w:t>
      </w:r>
    </w:p>
    <w:p>
      <w:pPr>
        <w:pStyle w:val="Heading1"/>
      </w:pPr>
      <w:r>
        <w:rPr>
          <w:rFonts w:ascii="Arial" w:cs="Arial" w:eastAsia="Arial" w:hAnsi="Arial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Prioritise Junction 1 for any congestion intervention.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It drives the majority of observed load and shows the steepest growth.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the model for operational forecasting.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 ±2.4-vehicle hourly error is suitable for signal-timing, staffing, and short-horizon planning; publish an API or scheduled report.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Recalibrate quarterly.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Because year is a top predictor, the model will drift as traffic grows; a quarterly retrain keeps accuracy stable.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Extend the dataset where possible.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Adding weather, holidays, and event calendars would likely reduce the residual error further and improve handling of unusual days.</w:t>
      </w:r>
    </w:p>
    <w:p>
      <w:pPr>
        <w:pStyle w:val="Heading2"/>
      </w:pPr>
      <w:r>
        <w:rPr>
          <w:rFonts w:ascii="Arial" w:cs="Arial" w:eastAsia="Arial" w:hAnsi="Arial"/>
        </w:rPr>
        <w:t xml:space="preserve">Methodology Note</w:t>
      </w:r>
    </w:p>
    <w:p>
      <w:pPr>
        <w:spacing w:after="80" w:before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Source: hourly vehicle counts at four junctions, 1 Nov 2015 – 30 Jun 2017 (48,120 rows, no missing values, no duplicates). Features engineered from DateTime: hour, day, month, year, weekday, weekend flag. Models trained on an 80/20 random split using scikit-learn's LinearRegression and RandomForestRegressor (50 trees). Evaluation metrics: Mean Absolute Error (MAE), Root Mean Squared Error (RMSE), and R².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B6B7C"/>
        <w:sz w:val="18"/>
        <w:szCs w:val="18"/>
      </w:rPr>
      <w:t xml:space="preserve">Prepared from Traffic analysis.ipynb</w:t>
    </w:r>
    <w:r>
      <w:rPr>
        <w:rFonts w:ascii="Arial" w:cs="Arial" w:eastAsia="Arial" w:hAnsi="Arial"/>
        <w:color w:val="5B6B7C"/>
        <w:sz w:val="18"/>
        <w:szCs w:val="18"/>
      </w:rPr>
      <w:t xml:space="preserve">	Page </w:t>
    </w:r>
    <w:r>
      <w:rPr>
        <w:rFonts w:ascii="Arial" w:cs="Arial" w:eastAsia="Arial" w:hAnsi="Arial"/>
        <w:color w:val="5B6B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C"/>
        <w:sz w:val="18"/>
        <w:szCs w:val="18"/>
      </w:rPr>
      <w:t xml:space="preserve"> of </w:t>
    </w:r>
    <w:r>
      <w:rPr>
        <w:rFonts w:ascii="Arial" w:cs="Arial" w:eastAsia="Arial" w:hAnsi="Arial"/>
        <w:color w:val="5B6B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3A68"/>
        <w:sz w:val="18"/>
        <w:szCs w:val="18"/>
      </w:rPr>
      <w:t xml:space="preserve">Traffic Volume Analysis</w:t>
    </w:r>
    <w:r>
      <w:rPr>
        <w:rFonts w:ascii="Arial" w:cs="Arial" w:eastAsia="Arial" w:hAnsi="Arial"/>
        <w:color w:val="5B6B7C"/>
        <w:sz w:val="18"/>
        <w:szCs w:val="18"/>
      </w:rPr>
      <w:t xml:space="preserve">	Executive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2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A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24c06fdd924ce1a077cc57e80337d2fa00c426.png"/><Relationship Id="rId10" Type="http://schemas.openxmlformats.org/officeDocument/2006/relationships/image" Target="media/da48fe98edc67228564b0438dee7e2dafc8acb70.png"/><Relationship Id="rId11" Type="http://schemas.openxmlformats.org/officeDocument/2006/relationships/image" Target="media/e2b00d0d0d93617cf7c0e0cea571292b7f44387a.png"/><Relationship Id="rId12" Type="http://schemas.openxmlformats.org/officeDocument/2006/relationships/image" Target="media/f045c4ba405c37fbd39c083c257318f3333fa9e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Volume Analysis — Executive Report</dc:title>
  <dc:creator>Claude</dc:creator>
  <cp:lastModifiedBy>Un-named</cp:lastModifiedBy>
  <cp:revision>1</cp:revision>
  <dcterms:created xsi:type="dcterms:W3CDTF">2026-04-22T22:54:51.710Z</dcterms:created>
  <dcterms:modified xsi:type="dcterms:W3CDTF">2026-04-22T22:54:51.712Z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