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D9488"/>
          <w:sz w:val="64"/>
          <w:szCs w:val="64"/>
        </w:rPr>
        <w:t xml:space="preserve">CongoSantéPlus</w:t>
      </w:r>
    </w:p>
    <w:p>
      <w:pPr>
        <w:spacing w:after="100" w:before="200"/>
        <w:jc w:val="center"/>
      </w:pPr>
      <w:r>
        <w:rPr>
          <w:b/>
          <w:bCs/>
          <w:color w:val="0F172A"/>
          <w:sz w:val="36"/>
          <w:szCs w:val="36"/>
        </w:rPr>
        <w:t xml:space="preserve">Analyse de Performance &amp; Recommandations</w:t>
      </w:r>
    </w:p>
    <w:p>
      <w:pPr>
        <w:spacing w:after="600"/>
        <w:jc w:val="center"/>
      </w:pPr>
      <w:r>
        <w:rPr>
          <w:color w:val="475569"/>
          <w:sz w:val="24"/>
          <w:szCs w:val="24"/>
        </w:rPr>
        <w:t xml:space="preserve">Document préparé pour la Direction Générale</w:t>
      </w:r>
    </w:p>
    <w:p>
      <w:pPr>
        <w:jc w:val="center"/>
      </w:pPr>
      <w:r>
        <w:rPr>
          <w:color w:val="475569"/>
          <w:sz w:val="20"/>
          <w:szCs w:val="20"/>
        </w:rPr>
        <w:t xml:space="preserve">Périmètre : données 2021–2025 · Réseau de structures sanitaires, pharmacies et programmes de santé (RD Congo)</w:t>
      </w:r>
    </w:p>
    <w:p>
      <w:pPr>
        <w:spacing w:before="100"/>
        <w:jc w:val="center"/>
      </w:pPr>
      <w:r>
        <w:rPr>
          <w:color w:val="475569"/>
          <w:sz w:val="20"/>
          <w:szCs w:val="20"/>
        </w:rPr>
        <w:t xml:space="preserve">Juillet 2026</w:t>
      </w:r>
    </w:p>
    <w:p>
      <w:r>
        <w:br w:type="page"/>
      </w:r>
    </w:p>
    <w:p>
      <w:pPr>
        <w:pStyle w:val="Heading1"/>
        <w:spacing w:after="160" w:before="360"/>
      </w:pPr>
      <w:r>
        <w:t xml:space="preserve">Résumé Exécutif</w:t>
      </w:r>
    </w:p>
    <w:p>
      <w:pPr>
        <w:spacing w:after="140"/>
      </w:pPr>
      <w:r>
        <w:t xml:space="preserve">Cette analyse s'appuie sur l'ensemble des données opérationnelles 2021–2025 de CongoSantéPlus (15 000 consultations, 2 000 patients, 12 structures, 700 références de médicaments, 60 fournisseurs, campagnes et programmes sociaux) et sur le tableau de bord Power BI interactif livré en parallèle de ce document. Cinq constats dominent :</w:t>
      </w:r>
    </w:p>
    <w:p>
      <w:pPr>
        <w:pStyle w:val="ListParagraph"/>
        <w:numPr>
          <w:ilvl w:val="0"/>
          <w:numId w:val="1"/>
        </w:numPr>
        <w:spacing w:after="80"/>
      </w:pPr>
      <w:r>
        <w:rPr>
          <w:color w:val="0D9488"/>
        </w:rPr>
        <w:t xml:space="preserve">Une croissance financière saine et régulière : les recettes ont progressé de 244 k$ (2021) à 759 k$ (2025), soit +211 % en 5 ans, avec une marge nette stable autour de 28–29 % et un taux de recouvrement des paiements de 92,4 %.</w:t>
      </w:r>
    </w:p>
    <w:p>
      <w:pPr>
        <w:pStyle w:val="ListParagraph"/>
        <w:numPr>
          <w:ilvl w:val="0"/>
          <w:numId w:val="1"/>
        </w:numPr>
        <w:spacing w:after="80"/>
      </w:pPr>
      <w:r>
        <w:rPr>
          <w:color w:val="DC2626"/>
        </w:rPr>
        <w:t xml:space="preserve">Une alerte pharmaceutique majeure à traiter en priorité : 342 des 700 références de médicaments (49 %) affichent une date de péremption déjà dépassée dans le système, et 44 % des retours médicaments sont liés à des erreurs de dosage prescrit.</w:t>
      </w:r>
    </w:p>
    <w:p>
      <w:pPr>
        <w:pStyle w:val="ListParagraph"/>
        <w:numPr>
          <w:ilvl w:val="0"/>
          <w:numId w:val="1"/>
        </w:numPr>
        <w:spacing w:after="80"/>
      </w:pPr>
      <w:r>
        <w:rPr>
          <w:color w:val="DC2626"/>
        </w:rPr>
        <w:t xml:space="preserve">Un écart stratégique très important entre objectifs et réalisé : sur 500 objectifs sanitaires suivis, 498 (99,6 %) ne sont pas atteints ; le taux de réalisation global n'est que de 12,2 %, ce qui interroge la méthode de fixation des cibles autant que l'exécution.</w:t>
      </w:r>
    </w:p>
    <w:p>
      <w:pPr>
        <w:pStyle w:val="ListParagraph"/>
        <w:numPr>
          <w:ilvl w:val="0"/>
          <w:numId w:val="1"/>
        </w:numPr>
        <w:spacing w:after="80"/>
      </w:pPr>
      <w:r>
        <w:rPr>
          <w:color w:val="CA8A04"/>
        </w:rPr>
        <w:t xml:space="preserve">Une base patient à réactiver : 29,3 % des patients (584 sur 2 000) sont "Perdus de Vue" ou "Jamais Consultés", un vivier de reconquête important.</w:t>
      </w:r>
    </w:p>
    <w:p>
      <w:pPr>
        <w:pStyle w:val="ListParagraph"/>
        <w:numPr>
          <w:ilvl w:val="0"/>
          <w:numId w:val="1"/>
        </w:numPr>
        <w:spacing w:after="80"/>
      </w:pPr>
      <w:r>
        <w:rPr>
          <w:color w:val="0D9488"/>
        </w:rPr>
        <w:t xml:space="preserve">Des campagnes de sensibilisation très rentables (recettes générées ≈ 4,4× le budget investi) qui méritent d'être renforcées sur les canaux les plus performants.</w:t>
      </w:r>
    </w:p>
    <w:p>
      <w:pPr>
        <w:spacing w:after="140"/>
      </w:pPr>
      <w:r>
        <w:t xml:space="preserve">Le tableau de bord interactif construit (7 pages : Vue Exécutive, Performance Financière, Activité Clinique &amp; Patients, Pharmacie &amp; Stock, Achats &amp; Fournisseurs, Programmes &amp; Campagnes, Évacuations &amp; Objectifs Sanitaires) permet à la Direction Générale d'explorer chacun de ces constats par structure, période, classe thérapeutique et segment de patient.</w:t>
      </w:r>
    </w:p>
    <w:p>
      <w:r>
        <w:br w:type="page"/>
      </w:r>
    </w:p>
    <w:p>
      <w:pPr>
        <w:pStyle w:val="Heading1"/>
        <w:spacing w:after="160" w:before="360"/>
      </w:pPr>
      <w:r>
        <w:t xml:space="preserve">Méthodologie &amp; Périmètre</w:t>
      </w:r>
    </w:p>
    <w:p>
      <w:pPr>
        <w:spacing w:after="140"/>
      </w:pPr>
      <w:r>
        <w:t xml:space="preserve">Les chiffres cités dans ce document sont calculés directement à partir des données sources (fichier CongoSantePlus_Base_Donnees.xlsx, 24 tables) et correspondent aux mesures DAX implémentées dans le modèle sémantique Power BI (table _Mesures, ~60 indicateurs). Le modèle a fait l'objet de corrections préalables : promotion des en-têtes sur 4 tables qui utilisaient des noms de colonnes génériques, ajout de 7 relations manquantes (dont Consultations↔Personnel_Médical et Médicaments↔Fabricants_Pharmaceutiques), et mise en place d'un hub d'année partagé (table KPI_Annuel) permettant un filtrage temporel cohérent sur l'ensemble des tables de faits.</w:t>
      </w:r>
    </w:p>
    <w:p>
      <w:pPr>
        <w:spacing w:after="140"/>
      </w:pPr>
      <w:r>
        <w:t xml:space="preserve">Deux limites de données sont signalées explicitement là où elles affectent l'interprétation (péremption des médicaments et volumétrie des évacuations sanitaires) — voir Annexe.</w:t>
      </w:r>
    </w:p>
    <w:p>
      <w:r>
        <w:br w:type="page"/>
      </w:r>
    </w:p>
    <w:p>
      <w:pPr>
        <w:pStyle w:val="Heading1"/>
        <w:spacing w:after="160" w:before="360"/>
      </w:pPr>
      <w:r>
        <w:t xml:space="preserve">1. Performance Financière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1400"/>
        <w:gridCol w:w="1800"/>
      </w:tblGrid>
      <w:tr>
        <w:trPr>
          <w:tblHeader/>
        </w:trPr>
        <w:tc>
          <w:tcPr>
            <w:tcW w:type="dxa" w:w="1600"/>
            <w:shd w:fill="F0F9FF" w:val="clear"/>
            <w:tcMar>
              <w:top w:type="dxa" w:w="80"/>
              <w:left w:type="dxa" w:w="100"/>
              <w:bottom w:type="dxa" w:w="80"/>
              <w:right w:type="dxa" w:w="100"/>
            </w:tcMar>
          </w:tcPr>
          <w:p>
            <w:pPr>
              <w:jc w:val="left"/>
            </w:pPr>
            <w:r>
              <w:rPr>
                <w:b/>
                <w:bCs/>
                <w:color w:val="0F172A"/>
              </w:rPr>
              <w:t xml:space="preserve">Année</w:t>
            </w:r>
          </w:p>
        </w:tc>
        <w:tc>
          <w:tcPr>
            <w:tcW w:type="dxa" w:w="2600"/>
            <w:shd w:fill="F0F9FF" w:val="clear"/>
            <w:tcMar>
              <w:top w:type="dxa" w:w="80"/>
              <w:left w:type="dxa" w:w="100"/>
              <w:bottom w:type="dxa" w:w="80"/>
              <w:right w:type="dxa" w:w="100"/>
            </w:tcMar>
          </w:tcPr>
          <w:p>
            <w:pPr>
              <w:jc w:val="left"/>
            </w:pPr>
            <w:r>
              <w:rPr>
                <w:b/>
                <w:bCs/>
                <w:color w:val="0F172A"/>
              </w:rPr>
              <w:t xml:space="preserve">Recettes (USD)</w:t>
            </w:r>
          </w:p>
        </w:tc>
        <w:tc>
          <w:tcPr>
            <w:tcW w:type="dxa" w:w="2400"/>
            <w:shd w:fill="F0F9FF" w:val="clear"/>
            <w:tcMar>
              <w:top w:type="dxa" w:w="80"/>
              <w:left w:type="dxa" w:w="100"/>
              <w:bottom w:type="dxa" w:w="80"/>
              <w:right w:type="dxa" w:w="100"/>
            </w:tcMar>
          </w:tcPr>
          <w:p>
            <w:pPr>
              <w:jc w:val="left"/>
            </w:pPr>
            <w:r>
              <w:rPr>
                <w:b/>
                <w:bCs/>
                <w:color w:val="0F172A"/>
              </w:rPr>
              <w:t xml:space="preserve">Excédent (USD)</w:t>
            </w:r>
          </w:p>
        </w:tc>
        <w:tc>
          <w:tcPr>
            <w:tcW w:type="dxa" w:w="1400"/>
            <w:shd w:fill="F0F9FF" w:val="clear"/>
            <w:tcMar>
              <w:top w:type="dxa" w:w="80"/>
              <w:left w:type="dxa" w:w="100"/>
              <w:bottom w:type="dxa" w:w="80"/>
              <w:right w:type="dxa" w:w="100"/>
            </w:tcMar>
          </w:tcPr>
          <w:p>
            <w:pPr>
              <w:jc w:val="left"/>
            </w:pPr>
            <w:r>
              <w:rPr>
                <w:b/>
                <w:bCs/>
                <w:color w:val="0F172A"/>
              </w:rPr>
              <w:t xml:space="preserve">Marge</w:t>
            </w:r>
          </w:p>
        </w:tc>
        <w:tc>
          <w:tcPr>
            <w:tcW w:type="dxa" w:w="1800"/>
            <w:shd w:fill="F0F9FF" w:val="clear"/>
            <w:tcMar>
              <w:top w:type="dxa" w:w="80"/>
              <w:left w:type="dxa" w:w="100"/>
              <w:bottom w:type="dxa" w:w="80"/>
              <w:right w:type="dxa" w:w="100"/>
            </w:tcMar>
          </w:tcPr>
          <w:p>
            <w:pPr>
              <w:jc w:val="left"/>
            </w:pPr>
            <w:r>
              <w:rPr>
                <w:b/>
                <w:bCs/>
                <w:color w:val="0F172A"/>
              </w:rPr>
              <w:t xml:space="preserve">Consultations</w:t>
            </w:r>
          </w:p>
        </w:tc>
      </w:tr>
      <w:tr>
        <w:tc>
          <w:tcPr>
            <w:tcW w:type="dxa" w:w="1600"/>
            <w:tcMar>
              <w:top w:type="dxa" w:w="80"/>
              <w:left w:type="dxa" w:w="100"/>
              <w:bottom w:type="dxa" w:w="80"/>
              <w:right w:type="dxa" w:w="100"/>
            </w:tcMar>
          </w:tcPr>
          <w:p>
            <w:pPr>
              <w:jc w:val="left"/>
            </w:pPr>
            <w:r>
              <w:rPr>
                <w:b w:val="false"/>
                <w:bCs w:val="false"/>
              </w:rPr>
              <w:t xml:space="preserve">2021</w:t>
            </w:r>
          </w:p>
        </w:tc>
        <w:tc>
          <w:tcPr>
            <w:tcW w:type="dxa" w:w="2600"/>
            <w:tcMar>
              <w:top w:type="dxa" w:w="80"/>
              <w:left w:type="dxa" w:w="100"/>
              <w:bottom w:type="dxa" w:w="80"/>
              <w:right w:type="dxa" w:w="100"/>
            </w:tcMar>
          </w:tcPr>
          <w:p>
            <w:pPr>
              <w:jc w:val="left"/>
            </w:pPr>
            <w:r>
              <w:rPr>
                <w:b w:val="false"/>
                <w:bCs w:val="false"/>
              </w:rPr>
              <w:t xml:space="preserve">243 994</w:t>
            </w:r>
          </w:p>
        </w:tc>
        <w:tc>
          <w:tcPr>
            <w:tcW w:type="dxa" w:w="2400"/>
            <w:tcMar>
              <w:top w:type="dxa" w:w="80"/>
              <w:left w:type="dxa" w:w="100"/>
              <w:bottom w:type="dxa" w:w="80"/>
              <w:right w:type="dxa" w:w="100"/>
            </w:tcMar>
          </w:tcPr>
          <w:p>
            <w:pPr>
              <w:jc w:val="left"/>
            </w:pPr>
            <w:r>
              <w:rPr>
                <w:b w:val="false"/>
                <w:bCs w:val="false"/>
              </w:rPr>
              <w:t xml:space="preserve">71 383</w:t>
            </w:r>
          </w:p>
        </w:tc>
        <w:tc>
          <w:tcPr>
            <w:tcW w:type="dxa" w:w="1400"/>
            <w:tcMar>
              <w:top w:type="dxa" w:w="80"/>
              <w:left w:type="dxa" w:w="100"/>
              <w:bottom w:type="dxa" w:w="80"/>
              <w:right w:type="dxa" w:w="100"/>
            </w:tcMar>
          </w:tcPr>
          <w:p>
            <w:pPr>
              <w:jc w:val="left"/>
            </w:pPr>
            <w:r>
              <w:rPr>
                <w:b w:val="false"/>
                <w:bCs w:val="false"/>
              </w:rPr>
              <w:t xml:space="preserve">29,3 %</w:t>
            </w:r>
          </w:p>
        </w:tc>
        <w:tc>
          <w:tcPr>
            <w:tcW w:type="dxa" w:w="1800"/>
            <w:tcMar>
              <w:top w:type="dxa" w:w="80"/>
              <w:left w:type="dxa" w:w="100"/>
              <w:bottom w:type="dxa" w:w="80"/>
              <w:right w:type="dxa" w:w="100"/>
            </w:tcMar>
          </w:tcPr>
          <w:p>
            <w:pPr>
              <w:jc w:val="left"/>
            </w:pPr>
            <w:r>
              <w:rPr>
                <w:b w:val="false"/>
                <w:bCs w:val="false"/>
              </w:rPr>
              <w:t xml:space="preserve">1 800</w:t>
            </w:r>
          </w:p>
        </w:tc>
      </w:tr>
      <w:tr>
        <w:tc>
          <w:tcPr>
            <w:tcW w:type="dxa" w:w="1600"/>
            <w:tcMar>
              <w:top w:type="dxa" w:w="80"/>
              <w:left w:type="dxa" w:w="100"/>
              <w:bottom w:type="dxa" w:w="80"/>
              <w:right w:type="dxa" w:w="100"/>
            </w:tcMar>
          </w:tcPr>
          <w:p>
            <w:pPr>
              <w:jc w:val="left"/>
            </w:pPr>
            <w:r>
              <w:rPr>
                <w:b w:val="false"/>
                <w:bCs w:val="false"/>
              </w:rPr>
              <w:t xml:space="preserve">2022</w:t>
            </w:r>
          </w:p>
        </w:tc>
        <w:tc>
          <w:tcPr>
            <w:tcW w:type="dxa" w:w="2600"/>
            <w:tcMar>
              <w:top w:type="dxa" w:w="80"/>
              <w:left w:type="dxa" w:w="100"/>
              <w:bottom w:type="dxa" w:w="80"/>
              <w:right w:type="dxa" w:w="100"/>
            </w:tcMar>
          </w:tcPr>
          <w:p>
            <w:pPr>
              <w:jc w:val="left"/>
            </w:pPr>
            <w:r>
              <w:rPr>
                <w:b w:val="false"/>
                <w:bCs w:val="false"/>
              </w:rPr>
              <w:t xml:space="preserve">368 184</w:t>
            </w:r>
          </w:p>
        </w:tc>
        <w:tc>
          <w:tcPr>
            <w:tcW w:type="dxa" w:w="2400"/>
            <w:tcMar>
              <w:top w:type="dxa" w:w="80"/>
              <w:left w:type="dxa" w:w="100"/>
              <w:bottom w:type="dxa" w:w="80"/>
              <w:right w:type="dxa" w:w="100"/>
            </w:tcMar>
          </w:tcPr>
          <w:p>
            <w:pPr>
              <w:jc w:val="left"/>
            </w:pPr>
            <w:r>
              <w:rPr>
                <w:b w:val="false"/>
                <w:bCs w:val="false"/>
              </w:rPr>
              <w:t xml:space="preserve">107 030</w:t>
            </w:r>
          </w:p>
        </w:tc>
        <w:tc>
          <w:tcPr>
            <w:tcW w:type="dxa" w:w="1400"/>
            <w:tcMar>
              <w:top w:type="dxa" w:w="80"/>
              <w:left w:type="dxa" w:w="100"/>
              <w:bottom w:type="dxa" w:w="80"/>
              <w:right w:type="dxa" w:w="100"/>
            </w:tcMar>
          </w:tcPr>
          <w:p>
            <w:pPr>
              <w:jc w:val="left"/>
            </w:pPr>
            <w:r>
              <w:rPr>
                <w:b w:val="false"/>
                <w:bCs w:val="false"/>
              </w:rPr>
              <w:t xml:space="preserve">29,1 %</w:t>
            </w:r>
          </w:p>
        </w:tc>
        <w:tc>
          <w:tcPr>
            <w:tcW w:type="dxa" w:w="1800"/>
            <w:tcMar>
              <w:top w:type="dxa" w:w="80"/>
              <w:left w:type="dxa" w:w="100"/>
              <w:bottom w:type="dxa" w:w="80"/>
              <w:right w:type="dxa" w:w="100"/>
            </w:tcMar>
          </w:tcPr>
          <w:p>
            <w:pPr>
              <w:jc w:val="left"/>
            </w:pPr>
            <w:r>
              <w:rPr>
                <w:b w:val="false"/>
                <w:bCs w:val="false"/>
              </w:rPr>
              <w:t xml:space="preserve">2 400</w:t>
            </w:r>
          </w:p>
        </w:tc>
      </w:tr>
      <w:tr>
        <w:tc>
          <w:tcPr>
            <w:tcW w:type="dxa" w:w="1600"/>
            <w:tcMar>
              <w:top w:type="dxa" w:w="80"/>
              <w:left w:type="dxa" w:w="100"/>
              <w:bottom w:type="dxa" w:w="80"/>
              <w:right w:type="dxa" w:w="100"/>
            </w:tcMar>
          </w:tcPr>
          <w:p>
            <w:pPr>
              <w:jc w:val="left"/>
            </w:pPr>
            <w:r>
              <w:rPr>
                <w:b w:val="false"/>
                <w:bCs w:val="false"/>
              </w:rPr>
              <w:t xml:space="preserve">2023</w:t>
            </w:r>
          </w:p>
        </w:tc>
        <w:tc>
          <w:tcPr>
            <w:tcW w:type="dxa" w:w="2600"/>
            <w:tcMar>
              <w:top w:type="dxa" w:w="80"/>
              <w:left w:type="dxa" w:w="100"/>
              <w:bottom w:type="dxa" w:w="80"/>
              <w:right w:type="dxa" w:w="100"/>
            </w:tcMar>
          </w:tcPr>
          <w:p>
            <w:pPr>
              <w:jc w:val="left"/>
            </w:pPr>
            <w:r>
              <w:rPr>
                <w:b w:val="false"/>
                <w:bCs w:val="false"/>
              </w:rPr>
              <w:t xml:space="preserve">522 692</w:t>
            </w:r>
          </w:p>
        </w:tc>
        <w:tc>
          <w:tcPr>
            <w:tcW w:type="dxa" w:w="2400"/>
            <w:tcMar>
              <w:top w:type="dxa" w:w="80"/>
              <w:left w:type="dxa" w:w="100"/>
              <w:bottom w:type="dxa" w:w="80"/>
              <w:right w:type="dxa" w:w="100"/>
            </w:tcMar>
          </w:tcPr>
          <w:p>
            <w:pPr>
              <w:jc w:val="left"/>
            </w:pPr>
            <w:r>
              <w:rPr>
                <w:b w:val="false"/>
                <w:bCs w:val="false"/>
              </w:rPr>
              <w:t xml:space="preserve">149 176</w:t>
            </w:r>
          </w:p>
        </w:tc>
        <w:tc>
          <w:tcPr>
            <w:tcW w:type="dxa" w:w="1400"/>
            <w:tcMar>
              <w:top w:type="dxa" w:w="80"/>
              <w:left w:type="dxa" w:w="100"/>
              <w:bottom w:type="dxa" w:w="80"/>
              <w:right w:type="dxa" w:w="100"/>
            </w:tcMar>
          </w:tcPr>
          <w:p>
            <w:pPr>
              <w:jc w:val="left"/>
            </w:pPr>
            <w:r>
              <w:rPr>
                <w:b w:val="false"/>
                <w:bCs w:val="false"/>
              </w:rPr>
              <w:t xml:space="preserve">28,5 %</w:t>
            </w:r>
          </w:p>
        </w:tc>
        <w:tc>
          <w:tcPr>
            <w:tcW w:type="dxa" w:w="1800"/>
            <w:tcMar>
              <w:top w:type="dxa" w:w="80"/>
              <w:left w:type="dxa" w:w="100"/>
              <w:bottom w:type="dxa" w:w="80"/>
              <w:right w:type="dxa" w:w="100"/>
            </w:tcMar>
          </w:tcPr>
          <w:p>
            <w:pPr>
              <w:jc w:val="left"/>
            </w:pPr>
            <w:r>
              <w:rPr>
                <w:b w:val="false"/>
                <w:bCs w:val="false"/>
              </w:rPr>
              <w:t xml:space="preserve">3 000</w:t>
            </w:r>
          </w:p>
        </w:tc>
      </w:tr>
      <w:tr>
        <w:tc>
          <w:tcPr>
            <w:tcW w:type="dxa" w:w="1600"/>
            <w:tcMar>
              <w:top w:type="dxa" w:w="80"/>
              <w:left w:type="dxa" w:w="100"/>
              <w:bottom w:type="dxa" w:w="80"/>
              <w:right w:type="dxa" w:w="100"/>
            </w:tcMar>
          </w:tcPr>
          <w:p>
            <w:pPr>
              <w:jc w:val="left"/>
            </w:pPr>
            <w:r>
              <w:rPr>
                <w:b w:val="false"/>
                <w:bCs w:val="false"/>
              </w:rPr>
              <w:t xml:space="preserve">2024</w:t>
            </w:r>
          </w:p>
        </w:tc>
        <w:tc>
          <w:tcPr>
            <w:tcW w:type="dxa" w:w="2600"/>
            <w:tcMar>
              <w:top w:type="dxa" w:w="80"/>
              <w:left w:type="dxa" w:w="100"/>
              <w:bottom w:type="dxa" w:w="80"/>
              <w:right w:type="dxa" w:w="100"/>
            </w:tcMar>
          </w:tcPr>
          <w:p>
            <w:pPr>
              <w:jc w:val="left"/>
            </w:pPr>
            <w:r>
              <w:rPr>
                <w:b w:val="false"/>
                <w:bCs w:val="false"/>
              </w:rPr>
              <w:t xml:space="preserve">649 973</w:t>
            </w:r>
          </w:p>
        </w:tc>
        <w:tc>
          <w:tcPr>
            <w:tcW w:type="dxa" w:w="2400"/>
            <w:tcMar>
              <w:top w:type="dxa" w:w="80"/>
              <w:left w:type="dxa" w:w="100"/>
              <w:bottom w:type="dxa" w:w="80"/>
              <w:right w:type="dxa" w:w="100"/>
            </w:tcMar>
          </w:tcPr>
          <w:p>
            <w:pPr>
              <w:jc w:val="left"/>
            </w:pPr>
            <w:r>
              <w:rPr>
                <w:b w:val="false"/>
                <w:bCs w:val="false"/>
              </w:rPr>
              <w:t xml:space="preserve">185 734</w:t>
            </w:r>
          </w:p>
        </w:tc>
        <w:tc>
          <w:tcPr>
            <w:tcW w:type="dxa" w:w="1400"/>
            <w:tcMar>
              <w:top w:type="dxa" w:w="80"/>
              <w:left w:type="dxa" w:w="100"/>
              <w:bottom w:type="dxa" w:w="80"/>
              <w:right w:type="dxa" w:w="100"/>
            </w:tcMar>
          </w:tcPr>
          <w:p>
            <w:pPr>
              <w:jc w:val="left"/>
            </w:pPr>
            <w:r>
              <w:rPr>
                <w:b w:val="false"/>
                <w:bCs w:val="false"/>
              </w:rPr>
              <w:t xml:space="preserve">28,6 %</w:t>
            </w:r>
          </w:p>
        </w:tc>
        <w:tc>
          <w:tcPr>
            <w:tcW w:type="dxa" w:w="1800"/>
            <w:tcMar>
              <w:top w:type="dxa" w:w="80"/>
              <w:left w:type="dxa" w:w="100"/>
              <w:bottom w:type="dxa" w:w="80"/>
              <w:right w:type="dxa" w:w="100"/>
            </w:tcMar>
          </w:tcPr>
          <w:p>
            <w:pPr>
              <w:jc w:val="left"/>
            </w:pPr>
            <w:r>
              <w:rPr>
                <w:b w:val="false"/>
                <w:bCs w:val="false"/>
              </w:rPr>
              <w:t xml:space="preserve">3 600</w:t>
            </w:r>
          </w:p>
        </w:tc>
      </w:tr>
      <w:tr>
        <w:tc>
          <w:tcPr>
            <w:tcW w:type="dxa" w:w="1600"/>
            <w:tcMar>
              <w:top w:type="dxa" w:w="80"/>
              <w:left w:type="dxa" w:w="100"/>
              <w:bottom w:type="dxa" w:w="80"/>
              <w:right w:type="dxa" w:w="100"/>
            </w:tcMar>
          </w:tcPr>
          <w:p>
            <w:pPr>
              <w:jc w:val="left"/>
            </w:pPr>
            <w:r>
              <w:rPr>
                <w:b w:val="false"/>
                <w:bCs w:val="false"/>
              </w:rPr>
              <w:t xml:space="preserve">2025</w:t>
            </w:r>
          </w:p>
        </w:tc>
        <w:tc>
          <w:tcPr>
            <w:tcW w:type="dxa" w:w="2600"/>
            <w:tcMar>
              <w:top w:type="dxa" w:w="80"/>
              <w:left w:type="dxa" w:w="100"/>
              <w:bottom w:type="dxa" w:w="80"/>
              <w:right w:type="dxa" w:w="100"/>
            </w:tcMar>
          </w:tcPr>
          <w:p>
            <w:pPr>
              <w:jc w:val="left"/>
            </w:pPr>
            <w:r>
              <w:rPr>
                <w:b w:val="false"/>
                <w:bCs w:val="false"/>
              </w:rPr>
              <w:t xml:space="preserve">759 234</w:t>
            </w:r>
          </w:p>
        </w:tc>
        <w:tc>
          <w:tcPr>
            <w:tcW w:type="dxa" w:w="2400"/>
            <w:tcMar>
              <w:top w:type="dxa" w:w="80"/>
              <w:left w:type="dxa" w:w="100"/>
              <w:bottom w:type="dxa" w:w="80"/>
              <w:right w:type="dxa" w:w="100"/>
            </w:tcMar>
          </w:tcPr>
          <w:p>
            <w:pPr>
              <w:jc w:val="left"/>
            </w:pPr>
            <w:r>
              <w:rPr>
                <w:b w:val="false"/>
                <w:bCs w:val="false"/>
              </w:rPr>
              <w:t xml:space="preserve">217 231</w:t>
            </w:r>
          </w:p>
        </w:tc>
        <w:tc>
          <w:tcPr>
            <w:tcW w:type="dxa" w:w="1400"/>
            <w:tcMar>
              <w:top w:type="dxa" w:w="80"/>
              <w:left w:type="dxa" w:w="100"/>
              <w:bottom w:type="dxa" w:w="80"/>
              <w:right w:type="dxa" w:w="100"/>
            </w:tcMar>
          </w:tcPr>
          <w:p>
            <w:pPr>
              <w:jc w:val="left"/>
            </w:pPr>
            <w:r>
              <w:rPr>
                <w:b w:val="false"/>
                <w:bCs w:val="false"/>
              </w:rPr>
              <w:t xml:space="preserve">28,6 %</w:t>
            </w:r>
          </w:p>
        </w:tc>
        <w:tc>
          <w:tcPr>
            <w:tcW w:type="dxa" w:w="1800"/>
            <w:tcMar>
              <w:top w:type="dxa" w:w="80"/>
              <w:left w:type="dxa" w:w="100"/>
              <w:bottom w:type="dxa" w:w="80"/>
              <w:right w:type="dxa" w:w="100"/>
            </w:tcMar>
          </w:tcPr>
          <w:p>
            <w:pPr>
              <w:jc w:val="left"/>
            </w:pPr>
            <w:r>
              <w:rPr>
                <w:b w:val="false"/>
                <w:bCs w:val="false"/>
              </w:rPr>
              <w:t xml:space="preserve">4 200</w:t>
            </w:r>
          </w:p>
        </w:tc>
      </w:tr>
    </w:tbl>
    <w:p>
      <w:pPr>
        <w:spacing w:after="140"/>
      </w:pPr>
      <w:r>
        <w:t xml:space="preserve"/>
      </w:r>
    </w:p>
    <w:p>
      <w:pPr>
        <w:spacing w:after="140"/>
      </w:pPr>
      <w:r>
        <w:t xml:space="preserve">Sur 5 ans, les recettes totales atteignent 2 544 077 $ et l'excédent cumulé 730 554 $ (marge globale 28,7 %). La croissance est régulière (~25-30 %/an) et tirée par le volume de consultations plutôt que par le prix moyen, ce qui est un signal de solidité plutôt que de fragilité tarifaire.</w:t>
      </w:r>
    </w:p>
    <w:p>
      <w:pPr>
        <w:spacing w:after="140"/>
      </w:pPr>
      <w:r>
        <w:t xml:space="preserve">Le taux de recouvrement des paiements est de 92,4 % (2 351 087 $ encaissés sur 2 544 077 $ facturés). 931 paiements sont au statut "Annulé" (6,2 % du volume) : ce taux mérite une investigation causale (erreurs de saisie, désistements patients, fraude) car il représente un manque à gagner potentiel non négligeable.</w:t>
      </w:r>
    </w:p>
    <w:p>
      <w:pPr>
        <w:pStyle w:val="Heading2"/>
        <w:spacing w:after="120" w:before="260"/>
      </w:pPr>
      <w:r>
        <w:t xml:space="preserve">Recommandation</w:t>
      </w:r>
    </w:p>
    <w:p>
      <w:pPr>
        <w:pStyle w:val="ListParagraph"/>
        <w:numPr>
          <w:ilvl w:val="0"/>
          <w:numId w:val="1"/>
        </w:numPr>
        <w:spacing w:after="80"/>
      </w:pPr>
      <w:r>
        <w:t xml:space="preserve">Maintenir la trajectoire de croissance actuelle et documenter les causes des paiements annulés structure par structure avant le prochain comité de pilotage financier.</w:t>
      </w:r>
    </w:p>
    <w:p>
      <w:r>
        <w:br w:type="page"/>
      </w:r>
    </w:p>
    <w:p>
      <w:pPr>
        <w:pStyle w:val="Heading1"/>
        <w:spacing w:after="160" w:before="360"/>
      </w:pPr>
      <w:r>
        <w:t xml:space="preserve">2. Activité Clinique &amp; Patients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tblGrid>
      <w:tr>
        <w:trPr>
          <w:tblHeader/>
        </w:trPr>
        <w:tc>
          <w:tcPr>
            <w:tcW w:type="dxa" w:w="3200"/>
            <w:shd w:fill="F0F9FF" w:val="clear"/>
            <w:tcMar>
              <w:top w:type="dxa" w:w="80"/>
              <w:left w:type="dxa" w:w="100"/>
              <w:bottom w:type="dxa" w:w="80"/>
              <w:right w:type="dxa" w:w="100"/>
            </w:tcMar>
          </w:tcPr>
          <w:p>
            <w:pPr>
              <w:jc w:val="left"/>
            </w:pPr>
            <w:r>
              <w:rPr>
                <w:b/>
                <w:bCs/>
                <w:color w:val="0F172A"/>
              </w:rPr>
              <w:t xml:space="preserve">Segment patient</w:t>
            </w:r>
          </w:p>
        </w:tc>
        <w:tc>
          <w:tcPr>
            <w:tcW w:type="dxa" w:w="2200"/>
            <w:shd w:fill="F0F9FF" w:val="clear"/>
            <w:tcMar>
              <w:top w:type="dxa" w:w="80"/>
              <w:left w:type="dxa" w:w="100"/>
              <w:bottom w:type="dxa" w:w="80"/>
              <w:right w:type="dxa" w:w="100"/>
            </w:tcMar>
          </w:tcPr>
          <w:p>
            <w:pPr>
              <w:jc w:val="left"/>
            </w:pPr>
            <w:r>
              <w:rPr>
                <w:b/>
                <w:bCs/>
                <w:color w:val="0F172A"/>
              </w:rPr>
              <w:t xml:space="preserve">Effectif</w:t>
            </w:r>
          </w:p>
        </w:tc>
        <w:tc>
          <w:tcPr>
            <w:tcW w:type="dxa" w:w="2200"/>
            <w:shd w:fill="F0F9FF" w:val="clear"/>
            <w:tcMar>
              <w:top w:type="dxa" w:w="80"/>
              <w:left w:type="dxa" w:w="100"/>
              <w:bottom w:type="dxa" w:w="80"/>
              <w:right w:type="dxa" w:w="100"/>
            </w:tcMar>
          </w:tcPr>
          <w:p>
            <w:pPr>
              <w:jc w:val="left"/>
            </w:pPr>
            <w:r>
              <w:rPr>
                <w:b/>
                <w:bCs/>
                <w:color w:val="0F172A"/>
              </w:rPr>
              <w:t xml:space="preserve">Part</w:t>
            </w:r>
          </w:p>
        </w:tc>
      </w:tr>
      <w:tr>
        <w:tc>
          <w:tcPr>
            <w:tcW w:type="dxa" w:w="3200"/>
            <w:tcMar>
              <w:top w:type="dxa" w:w="80"/>
              <w:left w:type="dxa" w:w="100"/>
              <w:bottom w:type="dxa" w:w="80"/>
              <w:right w:type="dxa" w:w="100"/>
            </w:tcMar>
          </w:tcPr>
          <w:p>
            <w:pPr>
              <w:jc w:val="left"/>
            </w:pPr>
            <w:r>
              <w:rPr>
                <w:b w:val="false"/>
                <w:bCs w:val="false"/>
              </w:rPr>
              <w:t xml:space="preserve">Actifs</w:t>
            </w:r>
          </w:p>
        </w:tc>
        <w:tc>
          <w:tcPr>
            <w:tcW w:type="dxa" w:w="2200"/>
            <w:tcMar>
              <w:top w:type="dxa" w:w="80"/>
              <w:left w:type="dxa" w:w="100"/>
              <w:bottom w:type="dxa" w:w="80"/>
              <w:right w:type="dxa" w:w="100"/>
            </w:tcMar>
          </w:tcPr>
          <w:p>
            <w:pPr>
              <w:jc w:val="left"/>
            </w:pPr>
            <w:r>
              <w:rPr>
                <w:b w:val="false"/>
                <w:bCs w:val="false"/>
              </w:rPr>
              <w:t xml:space="preserve">1 112</w:t>
            </w:r>
          </w:p>
        </w:tc>
        <w:tc>
          <w:tcPr>
            <w:tcW w:type="dxa" w:w="2200"/>
            <w:tcMar>
              <w:top w:type="dxa" w:w="80"/>
              <w:left w:type="dxa" w:w="100"/>
              <w:bottom w:type="dxa" w:w="80"/>
              <w:right w:type="dxa" w:w="100"/>
            </w:tcMar>
          </w:tcPr>
          <w:p>
            <w:pPr>
              <w:jc w:val="left"/>
            </w:pPr>
            <w:r>
              <w:rPr>
                <w:b w:val="false"/>
                <w:bCs w:val="false"/>
              </w:rPr>
              <w:t xml:space="preserve">55,6 %</w:t>
            </w:r>
          </w:p>
        </w:tc>
      </w:tr>
      <w:tr>
        <w:tc>
          <w:tcPr>
            <w:tcW w:type="dxa" w:w="3200"/>
            <w:tcMar>
              <w:top w:type="dxa" w:w="80"/>
              <w:left w:type="dxa" w:w="100"/>
              <w:bottom w:type="dxa" w:w="80"/>
              <w:right w:type="dxa" w:w="100"/>
            </w:tcMar>
          </w:tcPr>
          <w:p>
            <w:pPr>
              <w:jc w:val="left"/>
            </w:pPr>
            <w:r>
              <w:rPr>
                <w:b w:val="false"/>
                <w:bCs w:val="false"/>
              </w:rPr>
              <w:t xml:space="preserve">Inactifs</w:t>
            </w:r>
          </w:p>
        </w:tc>
        <w:tc>
          <w:tcPr>
            <w:tcW w:type="dxa" w:w="2200"/>
            <w:tcMar>
              <w:top w:type="dxa" w:w="80"/>
              <w:left w:type="dxa" w:w="100"/>
              <w:bottom w:type="dxa" w:w="80"/>
              <w:right w:type="dxa" w:w="100"/>
            </w:tcMar>
          </w:tcPr>
          <w:p>
            <w:pPr>
              <w:jc w:val="left"/>
            </w:pPr>
            <w:r>
              <w:rPr>
                <w:b w:val="false"/>
                <w:bCs w:val="false"/>
              </w:rPr>
              <w:t xml:space="preserve">304</w:t>
            </w:r>
          </w:p>
        </w:tc>
        <w:tc>
          <w:tcPr>
            <w:tcW w:type="dxa" w:w="2200"/>
            <w:tcMar>
              <w:top w:type="dxa" w:w="80"/>
              <w:left w:type="dxa" w:w="100"/>
              <w:bottom w:type="dxa" w:w="80"/>
              <w:right w:type="dxa" w:w="100"/>
            </w:tcMar>
          </w:tcPr>
          <w:p>
            <w:pPr>
              <w:jc w:val="left"/>
            </w:pPr>
            <w:r>
              <w:rPr>
                <w:b w:val="false"/>
                <w:bCs w:val="false"/>
              </w:rPr>
              <w:t xml:space="preserve">15,2 %</w:t>
            </w:r>
          </w:p>
        </w:tc>
      </w:tr>
      <w:tr>
        <w:tc>
          <w:tcPr>
            <w:tcW w:type="dxa" w:w="3200"/>
            <w:tcMar>
              <w:top w:type="dxa" w:w="80"/>
              <w:left w:type="dxa" w:w="100"/>
              <w:bottom w:type="dxa" w:w="80"/>
              <w:right w:type="dxa" w:w="100"/>
            </w:tcMar>
          </w:tcPr>
          <w:p>
            <w:pPr>
              <w:jc w:val="left"/>
            </w:pPr>
            <w:r>
              <w:rPr>
                <w:b w:val="false"/>
                <w:bCs w:val="false"/>
              </w:rPr>
              <w:t xml:space="preserve">Jamais consultés</w:t>
            </w:r>
          </w:p>
        </w:tc>
        <w:tc>
          <w:tcPr>
            <w:tcW w:type="dxa" w:w="2200"/>
            <w:tcMar>
              <w:top w:type="dxa" w:w="80"/>
              <w:left w:type="dxa" w:w="100"/>
              <w:bottom w:type="dxa" w:w="80"/>
              <w:right w:type="dxa" w:w="100"/>
            </w:tcMar>
          </w:tcPr>
          <w:p>
            <w:pPr>
              <w:jc w:val="left"/>
            </w:pPr>
            <w:r>
              <w:rPr>
                <w:b w:val="false"/>
                <w:bCs w:val="false"/>
              </w:rPr>
              <w:t xml:space="preserve">257</w:t>
            </w:r>
          </w:p>
        </w:tc>
        <w:tc>
          <w:tcPr>
            <w:tcW w:type="dxa" w:w="2200"/>
            <w:tcMar>
              <w:top w:type="dxa" w:w="80"/>
              <w:left w:type="dxa" w:w="100"/>
              <w:bottom w:type="dxa" w:w="80"/>
              <w:right w:type="dxa" w:w="100"/>
            </w:tcMar>
          </w:tcPr>
          <w:p>
            <w:pPr>
              <w:jc w:val="left"/>
            </w:pPr>
            <w:r>
              <w:rPr>
                <w:b w:val="false"/>
                <w:bCs w:val="false"/>
              </w:rPr>
              <w:t xml:space="preserve">12,9 %</w:t>
            </w:r>
          </w:p>
        </w:tc>
      </w:tr>
      <w:tr>
        <w:tc>
          <w:tcPr>
            <w:tcW w:type="dxa" w:w="3200"/>
            <w:tcMar>
              <w:top w:type="dxa" w:w="80"/>
              <w:left w:type="dxa" w:w="100"/>
              <w:bottom w:type="dxa" w:w="80"/>
              <w:right w:type="dxa" w:w="100"/>
            </w:tcMar>
          </w:tcPr>
          <w:p>
            <w:pPr>
              <w:jc w:val="left"/>
            </w:pPr>
            <w:r>
              <w:rPr>
                <w:b w:val="false"/>
                <w:bCs w:val="false"/>
              </w:rPr>
              <w:t xml:space="preserve">Perdus de vue</w:t>
            </w:r>
          </w:p>
        </w:tc>
        <w:tc>
          <w:tcPr>
            <w:tcW w:type="dxa" w:w="2200"/>
            <w:tcMar>
              <w:top w:type="dxa" w:w="80"/>
              <w:left w:type="dxa" w:w="100"/>
              <w:bottom w:type="dxa" w:w="80"/>
              <w:right w:type="dxa" w:w="100"/>
            </w:tcMar>
          </w:tcPr>
          <w:p>
            <w:pPr>
              <w:jc w:val="left"/>
            </w:pPr>
            <w:r>
              <w:rPr>
                <w:b w:val="false"/>
                <w:bCs w:val="false"/>
              </w:rPr>
              <w:t xml:space="preserve">327</w:t>
            </w:r>
          </w:p>
        </w:tc>
        <w:tc>
          <w:tcPr>
            <w:tcW w:type="dxa" w:w="2200"/>
            <w:tcMar>
              <w:top w:type="dxa" w:w="80"/>
              <w:left w:type="dxa" w:w="100"/>
              <w:bottom w:type="dxa" w:w="80"/>
              <w:right w:type="dxa" w:w="100"/>
            </w:tcMar>
          </w:tcPr>
          <w:p>
            <w:pPr>
              <w:jc w:val="left"/>
            </w:pPr>
            <w:r>
              <w:rPr>
                <w:b w:val="false"/>
                <w:bCs w:val="false"/>
              </w:rPr>
              <w:t xml:space="preserve">16,4 %</w:t>
            </w:r>
          </w:p>
        </w:tc>
      </w:tr>
    </w:tbl>
    <w:p>
      <w:pPr>
        <w:spacing w:after="140"/>
      </w:pPr>
      <w:r>
        <w:t xml:space="preserve"/>
      </w:r>
    </w:p>
    <w:p>
      <w:pPr>
        <w:spacing w:after="140"/>
      </w:pPr>
      <w:r>
        <w:t xml:space="preserve">Le réseau a traité 15 000 consultations sur la période, avec une base de 2 000 patients dont 17,1 % sont chroniques (suivi long terme, 341 patients). Le segment "Jamais consultés" + "Perdus de vue" représente 584 patients (29,3 % de la base) : c'est le plus grand levier de croissance organique à court terme, moins coûteux que l'acquisition de nouveaux patients.</w:t>
      </w:r>
    </w:p>
    <w:p>
      <w:pPr>
        <w:pStyle w:val="Heading2"/>
        <w:spacing w:after="120" w:before="260"/>
      </w:pPr>
      <w:r>
        <w:t xml:space="preserve">Recommandation</w:t>
      </w:r>
    </w:p>
    <w:p>
      <w:pPr>
        <w:pStyle w:val="ListParagraph"/>
        <w:numPr>
          <w:ilvl w:val="0"/>
          <w:numId w:val="1"/>
        </w:numPr>
        <w:spacing w:after="80"/>
      </w:pPr>
      <w:r>
        <w:t xml:space="preserve">Lancer une campagne de réactivation ciblée sur les 584 patients inactifs/perdus de vue, en priorisant les canaux ayant historiquement le meilleur ROI (voir section Programmes &amp; Campagnes).</w:t>
      </w:r>
    </w:p>
    <w:p>
      <w:pPr>
        <w:pStyle w:val="ListParagraph"/>
        <w:numPr>
          <w:ilvl w:val="0"/>
          <w:numId w:val="1"/>
        </w:numPr>
        <w:spacing w:after="80"/>
      </w:pPr>
      <w:r>
        <w:t xml:space="preserve">Suivre la charge par soignant (nouvelle relation Consultations↔Personnel_Médical ajoutée au modèle) pour identifier les structures en tension de personnel.</w:t>
      </w:r>
    </w:p>
    <w:p>
      <w:r>
        <w:br w:type="page"/>
      </w:r>
    </w:p>
    <w:p>
      <w:pPr>
        <w:pStyle w:val="Heading1"/>
        <w:spacing w:after="160" w:before="360"/>
      </w:pPr>
      <w:r>
        <w:t xml:space="preserve">3. Pharmacie &amp; Chaîne d'Approvisionnement</w:t>
      </w:r>
    </w:p>
    <w:p>
      <w:pPr>
        <w:spacing w:after="120"/>
      </w:pPr>
      <w:r>
        <w:rPr>
          <w:b/>
          <w:bCs/>
          <w:color w:val="DC2626"/>
        </w:rPr>
        <w:t xml:space="preserve">⚠ </w:t>
      </w:r>
      <w:r>
        <w:rPr>
          <w:b/>
          <w:bCs/>
          <w:color w:val="DC2626"/>
        </w:rPr>
        <w:t xml:space="preserve">342 des 700 références de médicaments (48,9 %) ont une date de péremption déjà dépassée dans le système à la date de cette analyse.</w:t>
      </w:r>
    </w:p>
    <w:p>
      <w:pPr>
        <w:spacing w:after="140"/>
      </w:pPr>
      <w:r>
        <w:t xml:space="preserve">Que ces produits soient physiquement encore en rayon ou que les dates de péremption n'aient simplement pas été mises à jour, un audit physique immédiat des 342 références concernées est requis — c'est un risque réglementaire et de sécurité patient direct. 33 références supplémentaires arrivent à échéance sous 90 jours et doivent être écoulées ou retirées en priorité.</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tblGrid>
      <w:tr>
        <w:trPr>
          <w:tblHeader/>
        </w:trPr>
        <w:tc>
          <w:tcPr>
            <w:tcW w:type="dxa" w:w="4400"/>
            <w:shd w:fill="F0F9FF" w:val="clear"/>
            <w:tcMar>
              <w:top w:type="dxa" w:w="80"/>
              <w:left w:type="dxa" w:w="100"/>
              <w:bottom w:type="dxa" w:w="80"/>
              <w:right w:type="dxa" w:w="100"/>
            </w:tcMar>
          </w:tcPr>
          <w:p>
            <w:pPr>
              <w:jc w:val="left"/>
            </w:pPr>
            <w:r>
              <w:rPr>
                <w:b/>
                <w:bCs/>
                <w:color w:val="0F172A"/>
              </w:rPr>
              <w:t xml:space="preserve">Indicateur stock</w:t>
            </w:r>
          </w:p>
        </w:tc>
        <w:tc>
          <w:tcPr>
            <w:tcW w:type="dxa" w:w="3200"/>
            <w:shd w:fill="F0F9FF" w:val="clear"/>
            <w:tcMar>
              <w:top w:type="dxa" w:w="80"/>
              <w:left w:type="dxa" w:w="100"/>
              <w:bottom w:type="dxa" w:w="80"/>
              <w:right w:type="dxa" w:w="100"/>
            </w:tcMar>
          </w:tcPr>
          <w:p>
            <w:pPr>
              <w:jc w:val="left"/>
            </w:pPr>
            <w:r>
              <w:rPr>
                <w:b/>
                <w:bCs/>
                <w:color w:val="0F172A"/>
              </w:rPr>
              <w:t xml:space="preserve">Valeur</w:t>
            </w:r>
          </w:p>
        </w:tc>
      </w:tr>
      <w:tr>
        <w:tc>
          <w:tcPr>
            <w:tcW w:type="dxa" w:w="4400"/>
            <w:tcMar>
              <w:top w:type="dxa" w:w="80"/>
              <w:left w:type="dxa" w:w="100"/>
              <w:bottom w:type="dxa" w:w="80"/>
              <w:right w:type="dxa" w:w="100"/>
            </w:tcMar>
          </w:tcPr>
          <w:p>
            <w:pPr>
              <w:jc w:val="left"/>
            </w:pPr>
            <w:r>
              <w:rPr>
                <w:b w:val="false"/>
                <w:bCs w:val="false"/>
              </w:rPr>
              <w:t xml:space="preserve">Valeur totale du stock</w:t>
            </w:r>
          </w:p>
        </w:tc>
        <w:tc>
          <w:tcPr>
            <w:tcW w:type="dxa" w:w="3200"/>
            <w:tcMar>
              <w:top w:type="dxa" w:w="80"/>
              <w:left w:type="dxa" w:w="100"/>
              <w:bottom w:type="dxa" w:w="80"/>
              <w:right w:type="dxa" w:w="100"/>
            </w:tcMar>
          </w:tcPr>
          <w:p>
            <w:pPr>
              <w:jc w:val="left"/>
            </w:pPr>
            <w:r>
              <w:rPr>
                <w:b w:val="false"/>
                <w:bCs w:val="false"/>
              </w:rPr>
              <w:t xml:space="preserve">8 020 239 $</w:t>
            </w:r>
          </w:p>
        </w:tc>
      </w:tr>
      <w:tr>
        <w:tc>
          <w:tcPr>
            <w:tcW w:type="dxa" w:w="4400"/>
            <w:tcMar>
              <w:top w:type="dxa" w:w="80"/>
              <w:left w:type="dxa" w:w="100"/>
              <w:bottom w:type="dxa" w:w="80"/>
              <w:right w:type="dxa" w:w="100"/>
            </w:tcMar>
          </w:tcPr>
          <w:p>
            <w:pPr>
              <w:jc w:val="left"/>
            </w:pPr>
            <w:r>
              <w:rPr>
                <w:b w:val="false"/>
                <w:bCs w:val="false"/>
              </w:rPr>
              <w:t xml:space="preserve">Lignes en rupture</w:t>
            </w:r>
          </w:p>
        </w:tc>
        <w:tc>
          <w:tcPr>
            <w:tcW w:type="dxa" w:w="3200"/>
            <w:tcMar>
              <w:top w:type="dxa" w:w="80"/>
              <w:left w:type="dxa" w:w="100"/>
              <w:bottom w:type="dxa" w:w="80"/>
              <w:right w:type="dxa" w:w="100"/>
            </w:tcMar>
          </w:tcPr>
          <w:p>
            <w:pPr>
              <w:jc w:val="left"/>
            </w:pPr>
            <w:r>
              <w:rPr>
                <w:b w:val="false"/>
                <w:bCs w:val="false"/>
              </w:rPr>
              <w:t xml:space="preserve">87 (57 médicaments distincts)</w:t>
            </w:r>
          </w:p>
        </w:tc>
      </w:tr>
      <w:tr>
        <w:tc>
          <w:tcPr>
            <w:tcW w:type="dxa" w:w="4400"/>
            <w:tcMar>
              <w:top w:type="dxa" w:w="80"/>
              <w:left w:type="dxa" w:w="100"/>
              <w:bottom w:type="dxa" w:w="80"/>
              <w:right w:type="dxa" w:w="100"/>
            </w:tcMar>
          </w:tcPr>
          <w:p>
            <w:pPr>
              <w:jc w:val="left"/>
            </w:pPr>
            <w:r>
              <w:rPr>
                <w:b w:val="false"/>
                <w:bCs w:val="false"/>
              </w:rPr>
              <w:t xml:space="preserve">Lignes en stock faible</w:t>
            </w:r>
          </w:p>
        </w:tc>
        <w:tc>
          <w:tcPr>
            <w:tcW w:type="dxa" w:w="3200"/>
            <w:tcMar>
              <w:top w:type="dxa" w:w="80"/>
              <w:left w:type="dxa" w:w="100"/>
              <w:bottom w:type="dxa" w:w="80"/>
              <w:right w:type="dxa" w:w="100"/>
            </w:tcMar>
          </w:tcPr>
          <w:p>
            <w:pPr>
              <w:jc w:val="left"/>
            </w:pPr>
            <w:r>
              <w:rPr>
                <w:b w:val="false"/>
                <w:bCs w:val="false"/>
              </w:rPr>
              <w:t xml:space="preserve">129</w:t>
            </w:r>
          </w:p>
        </w:tc>
      </w:tr>
      <w:tr>
        <w:tc>
          <w:tcPr>
            <w:tcW w:type="dxa" w:w="4400"/>
            <w:tcMar>
              <w:top w:type="dxa" w:w="80"/>
              <w:left w:type="dxa" w:w="100"/>
              <w:bottom w:type="dxa" w:w="80"/>
              <w:right w:type="dxa" w:w="100"/>
            </w:tcMar>
          </w:tcPr>
          <w:p>
            <w:pPr>
              <w:jc w:val="left"/>
            </w:pPr>
            <w:r>
              <w:rPr>
                <w:b w:val="false"/>
                <w:bCs w:val="false"/>
              </w:rPr>
              <w:t xml:space="preserve">Lignes en surstock</w:t>
            </w:r>
          </w:p>
        </w:tc>
        <w:tc>
          <w:tcPr>
            <w:tcW w:type="dxa" w:w="3200"/>
            <w:tcMar>
              <w:top w:type="dxa" w:w="80"/>
              <w:left w:type="dxa" w:w="100"/>
              <w:bottom w:type="dxa" w:w="80"/>
              <w:right w:type="dxa" w:w="100"/>
            </w:tcMar>
          </w:tcPr>
          <w:p>
            <w:pPr>
              <w:jc w:val="left"/>
            </w:pPr>
            <w:r>
              <w:rPr>
                <w:b w:val="false"/>
                <w:bCs w:val="false"/>
              </w:rPr>
              <w:t xml:space="preserve">1 392</w:t>
            </w:r>
          </w:p>
        </w:tc>
      </w:tr>
    </w:tbl>
    <w:p>
      <w:pPr>
        <w:spacing w:after="140"/>
      </w:pPr>
      <w:r>
        <w:t xml:space="preserve"/>
      </w:r>
    </w:p>
    <w:p>
      <w:pPr>
        <w:spacing w:after="140"/>
      </w:pPr>
      <w:r>
        <w:t xml:space="preserve">Le taux de rupture (1,45 % des lignes de stock) est en soi maîtrisé, mais 57 médicaments distincts en rupture peuvent recouper des molécules essentielles — le tableau de bord (page Pharmacie &amp; Stock) liste ces références nommément par structure pour action immédiate. À l'inverse, 1 392 lignes en surstock (23 % du total) immobilisent du capital et augmentent le risque de péremption future.</w:t>
      </w:r>
    </w:p>
    <w:p>
      <w:pPr>
        <w:pStyle w:val="Heading2"/>
        <w:spacing w:after="120" w:before="260"/>
      </w:pPr>
      <w:r>
        <w:t xml:space="preserve">Retours médicaments</w:t>
      </w:r>
    </w:p>
    <w:p>
      <w:pPr>
        <w:spacing w:after="140"/>
      </w:pPr>
      <w:r>
        <w:t xml:space="preserve">Le motif de retour le plus fréquent est "Erreur de Dosage Prescrit" (881 cas, 44 % des retours), loin devant "Médicament Périmé" (433, 22 %) et "Traitement Interrompu par le Patient" (300, 15 %). C'est un signal de sécurité patient et de qualité de prescription, pas seulement un enjeu logistique.</w:t>
      </w:r>
    </w:p>
    <w:p>
      <w:pPr>
        <w:pStyle w:val="Heading2"/>
        <w:spacing w:after="120" w:before="260"/>
      </w:pPr>
      <w:r>
        <w:t xml:space="preserve">Recommandations</w:t>
      </w:r>
    </w:p>
    <w:p>
      <w:pPr>
        <w:pStyle w:val="ListParagraph"/>
        <w:numPr>
          <w:ilvl w:val="0"/>
          <w:numId w:val="1"/>
        </w:numPr>
        <w:spacing w:after="80"/>
      </w:pPr>
      <w:r>
        <w:rPr>
          <w:color w:val="DC2626"/>
        </w:rPr>
        <w:t xml:space="preserve">Auditer physiquement et retirer sans délai les 342 références en péremption dépassée ; corriger le processus de mise à jour des dates de péremption dans le système si les produits ne sont plus en rayon.</w:t>
      </w:r>
    </w:p>
    <w:p>
      <w:pPr>
        <w:pStyle w:val="ListParagraph"/>
        <w:numPr>
          <w:ilvl w:val="0"/>
          <w:numId w:val="1"/>
        </w:numPr>
        <w:spacing w:after="80"/>
      </w:pPr>
      <w:r>
        <w:t xml:space="preserve">Mettre en place une double vérification pharmacien/prescripteur sur les postes à fort volume de "Erreur de Dosage Prescrit".</w:t>
      </w:r>
    </w:p>
    <w:p>
      <w:pPr>
        <w:pStyle w:val="ListParagraph"/>
        <w:numPr>
          <w:ilvl w:val="0"/>
          <w:numId w:val="1"/>
        </w:numPr>
        <w:spacing w:after="80"/>
      </w:pPr>
      <w:r>
        <w:t xml:space="preserve">Réapprovisionner en urgence les 57 médicaments en rupture identifiés dans le tableau de bord, structure par structure.</w:t>
      </w:r>
    </w:p>
    <w:p>
      <w:pPr>
        <w:pStyle w:val="ListParagraph"/>
        <w:numPr>
          <w:ilvl w:val="0"/>
          <w:numId w:val="1"/>
        </w:numPr>
        <w:spacing w:after="80"/>
      </w:pPr>
      <w:r>
        <w:t xml:space="preserve">Revoir les règles de réassort pour réduire le surstock (23 % des lignes), source d'immobilisation financière évitable.</w:t>
      </w:r>
    </w:p>
    <w:p>
      <w:r>
        <w:br w:type="page"/>
      </w:r>
    </w:p>
    <w:p>
      <w:pPr>
        <w:pStyle w:val="Heading1"/>
        <w:spacing w:after="160" w:before="360"/>
      </w:pPr>
      <w:r>
        <w:t xml:space="preserve">4. Achats &amp; Fournisseurs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tblGrid>
      <w:tr>
        <w:trPr>
          <w:tblHeader/>
        </w:trPr>
        <w:tc>
          <w:tcPr>
            <w:tcW w:type="dxa" w:w="4200"/>
            <w:shd w:fill="F0F9FF" w:val="clear"/>
            <w:tcMar>
              <w:top w:type="dxa" w:w="80"/>
              <w:left w:type="dxa" w:w="100"/>
              <w:bottom w:type="dxa" w:w="80"/>
              <w:right w:type="dxa" w:w="100"/>
            </w:tcMar>
          </w:tcPr>
          <w:p>
            <w:pPr>
              <w:jc w:val="left"/>
            </w:pPr>
            <w:r>
              <w:rPr>
                <w:b/>
                <w:bCs/>
                <w:color w:val="0F172A"/>
              </w:rPr>
              <w:t xml:space="preserve">Indicateur</w:t>
            </w:r>
          </w:p>
        </w:tc>
        <w:tc>
          <w:tcPr>
            <w:tcW w:type="dxa" w:w="3400"/>
            <w:shd w:fill="F0F9FF" w:val="clear"/>
            <w:tcMar>
              <w:top w:type="dxa" w:w="80"/>
              <w:left w:type="dxa" w:w="100"/>
              <w:bottom w:type="dxa" w:w="80"/>
              <w:right w:type="dxa" w:w="100"/>
            </w:tcMar>
          </w:tcPr>
          <w:p>
            <w:pPr>
              <w:jc w:val="left"/>
            </w:pPr>
            <w:r>
              <w:rPr>
                <w:b/>
                <w:bCs/>
                <w:color w:val="0F172A"/>
              </w:rPr>
              <w:t xml:space="preserve">Valeur</w:t>
            </w:r>
          </w:p>
        </w:tc>
      </w:tr>
      <w:tr>
        <w:tc>
          <w:tcPr>
            <w:tcW w:type="dxa" w:w="4200"/>
            <w:tcMar>
              <w:top w:type="dxa" w:w="80"/>
              <w:left w:type="dxa" w:w="100"/>
              <w:bottom w:type="dxa" w:w="80"/>
              <w:right w:type="dxa" w:w="100"/>
            </w:tcMar>
          </w:tcPr>
          <w:p>
            <w:pPr>
              <w:jc w:val="left"/>
            </w:pPr>
            <w:r>
              <w:rPr>
                <w:b w:val="false"/>
                <w:bCs w:val="false"/>
              </w:rPr>
              <w:t xml:space="preserve">Montant total des achats (2021-2025)</w:t>
            </w:r>
          </w:p>
        </w:tc>
        <w:tc>
          <w:tcPr>
            <w:tcW w:type="dxa" w:w="3400"/>
            <w:tcMar>
              <w:top w:type="dxa" w:w="80"/>
              <w:left w:type="dxa" w:w="100"/>
              <w:bottom w:type="dxa" w:w="80"/>
              <w:right w:type="dxa" w:w="100"/>
            </w:tcMar>
          </w:tcPr>
          <w:p>
            <w:pPr>
              <w:jc w:val="left"/>
            </w:pPr>
            <w:r>
              <w:rPr>
                <w:b w:val="false"/>
                <w:bCs w:val="false"/>
              </w:rPr>
              <w:t xml:space="preserve">4 922 934 $</w:t>
            </w:r>
          </w:p>
        </w:tc>
      </w:tr>
      <w:tr>
        <w:tc>
          <w:tcPr>
            <w:tcW w:type="dxa" w:w="4200"/>
            <w:tcMar>
              <w:top w:type="dxa" w:w="80"/>
              <w:left w:type="dxa" w:w="100"/>
              <w:bottom w:type="dxa" w:w="80"/>
              <w:right w:type="dxa" w:w="100"/>
            </w:tcMar>
          </w:tcPr>
          <w:p>
            <w:pPr>
              <w:jc w:val="left"/>
            </w:pPr>
            <w:r>
              <w:rPr>
                <w:b w:val="false"/>
                <w:bCs w:val="false"/>
              </w:rPr>
              <w:t xml:space="preserve">Taux de livraison en retard</w:t>
            </w:r>
          </w:p>
        </w:tc>
        <w:tc>
          <w:tcPr>
            <w:tcW w:type="dxa" w:w="3400"/>
            <w:tcMar>
              <w:top w:type="dxa" w:w="80"/>
              <w:left w:type="dxa" w:w="100"/>
              <w:bottom w:type="dxa" w:w="80"/>
              <w:right w:type="dxa" w:w="100"/>
            </w:tcMar>
          </w:tcPr>
          <w:p>
            <w:pPr>
              <w:jc w:val="left"/>
            </w:pPr>
            <w:r>
              <w:rPr>
                <w:b w:val="false"/>
                <w:bCs w:val="false"/>
              </w:rPr>
              <w:t xml:space="preserve">13,2 % (329 commandes)</w:t>
            </w:r>
          </w:p>
        </w:tc>
      </w:tr>
      <w:tr>
        <w:tc>
          <w:tcPr>
            <w:tcW w:type="dxa" w:w="4200"/>
            <w:tcMar>
              <w:top w:type="dxa" w:w="80"/>
              <w:left w:type="dxa" w:w="100"/>
              <w:bottom w:type="dxa" w:w="80"/>
              <w:right w:type="dxa" w:w="100"/>
            </w:tcMar>
          </w:tcPr>
          <w:p>
            <w:pPr>
              <w:jc w:val="left"/>
            </w:pPr>
            <w:r>
              <w:rPr>
                <w:b w:val="false"/>
                <w:bCs w:val="false"/>
              </w:rPr>
              <w:t xml:space="preserve">Retard moyen</w:t>
            </w:r>
          </w:p>
        </w:tc>
        <w:tc>
          <w:tcPr>
            <w:tcW w:type="dxa" w:w="3400"/>
            <w:tcMar>
              <w:top w:type="dxa" w:w="80"/>
              <w:left w:type="dxa" w:w="100"/>
              <w:bottom w:type="dxa" w:w="80"/>
              <w:right w:type="dxa" w:w="100"/>
            </w:tcMar>
          </w:tcPr>
          <w:p>
            <w:pPr>
              <w:jc w:val="left"/>
            </w:pPr>
            <w:r>
              <w:rPr>
                <w:b w:val="false"/>
                <w:bCs w:val="false"/>
              </w:rPr>
              <w:t xml:space="preserve">1,7 jour</w:t>
            </w:r>
          </w:p>
        </w:tc>
      </w:tr>
      <w:tr>
        <w:tc>
          <w:tcPr>
            <w:tcW w:type="dxa" w:w="4200"/>
            <w:tcMar>
              <w:top w:type="dxa" w:w="80"/>
              <w:left w:type="dxa" w:w="100"/>
              <w:bottom w:type="dxa" w:w="80"/>
              <w:right w:type="dxa" w:w="100"/>
            </w:tcMar>
          </w:tcPr>
          <w:p>
            <w:pPr>
              <w:jc w:val="left"/>
            </w:pPr>
            <w:r>
              <w:rPr>
                <w:b w:val="false"/>
                <w:bCs w:val="false"/>
              </w:rPr>
              <w:t xml:space="preserve">Nombre de fournisseurs actifs</w:t>
            </w:r>
          </w:p>
        </w:tc>
        <w:tc>
          <w:tcPr>
            <w:tcW w:type="dxa" w:w="3400"/>
            <w:tcMar>
              <w:top w:type="dxa" w:w="80"/>
              <w:left w:type="dxa" w:w="100"/>
              <w:bottom w:type="dxa" w:w="80"/>
              <w:right w:type="dxa" w:w="100"/>
            </w:tcMar>
          </w:tcPr>
          <w:p>
            <w:pPr>
              <w:jc w:val="left"/>
            </w:pPr>
            <w:r>
              <w:rPr>
                <w:b w:val="false"/>
                <w:bCs w:val="false"/>
              </w:rPr>
              <w:t xml:space="preserve">60</w:t>
            </w:r>
          </w:p>
        </w:tc>
      </w:tr>
      <w:tr>
        <w:tc>
          <w:tcPr>
            <w:tcW w:type="dxa" w:w="4200"/>
            <w:tcMar>
              <w:top w:type="dxa" w:w="80"/>
              <w:left w:type="dxa" w:w="100"/>
              <w:bottom w:type="dxa" w:w="80"/>
              <w:right w:type="dxa" w:w="100"/>
            </w:tcMar>
          </w:tcPr>
          <w:p>
            <w:pPr>
              <w:jc w:val="left"/>
            </w:pPr>
            <w:r>
              <w:rPr>
                <w:b w:val="false"/>
                <w:bCs w:val="false"/>
              </w:rPr>
              <w:t xml:space="preserve">Score de fiabilité moyen</w:t>
            </w:r>
          </w:p>
        </w:tc>
        <w:tc>
          <w:tcPr>
            <w:tcW w:type="dxa" w:w="3400"/>
            <w:tcMar>
              <w:top w:type="dxa" w:w="80"/>
              <w:left w:type="dxa" w:w="100"/>
              <w:bottom w:type="dxa" w:w="80"/>
              <w:right w:type="dxa" w:w="100"/>
            </w:tcMar>
          </w:tcPr>
          <w:p>
            <w:pPr>
              <w:jc w:val="left"/>
            </w:pPr>
            <w:r>
              <w:rPr>
                <w:b w:val="false"/>
                <w:bCs w:val="false"/>
              </w:rPr>
              <w:t xml:space="preserve">90 %</w:t>
            </w:r>
          </w:p>
        </w:tc>
      </w:tr>
      <w:tr>
        <w:tc>
          <w:tcPr>
            <w:tcW w:type="dxa" w:w="4200"/>
            <w:tcMar>
              <w:top w:type="dxa" w:w="80"/>
              <w:left w:type="dxa" w:w="100"/>
              <w:bottom w:type="dxa" w:w="80"/>
              <w:right w:type="dxa" w:w="100"/>
            </w:tcMar>
          </w:tcPr>
          <w:p>
            <w:pPr>
              <w:jc w:val="left"/>
            </w:pPr>
            <w:r>
              <w:rPr>
                <w:b w:val="false"/>
                <w:bCs w:val="false"/>
              </w:rPr>
              <w:t xml:space="preserve">Délai de livraison moyen déclaré</w:t>
            </w:r>
          </w:p>
        </w:tc>
        <w:tc>
          <w:tcPr>
            <w:tcW w:type="dxa" w:w="3400"/>
            <w:tcMar>
              <w:top w:type="dxa" w:w="80"/>
              <w:left w:type="dxa" w:w="100"/>
              <w:bottom w:type="dxa" w:w="80"/>
              <w:right w:type="dxa" w:w="100"/>
            </w:tcMar>
          </w:tcPr>
          <w:p>
            <w:pPr>
              <w:jc w:val="left"/>
            </w:pPr>
            <w:r>
              <w:rPr>
                <w:b w:val="false"/>
                <w:bCs w:val="false"/>
              </w:rPr>
              <w:t xml:space="preserve">35,8 jours</w:t>
            </w:r>
          </w:p>
        </w:tc>
      </w:tr>
    </w:tbl>
    <w:p>
      <w:pPr>
        <w:spacing w:after="140"/>
      </w:pPr>
      <w:r>
        <w:t xml:space="preserve"/>
      </w:r>
    </w:p>
    <w:p>
      <w:pPr>
        <w:spacing w:after="140"/>
      </w:pPr>
      <w:r>
        <w:t xml:space="preserve">Le score de fiabilité déclaré des fournisseurs (90 % en moyenne) contraste avec un taux réel de livraison en retard de 13,2 % — cet écart mérite d'être investigué fournisseur par fournisseur (le tableau de bord permet ce classement). Le top 5 des médicaments achetés en valeur est dominé par une seule famille moléculaire (Diclofénac, sous plusieurs formes galéniques), ce qui représente une concentration d'achat et donc un risque fournisseur/molécule à diversifier.</w:t>
      </w:r>
    </w:p>
    <w:p>
      <w:pPr>
        <w:pStyle w:val="Heading2"/>
        <w:spacing w:after="120" w:before="260"/>
      </w:pPr>
      <w:r>
        <w:t xml:space="preserve">Recommandations</w:t>
      </w:r>
    </w:p>
    <w:p>
      <w:pPr>
        <w:pStyle w:val="ListParagraph"/>
        <w:numPr>
          <w:ilvl w:val="0"/>
          <w:numId w:val="1"/>
        </w:numPr>
        <w:spacing w:after="80"/>
      </w:pPr>
      <w:r>
        <w:t xml:space="preserve">Réévaluer contractuellement les fournisseurs dont le taux de retard réel dépasse significativement leur score de fiabilité déclaré.</w:t>
      </w:r>
    </w:p>
    <w:p>
      <w:pPr>
        <w:pStyle w:val="ListParagraph"/>
        <w:numPr>
          <w:ilvl w:val="0"/>
          <w:numId w:val="1"/>
        </w:numPr>
        <w:spacing w:after="80"/>
      </w:pPr>
      <w:r>
        <w:t xml:space="preserve">Diversifier les sources d'approvisionnement pour réduire la concentration sur la famille Diclofénac.</w:t>
      </w:r>
    </w:p>
    <w:p>
      <w:r>
        <w:br w:type="page"/>
      </w:r>
    </w:p>
    <w:p>
      <w:pPr>
        <w:pStyle w:val="Heading1"/>
        <w:spacing w:after="160" w:before="360"/>
      </w:pPr>
      <w:r>
        <w:t xml:space="preserve">5. Programmes de Gratuité &amp; Campagnes de Sensibilisation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tblGrid>
      <w:tr>
        <w:trPr>
          <w:tblHeader/>
        </w:trPr>
        <w:tc>
          <w:tcPr>
            <w:tcW w:type="dxa" w:w="4200"/>
            <w:shd w:fill="F0F9FF" w:val="clear"/>
            <w:tcMar>
              <w:top w:type="dxa" w:w="80"/>
              <w:left w:type="dxa" w:w="100"/>
              <w:bottom w:type="dxa" w:w="80"/>
              <w:right w:type="dxa" w:w="100"/>
            </w:tcMar>
          </w:tcPr>
          <w:p>
            <w:pPr>
              <w:jc w:val="left"/>
            </w:pPr>
            <w:r>
              <w:rPr>
                <w:b/>
                <w:bCs/>
                <w:color w:val="0F172A"/>
              </w:rPr>
              <w:t xml:space="preserve">Indicateur</w:t>
            </w:r>
          </w:p>
        </w:tc>
        <w:tc>
          <w:tcPr>
            <w:tcW w:type="dxa" w:w="3400"/>
            <w:shd w:fill="F0F9FF" w:val="clear"/>
            <w:tcMar>
              <w:top w:type="dxa" w:w="80"/>
              <w:left w:type="dxa" w:w="100"/>
              <w:bottom w:type="dxa" w:w="80"/>
              <w:right w:type="dxa" w:w="100"/>
            </w:tcMar>
          </w:tcPr>
          <w:p>
            <w:pPr>
              <w:jc w:val="left"/>
            </w:pPr>
            <w:r>
              <w:rPr>
                <w:b/>
                <w:bCs/>
                <w:color w:val="0F172A"/>
              </w:rPr>
              <w:t xml:space="preserve">Valeur</w:t>
            </w:r>
          </w:p>
        </w:tc>
      </w:tr>
      <w:tr>
        <w:tc>
          <w:tcPr>
            <w:tcW w:type="dxa" w:w="4200"/>
            <w:tcMar>
              <w:top w:type="dxa" w:w="80"/>
              <w:left w:type="dxa" w:w="100"/>
              <w:bottom w:type="dxa" w:w="80"/>
              <w:right w:type="dxa" w:w="100"/>
            </w:tcMar>
          </w:tcPr>
          <w:p>
            <w:pPr>
              <w:jc w:val="left"/>
            </w:pPr>
            <w:r>
              <w:rPr>
                <w:b w:val="false"/>
                <w:bCs w:val="false"/>
              </w:rPr>
              <w:t xml:space="preserve">Budget total investi</w:t>
            </w:r>
          </w:p>
        </w:tc>
        <w:tc>
          <w:tcPr>
            <w:tcW w:type="dxa" w:w="3400"/>
            <w:tcMar>
              <w:top w:type="dxa" w:w="80"/>
              <w:left w:type="dxa" w:w="100"/>
              <w:bottom w:type="dxa" w:w="80"/>
              <w:right w:type="dxa" w:w="100"/>
            </w:tcMar>
          </w:tcPr>
          <w:p>
            <w:pPr>
              <w:jc w:val="left"/>
            </w:pPr>
            <w:r>
              <w:rPr>
                <w:b w:val="false"/>
                <w:bCs w:val="false"/>
              </w:rPr>
              <w:t xml:space="preserve">746 510 $</w:t>
            </w:r>
          </w:p>
        </w:tc>
      </w:tr>
      <w:tr>
        <w:tc>
          <w:tcPr>
            <w:tcW w:type="dxa" w:w="4200"/>
            <w:tcMar>
              <w:top w:type="dxa" w:w="80"/>
              <w:left w:type="dxa" w:w="100"/>
              <w:bottom w:type="dxa" w:w="80"/>
              <w:right w:type="dxa" w:w="100"/>
            </w:tcMar>
          </w:tcPr>
          <w:p>
            <w:pPr>
              <w:jc w:val="left"/>
            </w:pPr>
            <w:r>
              <w:rPr>
                <w:b w:val="false"/>
                <w:bCs w:val="false"/>
              </w:rPr>
              <w:t xml:space="preserve">Personnes touchées (cumulé)</w:t>
            </w:r>
          </w:p>
        </w:tc>
        <w:tc>
          <w:tcPr>
            <w:tcW w:type="dxa" w:w="3400"/>
            <w:tcMar>
              <w:top w:type="dxa" w:w="80"/>
              <w:left w:type="dxa" w:w="100"/>
              <w:bottom w:type="dxa" w:w="80"/>
              <w:right w:type="dxa" w:w="100"/>
            </w:tcMar>
          </w:tcPr>
          <w:p>
            <w:pPr>
              <w:jc w:val="left"/>
            </w:pPr>
            <w:r>
              <w:rPr>
                <w:b w:val="false"/>
                <w:bCs w:val="false"/>
              </w:rPr>
              <w:t xml:space="preserve">19 356 627</w:t>
            </w:r>
          </w:p>
        </w:tc>
      </w:tr>
      <w:tr>
        <w:tc>
          <w:tcPr>
            <w:tcW w:type="dxa" w:w="4200"/>
            <w:tcMar>
              <w:top w:type="dxa" w:w="80"/>
              <w:left w:type="dxa" w:w="100"/>
              <w:bottom w:type="dxa" w:w="80"/>
              <w:right w:type="dxa" w:w="100"/>
            </w:tcMar>
          </w:tcPr>
          <w:p>
            <w:pPr>
              <w:jc w:val="left"/>
            </w:pPr>
            <w:r>
              <w:rPr>
                <w:b w:val="false"/>
                <w:bCs w:val="false"/>
              </w:rPr>
              <w:t xml:space="preserve">Recettes générées par les campagnes</w:t>
            </w:r>
          </w:p>
        </w:tc>
        <w:tc>
          <w:tcPr>
            <w:tcW w:type="dxa" w:w="3400"/>
            <w:tcMar>
              <w:top w:type="dxa" w:w="80"/>
              <w:left w:type="dxa" w:w="100"/>
              <w:bottom w:type="dxa" w:w="80"/>
              <w:right w:type="dxa" w:w="100"/>
            </w:tcMar>
          </w:tcPr>
          <w:p>
            <w:pPr>
              <w:jc w:val="left"/>
            </w:pPr>
            <w:r>
              <w:rPr>
                <w:b w:val="false"/>
                <w:bCs w:val="false"/>
              </w:rPr>
              <w:t xml:space="preserve">3 254 203 $</w:t>
            </w:r>
          </w:p>
        </w:tc>
      </w:tr>
      <w:tr>
        <w:tc>
          <w:tcPr>
            <w:tcW w:type="dxa" w:w="4200"/>
            <w:tcMar>
              <w:top w:type="dxa" w:w="80"/>
              <w:left w:type="dxa" w:w="100"/>
              <w:bottom w:type="dxa" w:w="80"/>
              <w:right w:type="dxa" w:w="100"/>
            </w:tcMar>
          </w:tcPr>
          <w:p>
            <w:pPr>
              <w:jc w:val="left"/>
            </w:pPr>
            <w:r>
              <w:rPr>
                <w:b w:val="false"/>
                <w:bCs w:val="false"/>
              </w:rPr>
              <w:t xml:space="preserve">Multiple recettes / budget</w:t>
            </w:r>
          </w:p>
        </w:tc>
        <w:tc>
          <w:tcPr>
            <w:tcW w:type="dxa" w:w="3400"/>
            <w:tcMar>
              <w:top w:type="dxa" w:w="80"/>
              <w:left w:type="dxa" w:w="100"/>
              <w:bottom w:type="dxa" w:w="80"/>
              <w:right w:type="dxa" w:w="100"/>
            </w:tcMar>
          </w:tcPr>
          <w:p>
            <w:pPr>
              <w:jc w:val="left"/>
            </w:pPr>
            <w:r>
              <w:rPr>
                <w:b w:val="false"/>
                <w:bCs w:val="false"/>
              </w:rPr>
              <w:t xml:space="preserve">≈ 4,4×</w:t>
            </w:r>
          </w:p>
        </w:tc>
      </w:tr>
      <w:tr>
        <w:tc>
          <w:tcPr>
            <w:tcW w:type="dxa" w:w="4200"/>
            <w:tcMar>
              <w:top w:type="dxa" w:w="80"/>
              <w:left w:type="dxa" w:w="100"/>
              <w:bottom w:type="dxa" w:w="80"/>
              <w:right w:type="dxa" w:w="100"/>
            </w:tcMar>
          </w:tcPr>
          <w:p>
            <w:pPr>
              <w:jc w:val="left"/>
            </w:pPr>
            <w:r>
              <w:rPr>
                <w:b w:val="false"/>
                <w:bCs w:val="false"/>
              </w:rPr>
              <w:t xml:space="preserve">ROI moyen déclaré</w:t>
            </w:r>
          </w:p>
        </w:tc>
        <w:tc>
          <w:tcPr>
            <w:tcW w:type="dxa" w:w="3400"/>
            <w:tcMar>
              <w:top w:type="dxa" w:w="80"/>
              <w:left w:type="dxa" w:w="100"/>
              <w:bottom w:type="dxa" w:w="80"/>
              <w:right w:type="dxa" w:w="100"/>
            </w:tcMar>
          </w:tcPr>
          <w:p>
            <w:pPr>
              <w:jc w:val="left"/>
            </w:pPr>
            <w:r>
              <w:rPr>
                <w:b w:val="false"/>
                <w:bCs w:val="false"/>
              </w:rPr>
              <w:t xml:space="preserve">7,32×</w:t>
            </w:r>
          </w:p>
        </w:tc>
      </w:tr>
    </w:tbl>
    <w:p>
      <w:pPr>
        <w:spacing w:after="140"/>
      </w:pPr>
      <w:r>
        <w:t xml:space="preserve"/>
      </w:r>
    </w:p>
    <w:p>
      <w:pPr>
        <w:spacing w:after="140"/>
      </w:pPr>
      <w:r>
        <w:t xml:space="preserve">Les campagnes de sensibilisation affichent un retour agrégé très favorable : 3,25 M$ de recettes générées pour 746 k$ investis. Le ROI moyen déclaré (7,32×) doit toutefois être lu avec prudence : les valeurs de ROI les plus extrêmes proviennent de campagnes à très faible budget (quelques centaines de dollars), qui gonflent mécaniquement la moyenne. Le tableau de bord permet de filtrer sur les campagnes à budget significatif pour une comparaison plus robuste.</w:t>
      </w:r>
    </w:p>
    <w:p>
      <w:pPr>
        <w:pStyle w:val="Heading2"/>
        <w:spacing w:after="120" w:before="260"/>
      </w:pPr>
      <w:r>
        <w:t xml:space="preserve">Recommandation</w:t>
      </w:r>
    </w:p>
    <w:p>
      <w:pPr>
        <w:pStyle w:val="ListParagraph"/>
        <w:numPr>
          <w:ilvl w:val="0"/>
          <w:numId w:val="1"/>
        </w:numPr>
        <w:spacing w:after="80"/>
      </w:pPr>
      <w:r>
        <w:t xml:space="preserve">Sécuriser et augmenter le budget sur les canaux et types de campagnes démontrant un ROI élevé à budget comparable (hors valeurs extrêmes), en priorité pour la réactivation des patients inactifs (section 2).</w:t>
      </w:r>
    </w:p>
    <w:p>
      <w:r>
        <w:br w:type="page"/>
      </w:r>
    </w:p>
    <w:p>
      <w:pPr>
        <w:pStyle w:val="Heading1"/>
        <w:spacing w:after="160" w:before="360"/>
      </w:pPr>
      <w:r>
        <w:t xml:space="preserve">6. Évacuations Sanitaires &amp; Objectifs</w:t>
      </w:r>
    </w:p>
    <w:p>
      <w:pPr>
        <w:spacing w:after="120"/>
      </w:pPr>
      <w:r>
        <w:rPr>
          <w:b/>
          <w:bCs/>
          <w:color w:val="CA8A04"/>
        </w:rPr>
        <w:t xml:space="preserve">⚠ </w:t>
      </w:r>
      <w:r>
        <w:rPr>
          <w:b/>
          <w:bCs/>
          <w:color w:val="CA8A04"/>
        </w:rPr>
        <w:t xml:space="preserve">Caveat de qualité de données : la table des évacuations sanitaires contient exactement une ligne par consultation (15 000 / 15 000, soit 100 %), ce qui est opérationnellement improbable (une évacuation sanitaire est un événement rare, pas systématique). Les chiffres de volume d'évacuations ci-dessous sont donc à valider auprès des équipes opérationnelles avant toute décision — seuls les taux (retard, satisfaction) restent indicatifs.</w:t>
      </w:r>
    </w:p>
    <w:p>
      <w:pPr>
        <w:spacing w:after="140"/>
      </w:pPr>
      <w:r>
        <w:t xml:space="preserve">Sous cette réserve, le taux de retard sur les trajets d'évacuation est de 8,0 % et la satisfaction patient moyenne de 3,9/5.</w:t>
      </w:r>
    </w:p>
    <w:p>
      <w:pPr>
        <w:spacing w:after="120"/>
      </w:pPr>
      <w:r>
        <w:rPr>
          <w:b/>
          <w:bCs/>
          <w:color w:val="DC2626"/>
        </w:rPr>
        <w:t xml:space="preserve">⚠ </w:t>
      </w:r>
      <w:r>
        <w:rPr>
          <w:b/>
          <w:bCs/>
          <w:color w:val="DC2626"/>
        </w:rPr>
        <w:t xml:space="preserve">Écart stratégique majeur : sur 500 objectifs sanitaires suivis (par structure et par membre du personnel), 498 (99,6 %) sont au statut "Non Atteint" et seulement 2 sont "Dépassé". Le taux de réalisation global n'est que de 12,2 % (2 570 429 $ réalisés sur 21 124 429 $ d'objectifs).</w:t>
      </w:r>
    </w:p>
    <w:p>
      <w:pPr>
        <w:spacing w:after="140"/>
      </w:pPr>
      <w:r>
        <w:t xml:space="preserve">Un écart aussi systématique et uniforme (quasiment aucun objectif atteint, sur des cibles à la fois "Structure" et "Personnel") suggère que le problème est méthodologique plus qu'opérationnel : les objectifs semblent fixés à un niveau représentant environ 8 fois la capacité de réalisation observée. Avant d'interpréter ce résultat comme un échec de performance, il est indispensable de recalibrer la méthode de fixation des cibles sur des bases historiques réalistes.</w:t>
      </w:r>
    </w:p>
    <w:p>
      <w:pPr>
        <w:pStyle w:val="Heading2"/>
        <w:spacing w:after="120" w:before="260"/>
      </w:pPr>
      <w:r>
        <w:t xml:space="preserve">Recommandations</w:t>
      </w:r>
    </w:p>
    <w:p>
      <w:pPr>
        <w:pStyle w:val="ListParagraph"/>
        <w:numPr>
          <w:ilvl w:val="0"/>
          <w:numId w:val="1"/>
        </w:numPr>
        <w:spacing w:after="80"/>
      </w:pPr>
      <w:r>
        <w:rPr>
          <w:color w:val="CA8A04"/>
        </w:rPr>
        <w:t xml:space="preserve">Faire valider par les équipes terrain le volume réel d'évacuations sanitaires avant toute action basée sur ce chiffre.</w:t>
      </w:r>
    </w:p>
    <w:p>
      <w:pPr>
        <w:pStyle w:val="ListParagraph"/>
        <w:numPr>
          <w:ilvl w:val="0"/>
          <w:numId w:val="1"/>
        </w:numPr>
        <w:spacing w:after="80"/>
      </w:pPr>
      <w:r>
        <w:rPr>
          <w:color w:val="DC2626"/>
        </w:rPr>
        <w:t xml:space="preserve">Auditer la méthode de fixation des objectifs sanitaires avant le prochain cycle budgétaire ; recalibrer les cibles sur la base des 3 dernières années de réalisé plutôt que sur une progression théorique.</w:t>
      </w:r>
    </w:p>
    <w:p>
      <w:pPr>
        <w:pStyle w:val="ListParagraph"/>
        <w:numPr>
          <w:ilvl w:val="0"/>
          <w:numId w:val="1"/>
        </w:numPr>
        <w:spacing w:after="80"/>
      </w:pPr>
      <w:r>
        <w:t xml:space="preserve">Identifier, via le tableau de bord (page 7), les rares objectifs dépassés pour en tirer les facteurs de succès reproductibles.</w:t>
      </w:r>
    </w:p>
    <w:p>
      <w:r>
        <w:br w:type="page"/>
      </w:r>
    </w:p>
    <w:p>
      <w:pPr>
        <w:pStyle w:val="Heading1"/>
        <w:spacing w:after="160" w:before="360"/>
      </w:pPr>
      <w:r>
        <w:t xml:space="preserve">Recommandations Priorisées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1500"/>
      </w:tblGrid>
      <w:tr>
        <w:trPr>
          <w:tblHeader/>
        </w:trPr>
        <w:tc>
          <w:tcPr>
            <w:tcW w:type="dxa" w:w="1500"/>
            <w:shd w:fill="F0F9FF" w:val="clear"/>
            <w:tcMar>
              <w:top w:type="dxa" w:w="80"/>
              <w:left w:type="dxa" w:w="100"/>
              <w:bottom w:type="dxa" w:w="80"/>
              <w:right w:type="dxa" w:w="100"/>
            </w:tcMar>
          </w:tcPr>
          <w:p>
            <w:pPr>
              <w:jc w:val="left"/>
            </w:pPr>
            <w:r>
              <w:rPr>
                <w:b/>
                <w:bCs/>
                <w:color w:val="0F172A"/>
              </w:rPr>
              <w:t xml:space="preserve">Priorité</w:t>
            </w:r>
          </w:p>
        </w:tc>
        <w:tc>
          <w:tcPr>
            <w:tcW w:type="dxa" w:w="3200"/>
            <w:shd w:fill="F0F9FF" w:val="clear"/>
            <w:tcMar>
              <w:top w:type="dxa" w:w="80"/>
              <w:left w:type="dxa" w:w="100"/>
              <w:bottom w:type="dxa" w:w="80"/>
              <w:right w:type="dxa" w:w="100"/>
            </w:tcMar>
          </w:tcPr>
          <w:p>
            <w:pPr>
              <w:jc w:val="left"/>
            </w:pPr>
            <w:r>
              <w:rPr>
                <w:b/>
                <w:bCs/>
                <w:color w:val="0F172A"/>
              </w:rPr>
              <w:t xml:space="preserve">Constat</w:t>
            </w:r>
          </w:p>
        </w:tc>
        <w:tc>
          <w:tcPr>
            <w:tcW w:type="dxa" w:w="3400"/>
            <w:shd w:fill="F0F9FF" w:val="clear"/>
            <w:tcMar>
              <w:top w:type="dxa" w:w="80"/>
              <w:left w:type="dxa" w:w="100"/>
              <w:bottom w:type="dxa" w:w="80"/>
              <w:right w:type="dxa" w:w="100"/>
            </w:tcMar>
          </w:tcPr>
          <w:p>
            <w:pPr>
              <w:jc w:val="left"/>
            </w:pPr>
            <w:r>
              <w:rPr>
                <w:b/>
                <w:bCs/>
                <w:color w:val="0F172A"/>
              </w:rPr>
              <w:t xml:space="preserve">Action recommandée</w:t>
            </w:r>
          </w:p>
        </w:tc>
        <w:tc>
          <w:tcPr>
            <w:tcW w:type="dxa" w:w="1500"/>
            <w:shd w:fill="F0F9FF" w:val="clear"/>
            <w:tcMar>
              <w:top w:type="dxa" w:w="80"/>
              <w:left w:type="dxa" w:w="100"/>
              <w:bottom w:type="dxa" w:w="80"/>
              <w:right w:type="dxa" w:w="100"/>
            </w:tcMar>
          </w:tcPr>
          <w:p>
            <w:pPr>
              <w:jc w:val="left"/>
            </w:pPr>
            <w:r>
              <w:rPr>
                <w:b/>
                <w:bCs/>
                <w:color w:val="0F172A"/>
              </w:rPr>
              <w:t xml:space="preserve">Horizon</w:t>
            </w:r>
          </w:p>
        </w:tc>
      </w:tr>
      <w:tr>
        <w:tc>
          <w:tcPr>
            <w:tcW w:type="dxa" w:w="1500"/>
            <w:tcMar>
              <w:top w:type="dxa" w:w="80"/>
              <w:left w:type="dxa" w:w="100"/>
              <w:bottom w:type="dxa" w:w="80"/>
              <w:right w:type="dxa" w:w="100"/>
            </w:tcMar>
          </w:tcPr>
          <w:p>
            <w:pPr>
              <w:jc w:val="left"/>
            </w:pPr>
            <w:r>
              <w:rPr>
                <w:b w:val="false"/>
                <w:bCs w:val="false"/>
              </w:rPr>
              <w:t xml:space="preserve">P1 — Urgent</w:t>
            </w:r>
          </w:p>
        </w:tc>
        <w:tc>
          <w:tcPr>
            <w:tcW w:type="dxa" w:w="3200"/>
            <w:tcMar>
              <w:top w:type="dxa" w:w="80"/>
              <w:left w:type="dxa" w:w="100"/>
              <w:bottom w:type="dxa" w:w="80"/>
              <w:right w:type="dxa" w:w="100"/>
            </w:tcMar>
          </w:tcPr>
          <w:p>
            <w:pPr>
              <w:jc w:val="left"/>
            </w:pPr>
            <w:r>
              <w:rPr>
                <w:b w:val="false"/>
                <w:bCs w:val="false"/>
              </w:rPr>
              <w:t xml:space="preserve">342 médicaments (49 %) en péremption dépassée</w:t>
            </w:r>
          </w:p>
        </w:tc>
        <w:tc>
          <w:tcPr>
            <w:tcW w:type="dxa" w:w="3400"/>
            <w:tcMar>
              <w:top w:type="dxa" w:w="80"/>
              <w:left w:type="dxa" w:w="100"/>
              <w:bottom w:type="dxa" w:w="80"/>
              <w:right w:type="dxa" w:w="100"/>
            </w:tcMar>
          </w:tcPr>
          <w:p>
            <w:pPr>
              <w:jc w:val="left"/>
            </w:pPr>
            <w:r>
              <w:rPr>
                <w:b w:val="false"/>
                <w:bCs w:val="false"/>
              </w:rPr>
              <w:t xml:space="preserve">Audit physique immédiat + retrait/correction des dates système</w:t>
            </w:r>
          </w:p>
        </w:tc>
        <w:tc>
          <w:tcPr>
            <w:tcW w:type="dxa" w:w="1500"/>
            <w:tcMar>
              <w:top w:type="dxa" w:w="80"/>
              <w:left w:type="dxa" w:w="100"/>
              <w:bottom w:type="dxa" w:w="80"/>
              <w:right w:type="dxa" w:w="100"/>
            </w:tcMar>
          </w:tcPr>
          <w:p>
            <w:pPr>
              <w:jc w:val="left"/>
            </w:pPr>
            <w:r>
              <w:rPr>
                <w:b w:val="false"/>
                <w:bCs w:val="false"/>
              </w:rPr>
              <w:t xml:space="preserve">Immédiat</w:t>
            </w:r>
          </w:p>
        </w:tc>
      </w:tr>
      <w:tr>
        <w:tc>
          <w:tcPr>
            <w:tcW w:type="dxa" w:w="1500"/>
            <w:tcMar>
              <w:top w:type="dxa" w:w="80"/>
              <w:left w:type="dxa" w:w="100"/>
              <w:bottom w:type="dxa" w:w="80"/>
              <w:right w:type="dxa" w:w="100"/>
            </w:tcMar>
          </w:tcPr>
          <w:p>
            <w:pPr>
              <w:jc w:val="left"/>
            </w:pPr>
            <w:r>
              <w:rPr>
                <w:b w:val="false"/>
                <w:bCs w:val="false"/>
              </w:rPr>
              <w:t xml:space="preserve">P1 — Urgent</w:t>
            </w:r>
          </w:p>
        </w:tc>
        <w:tc>
          <w:tcPr>
            <w:tcW w:type="dxa" w:w="3200"/>
            <w:tcMar>
              <w:top w:type="dxa" w:w="80"/>
              <w:left w:type="dxa" w:w="100"/>
              <w:bottom w:type="dxa" w:w="80"/>
              <w:right w:type="dxa" w:w="100"/>
            </w:tcMar>
          </w:tcPr>
          <w:p>
            <w:pPr>
              <w:jc w:val="left"/>
            </w:pPr>
            <w:r>
              <w:rPr>
                <w:b w:val="false"/>
                <w:bCs w:val="false"/>
              </w:rPr>
              <w:t xml:space="preserve">44 % des retours = erreur de dosage prescrit</w:t>
            </w:r>
          </w:p>
        </w:tc>
        <w:tc>
          <w:tcPr>
            <w:tcW w:type="dxa" w:w="3400"/>
            <w:tcMar>
              <w:top w:type="dxa" w:w="80"/>
              <w:left w:type="dxa" w:w="100"/>
              <w:bottom w:type="dxa" w:w="80"/>
              <w:right w:type="dxa" w:w="100"/>
            </w:tcMar>
          </w:tcPr>
          <w:p>
            <w:pPr>
              <w:jc w:val="left"/>
            </w:pPr>
            <w:r>
              <w:rPr>
                <w:b w:val="false"/>
                <w:bCs w:val="false"/>
              </w:rPr>
              <w:t xml:space="preserve">Double vérification pharmacien/prescripteur sur postes à risque</w:t>
            </w:r>
          </w:p>
        </w:tc>
        <w:tc>
          <w:tcPr>
            <w:tcW w:type="dxa" w:w="1500"/>
            <w:tcMar>
              <w:top w:type="dxa" w:w="80"/>
              <w:left w:type="dxa" w:w="100"/>
              <w:bottom w:type="dxa" w:w="80"/>
              <w:right w:type="dxa" w:w="100"/>
            </w:tcMar>
          </w:tcPr>
          <w:p>
            <w:pPr>
              <w:jc w:val="left"/>
            </w:pPr>
            <w:r>
              <w:rPr>
                <w:b w:val="false"/>
                <w:bCs w:val="false"/>
              </w:rPr>
              <w:t xml:space="preserve">0–1 mois</w:t>
            </w:r>
          </w:p>
        </w:tc>
      </w:tr>
      <w:tr>
        <w:tc>
          <w:tcPr>
            <w:tcW w:type="dxa" w:w="1500"/>
            <w:tcMar>
              <w:top w:type="dxa" w:w="80"/>
              <w:left w:type="dxa" w:w="100"/>
              <w:bottom w:type="dxa" w:w="80"/>
              <w:right w:type="dxa" w:w="100"/>
            </w:tcMar>
          </w:tcPr>
          <w:p>
            <w:pPr>
              <w:jc w:val="left"/>
            </w:pPr>
            <w:r>
              <w:rPr>
                <w:b w:val="false"/>
                <w:bCs w:val="false"/>
              </w:rPr>
              <w:t xml:space="preserve">P1 — Urgent</w:t>
            </w:r>
          </w:p>
        </w:tc>
        <w:tc>
          <w:tcPr>
            <w:tcW w:type="dxa" w:w="3200"/>
            <w:tcMar>
              <w:top w:type="dxa" w:w="80"/>
              <w:left w:type="dxa" w:w="100"/>
              <w:bottom w:type="dxa" w:w="80"/>
              <w:right w:type="dxa" w:w="100"/>
            </w:tcMar>
          </w:tcPr>
          <w:p>
            <w:pPr>
              <w:jc w:val="left"/>
            </w:pPr>
            <w:r>
              <w:rPr>
                <w:b w:val="false"/>
                <w:bCs w:val="false"/>
              </w:rPr>
              <w:t xml:space="preserve">57 médicaments en rupture</w:t>
            </w:r>
          </w:p>
        </w:tc>
        <w:tc>
          <w:tcPr>
            <w:tcW w:type="dxa" w:w="3400"/>
            <w:tcMar>
              <w:top w:type="dxa" w:w="80"/>
              <w:left w:type="dxa" w:w="100"/>
              <w:bottom w:type="dxa" w:w="80"/>
              <w:right w:type="dxa" w:w="100"/>
            </w:tcMar>
          </w:tcPr>
          <w:p>
            <w:pPr>
              <w:jc w:val="left"/>
            </w:pPr>
            <w:r>
              <w:rPr>
                <w:b w:val="false"/>
                <w:bCs w:val="false"/>
              </w:rPr>
              <w:t xml:space="preserve">Réapprovisionnement ciblé par structure</w:t>
            </w:r>
          </w:p>
        </w:tc>
        <w:tc>
          <w:tcPr>
            <w:tcW w:type="dxa" w:w="1500"/>
            <w:tcMar>
              <w:top w:type="dxa" w:w="80"/>
              <w:left w:type="dxa" w:w="100"/>
              <w:bottom w:type="dxa" w:w="80"/>
              <w:right w:type="dxa" w:w="100"/>
            </w:tcMar>
          </w:tcPr>
          <w:p>
            <w:pPr>
              <w:jc w:val="left"/>
            </w:pPr>
            <w:r>
              <w:rPr>
                <w:b w:val="false"/>
                <w:bCs w:val="false"/>
              </w:rPr>
              <w:t xml:space="preserve">0–2 semaines</w:t>
            </w:r>
          </w:p>
        </w:tc>
      </w:tr>
      <w:tr>
        <w:tc>
          <w:tcPr>
            <w:tcW w:type="dxa" w:w="1500"/>
            <w:tcMar>
              <w:top w:type="dxa" w:w="80"/>
              <w:left w:type="dxa" w:w="100"/>
              <w:bottom w:type="dxa" w:w="80"/>
              <w:right w:type="dxa" w:w="100"/>
            </w:tcMar>
          </w:tcPr>
          <w:p>
            <w:pPr>
              <w:jc w:val="left"/>
            </w:pPr>
            <w:r>
              <w:rPr>
                <w:b w:val="false"/>
                <w:bCs w:val="false"/>
              </w:rPr>
              <w:t xml:space="preserve">P2 — Stratégique</w:t>
            </w:r>
          </w:p>
        </w:tc>
        <w:tc>
          <w:tcPr>
            <w:tcW w:type="dxa" w:w="3200"/>
            <w:tcMar>
              <w:top w:type="dxa" w:w="80"/>
              <w:left w:type="dxa" w:w="100"/>
              <w:bottom w:type="dxa" w:w="80"/>
              <w:right w:type="dxa" w:w="100"/>
            </w:tcMar>
          </w:tcPr>
          <w:p>
            <w:pPr>
              <w:jc w:val="left"/>
            </w:pPr>
            <w:r>
              <w:rPr>
                <w:b w:val="false"/>
                <w:bCs w:val="false"/>
              </w:rPr>
              <w:t xml:space="preserve">12,2 % de réalisation des objectifs sanitaires</w:t>
            </w:r>
          </w:p>
        </w:tc>
        <w:tc>
          <w:tcPr>
            <w:tcW w:type="dxa" w:w="3400"/>
            <w:tcMar>
              <w:top w:type="dxa" w:w="80"/>
              <w:left w:type="dxa" w:w="100"/>
              <w:bottom w:type="dxa" w:w="80"/>
              <w:right w:type="dxa" w:w="100"/>
            </w:tcMar>
          </w:tcPr>
          <w:p>
            <w:pPr>
              <w:jc w:val="left"/>
            </w:pPr>
            <w:r>
              <w:rPr>
                <w:b w:val="false"/>
                <w:bCs w:val="false"/>
              </w:rPr>
              <w:t xml:space="preserve">Recalibrer la méthode de fixation des objectifs</w:t>
            </w:r>
          </w:p>
        </w:tc>
        <w:tc>
          <w:tcPr>
            <w:tcW w:type="dxa" w:w="1500"/>
            <w:tcMar>
              <w:top w:type="dxa" w:w="80"/>
              <w:left w:type="dxa" w:w="100"/>
              <w:bottom w:type="dxa" w:w="80"/>
              <w:right w:type="dxa" w:w="100"/>
            </w:tcMar>
          </w:tcPr>
          <w:p>
            <w:pPr>
              <w:jc w:val="left"/>
            </w:pPr>
            <w:r>
              <w:rPr>
                <w:b w:val="false"/>
                <w:bCs w:val="false"/>
              </w:rPr>
              <w:t xml:space="preserve">Prochain cycle budgétaire</w:t>
            </w:r>
          </w:p>
        </w:tc>
      </w:tr>
      <w:tr>
        <w:tc>
          <w:tcPr>
            <w:tcW w:type="dxa" w:w="1500"/>
            <w:tcMar>
              <w:top w:type="dxa" w:w="80"/>
              <w:left w:type="dxa" w:w="100"/>
              <w:bottom w:type="dxa" w:w="80"/>
              <w:right w:type="dxa" w:w="100"/>
            </w:tcMar>
          </w:tcPr>
          <w:p>
            <w:pPr>
              <w:jc w:val="left"/>
            </w:pPr>
            <w:r>
              <w:rPr>
                <w:b w:val="false"/>
                <w:bCs w:val="false"/>
              </w:rPr>
              <w:t xml:space="preserve">P2 — Stratégique</w:t>
            </w:r>
          </w:p>
        </w:tc>
        <w:tc>
          <w:tcPr>
            <w:tcW w:type="dxa" w:w="3200"/>
            <w:tcMar>
              <w:top w:type="dxa" w:w="80"/>
              <w:left w:type="dxa" w:w="100"/>
              <w:bottom w:type="dxa" w:w="80"/>
              <w:right w:type="dxa" w:w="100"/>
            </w:tcMar>
          </w:tcPr>
          <w:p>
            <w:pPr>
              <w:jc w:val="left"/>
            </w:pPr>
            <w:r>
              <w:rPr>
                <w:b w:val="false"/>
                <w:bCs w:val="false"/>
              </w:rPr>
              <w:t xml:space="preserve">29,3 % de patients inactifs/perdus de vue</w:t>
            </w:r>
          </w:p>
        </w:tc>
        <w:tc>
          <w:tcPr>
            <w:tcW w:type="dxa" w:w="3400"/>
            <w:tcMar>
              <w:top w:type="dxa" w:w="80"/>
              <w:left w:type="dxa" w:w="100"/>
              <w:bottom w:type="dxa" w:w="80"/>
              <w:right w:type="dxa" w:w="100"/>
            </w:tcMar>
          </w:tcPr>
          <w:p>
            <w:pPr>
              <w:jc w:val="left"/>
            </w:pPr>
            <w:r>
              <w:rPr>
                <w:b w:val="false"/>
                <w:bCs w:val="false"/>
              </w:rPr>
              <w:t xml:space="preserve">Campagne de réactivation ciblée</w:t>
            </w:r>
          </w:p>
        </w:tc>
        <w:tc>
          <w:tcPr>
            <w:tcW w:type="dxa" w:w="1500"/>
            <w:tcMar>
              <w:top w:type="dxa" w:w="80"/>
              <w:left w:type="dxa" w:w="100"/>
              <w:bottom w:type="dxa" w:w="80"/>
              <w:right w:type="dxa" w:w="100"/>
            </w:tcMar>
          </w:tcPr>
          <w:p>
            <w:pPr>
              <w:jc w:val="left"/>
            </w:pPr>
            <w:r>
              <w:rPr>
                <w:b w:val="false"/>
                <w:bCs w:val="false"/>
              </w:rPr>
              <w:t xml:space="preserve">1–3 mois</w:t>
            </w:r>
          </w:p>
        </w:tc>
      </w:tr>
      <w:tr>
        <w:tc>
          <w:tcPr>
            <w:tcW w:type="dxa" w:w="1500"/>
            <w:tcMar>
              <w:top w:type="dxa" w:w="80"/>
              <w:left w:type="dxa" w:w="100"/>
              <w:bottom w:type="dxa" w:w="80"/>
              <w:right w:type="dxa" w:w="100"/>
            </w:tcMar>
          </w:tcPr>
          <w:p>
            <w:pPr>
              <w:jc w:val="left"/>
            </w:pPr>
            <w:r>
              <w:rPr>
                <w:b w:val="false"/>
                <w:bCs w:val="false"/>
              </w:rPr>
              <w:t xml:space="preserve">P3 — Optimisation</w:t>
            </w:r>
          </w:p>
        </w:tc>
        <w:tc>
          <w:tcPr>
            <w:tcW w:type="dxa" w:w="3200"/>
            <w:tcMar>
              <w:top w:type="dxa" w:w="80"/>
              <w:left w:type="dxa" w:w="100"/>
              <w:bottom w:type="dxa" w:w="80"/>
              <w:right w:type="dxa" w:w="100"/>
            </w:tcMar>
          </w:tcPr>
          <w:p>
            <w:pPr>
              <w:jc w:val="left"/>
            </w:pPr>
            <w:r>
              <w:rPr>
                <w:b w:val="false"/>
                <w:bCs w:val="false"/>
              </w:rPr>
              <w:t xml:space="preserve">13,2 % de livraisons fournisseurs en retard</w:t>
            </w:r>
          </w:p>
        </w:tc>
        <w:tc>
          <w:tcPr>
            <w:tcW w:type="dxa" w:w="3400"/>
            <w:tcMar>
              <w:top w:type="dxa" w:w="80"/>
              <w:left w:type="dxa" w:w="100"/>
              <w:bottom w:type="dxa" w:w="80"/>
              <w:right w:type="dxa" w:w="100"/>
            </w:tcMar>
          </w:tcPr>
          <w:p>
            <w:pPr>
              <w:jc w:val="left"/>
            </w:pPr>
            <w:r>
              <w:rPr>
                <w:b w:val="false"/>
                <w:bCs w:val="false"/>
              </w:rPr>
              <w:t xml:space="preserve">Revue contractuelle des fournisseurs concernés</w:t>
            </w:r>
          </w:p>
        </w:tc>
        <w:tc>
          <w:tcPr>
            <w:tcW w:type="dxa" w:w="1500"/>
            <w:tcMar>
              <w:top w:type="dxa" w:w="80"/>
              <w:left w:type="dxa" w:w="100"/>
              <w:bottom w:type="dxa" w:w="80"/>
              <w:right w:type="dxa" w:w="100"/>
            </w:tcMar>
          </w:tcPr>
          <w:p>
            <w:pPr>
              <w:jc w:val="left"/>
            </w:pPr>
            <w:r>
              <w:rPr>
                <w:b w:val="false"/>
                <w:bCs w:val="false"/>
              </w:rPr>
              <w:t xml:space="preserve">1–2 mois</w:t>
            </w:r>
          </w:p>
        </w:tc>
      </w:tr>
      <w:tr>
        <w:tc>
          <w:tcPr>
            <w:tcW w:type="dxa" w:w="1500"/>
            <w:tcMar>
              <w:top w:type="dxa" w:w="80"/>
              <w:left w:type="dxa" w:w="100"/>
              <w:bottom w:type="dxa" w:w="80"/>
              <w:right w:type="dxa" w:w="100"/>
            </w:tcMar>
          </w:tcPr>
          <w:p>
            <w:pPr>
              <w:jc w:val="left"/>
            </w:pPr>
            <w:r>
              <w:rPr>
                <w:b w:val="false"/>
                <w:bCs w:val="false"/>
              </w:rPr>
              <w:t xml:space="preserve">P3 — Optimisation</w:t>
            </w:r>
          </w:p>
        </w:tc>
        <w:tc>
          <w:tcPr>
            <w:tcW w:type="dxa" w:w="3200"/>
            <w:tcMar>
              <w:top w:type="dxa" w:w="80"/>
              <w:left w:type="dxa" w:w="100"/>
              <w:bottom w:type="dxa" w:w="80"/>
              <w:right w:type="dxa" w:w="100"/>
            </w:tcMar>
          </w:tcPr>
          <w:p>
            <w:pPr>
              <w:jc w:val="left"/>
            </w:pPr>
            <w:r>
              <w:rPr>
                <w:b w:val="false"/>
                <w:bCs w:val="false"/>
              </w:rPr>
              <w:t xml:space="preserve">Concentration d'achat sur le Diclofénac</w:t>
            </w:r>
          </w:p>
        </w:tc>
        <w:tc>
          <w:tcPr>
            <w:tcW w:type="dxa" w:w="3400"/>
            <w:tcMar>
              <w:top w:type="dxa" w:w="80"/>
              <w:left w:type="dxa" w:w="100"/>
              <w:bottom w:type="dxa" w:w="80"/>
              <w:right w:type="dxa" w:w="100"/>
            </w:tcMar>
          </w:tcPr>
          <w:p>
            <w:pPr>
              <w:jc w:val="left"/>
            </w:pPr>
            <w:r>
              <w:rPr>
                <w:b w:val="false"/>
                <w:bCs w:val="false"/>
              </w:rPr>
              <w:t xml:space="preserve">Diversification des sources d'approvisionnement</w:t>
            </w:r>
          </w:p>
        </w:tc>
        <w:tc>
          <w:tcPr>
            <w:tcW w:type="dxa" w:w="1500"/>
            <w:tcMar>
              <w:top w:type="dxa" w:w="80"/>
              <w:left w:type="dxa" w:w="100"/>
              <w:bottom w:type="dxa" w:w="80"/>
              <w:right w:type="dxa" w:w="100"/>
            </w:tcMar>
          </w:tcPr>
          <w:p>
            <w:pPr>
              <w:jc w:val="left"/>
            </w:pPr>
            <w:r>
              <w:rPr>
                <w:b w:val="false"/>
                <w:bCs w:val="false"/>
              </w:rPr>
              <w:t xml:space="preserve">3–6 mois</w:t>
            </w:r>
          </w:p>
        </w:tc>
      </w:tr>
      <w:tr>
        <w:tc>
          <w:tcPr>
            <w:tcW w:type="dxa" w:w="1500"/>
            <w:tcMar>
              <w:top w:type="dxa" w:w="80"/>
              <w:left w:type="dxa" w:w="100"/>
              <w:bottom w:type="dxa" w:w="80"/>
              <w:right w:type="dxa" w:w="100"/>
            </w:tcMar>
          </w:tcPr>
          <w:p>
            <w:pPr>
              <w:jc w:val="left"/>
            </w:pPr>
            <w:r>
              <w:rPr>
                <w:b w:val="false"/>
                <w:bCs w:val="false"/>
              </w:rPr>
              <w:t xml:space="preserve">P3 — Optimisation</w:t>
            </w:r>
          </w:p>
        </w:tc>
        <w:tc>
          <w:tcPr>
            <w:tcW w:type="dxa" w:w="3200"/>
            <w:tcMar>
              <w:top w:type="dxa" w:w="80"/>
              <w:left w:type="dxa" w:w="100"/>
              <w:bottom w:type="dxa" w:w="80"/>
              <w:right w:type="dxa" w:w="100"/>
            </w:tcMar>
          </w:tcPr>
          <w:p>
            <w:pPr>
              <w:jc w:val="left"/>
            </w:pPr>
            <w:r>
              <w:rPr>
                <w:b w:val="false"/>
                <w:bCs w:val="false"/>
              </w:rPr>
              <w:t xml:space="preserve">23 % des lignes de stock en surstock</w:t>
            </w:r>
          </w:p>
        </w:tc>
        <w:tc>
          <w:tcPr>
            <w:tcW w:type="dxa" w:w="3400"/>
            <w:tcMar>
              <w:top w:type="dxa" w:w="80"/>
              <w:left w:type="dxa" w:w="100"/>
              <w:bottom w:type="dxa" w:w="80"/>
              <w:right w:type="dxa" w:w="100"/>
            </w:tcMar>
          </w:tcPr>
          <w:p>
            <w:pPr>
              <w:jc w:val="left"/>
            </w:pPr>
            <w:r>
              <w:rPr>
                <w:b w:val="false"/>
                <w:bCs w:val="false"/>
              </w:rPr>
              <w:t xml:space="preserve">Revoir les règles de réassort</w:t>
            </w:r>
          </w:p>
        </w:tc>
        <w:tc>
          <w:tcPr>
            <w:tcW w:type="dxa" w:w="1500"/>
            <w:tcMar>
              <w:top w:type="dxa" w:w="80"/>
              <w:left w:type="dxa" w:w="100"/>
              <w:bottom w:type="dxa" w:w="80"/>
              <w:right w:type="dxa" w:w="100"/>
            </w:tcMar>
          </w:tcPr>
          <w:p>
            <w:pPr>
              <w:jc w:val="left"/>
            </w:pPr>
            <w:r>
              <w:rPr>
                <w:b w:val="false"/>
                <w:bCs w:val="false"/>
              </w:rPr>
              <w:t xml:space="preserve">1–3 mois</w:t>
            </w:r>
          </w:p>
        </w:tc>
      </w:tr>
      <w:tr>
        <w:tc>
          <w:tcPr>
            <w:tcW w:type="dxa" w:w="1500"/>
            <w:tcMar>
              <w:top w:type="dxa" w:w="80"/>
              <w:left w:type="dxa" w:w="100"/>
              <w:bottom w:type="dxa" w:w="80"/>
              <w:right w:type="dxa" w:w="100"/>
            </w:tcMar>
          </w:tcPr>
          <w:p>
            <w:pPr>
              <w:jc w:val="left"/>
            </w:pPr>
            <w:r>
              <w:rPr>
                <w:b w:val="false"/>
                <w:bCs w:val="false"/>
              </w:rPr>
              <w:t xml:space="preserve">P4 — Renforcer</w:t>
            </w:r>
          </w:p>
        </w:tc>
        <w:tc>
          <w:tcPr>
            <w:tcW w:type="dxa" w:w="3200"/>
            <w:tcMar>
              <w:top w:type="dxa" w:w="80"/>
              <w:left w:type="dxa" w:w="100"/>
              <w:bottom w:type="dxa" w:w="80"/>
              <w:right w:type="dxa" w:w="100"/>
            </w:tcMar>
          </w:tcPr>
          <w:p>
            <w:pPr>
              <w:jc w:val="left"/>
            </w:pPr>
            <w:r>
              <w:rPr>
                <w:b w:val="false"/>
                <w:bCs w:val="false"/>
              </w:rPr>
              <w:t xml:space="preserve">ROI campagnes ≈ 4,4× le budget</w:t>
            </w:r>
          </w:p>
        </w:tc>
        <w:tc>
          <w:tcPr>
            <w:tcW w:type="dxa" w:w="3400"/>
            <w:tcMar>
              <w:top w:type="dxa" w:w="80"/>
              <w:left w:type="dxa" w:w="100"/>
              <w:bottom w:type="dxa" w:w="80"/>
              <w:right w:type="dxa" w:w="100"/>
            </w:tcMar>
          </w:tcPr>
          <w:p>
            <w:pPr>
              <w:jc w:val="left"/>
            </w:pPr>
            <w:r>
              <w:rPr>
                <w:b w:val="false"/>
                <w:bCs w:val="false"/>
              </w:rPr>
              <w:t xml:space="preserve">Augmenter le budget sur canaux performants</w:t>
            </w:r>
          </w:p>
        </w:tc>
        <w:tc>
          <w:tcPr>
            <w:tcW w:type="dxa" w:w="1500"/>
            <w:tcMar>
              <w:top w:type="dxa" w:w="80"/>
              <w:left w:type="dxa" w:w="100"/>
              <w:bottom w:type="dxa" w:w="80"/>
              <w:right w:type="dxa" w:w="100"/>
            </w:tcMar>
          </w:tcPr>
          <w:p>
            <w:pPr>
              <w:jc w:val="left"/>
            </w:pPr>
            <w:r>
              <w:rPr>
                <w:b w:val="false"/>
                <w:bCs w:val="false"/>
              </w:rPr>
              <w:t xml:space="preserve">Continu</w:t>
            </w:r>
          </w:p>
        </w:tc>
      </w:tr>
    </w:tbl>
    <w:p>
      <w:r>
        <w:br w:type="page"/>
      </w:r>
    </w:p>
    <w:p>
      <w:pPr>
        <w:pStyle w:val="Heading1"/>
        <w:spacing w:after="160" w:before="360"/>
      </w:pPr>
      <w:r>
        <w:t xml:space="preserve">Annexe — Limites du Modèle de Données</w:t>
      </w:r>
    </w:p>
    <w:p>
      <w:pPr>
        <w:pStyle w:val="ListParagraph"/>
        <w:numPr>
          <w:ilvl w:val="0"/>
          <w:numId w:val="1"/>
        </w:numPr>
        <w:spacing w:after="80"/>
      </w:pPr>
      <w:r>
        <w:t xml:space="preserve">Table Évacuations_Sanitaires : une ligne par consultation (100 %) — vraisemblance opérationnelle à confirmer avant usage décisionnel du volume.</w:t>
      </w:r>
    </w:p>
    <w:p>
      <w:pPr>
        <w:pStyle w:val="ListParagraph"/>
        <w:numPr>
          <w:ilvl w:val="0"/>
          <w:numId w:val="1"/>
        </w:numPr>
        <w:spacing w:after="80"/>
      </w:pPr>
      <w:r>
        <w:t xml:space="preserve">4 tables sources utilisaient des en-têtes de colonnes génériques (Column1, Column2…) : Fabricants_Pharmaceutiques, Paramètres, Dictionnaire_Données, Relations — corrigées dans le modèle Power BI (en-têtes réels restitués).</w:t>
      </w:r>
    </w:p>
    <w:p>
      <w:pPr>
        <w:pStyle w:val="ListParagraph"/>
        <w:numPr>
          <w:ilvl w:val="0"/>
          <w:numId w:val="1"/>
        </w:numPr>
        <w:spacing w:after="80"/>
      </w:pPr>
      <w:r>
        <w:t xml:space="preserve">Absence de calendrier partagé unique dans le modèle d'origine : chaque colonne de date avait sa propre table de dates locale. Un hub d'année partagé (table KPI_Annuel) a été mis en place pour permettre un filtrage temporel cohérent sur 8 tables de faits ; les analyses infra-annuelles (mois, trimestre) restent basées sur les colonnes locales de chaque table.</w:t>
      </w:r>
    </w:p>
    <w:p>
      <w:pPr>
        <w:pStyle w:val="ListParagraph"/>
        <w:numPr>
          <w:ilvl w:val="0"/>
          <w:numId w:val="1"/>
        </w:numPr>
        <w:spacing w:after="80"/>
      </w:pPr>
      <w:r>
        <w:t xml:space="preserve">La relation Consultations ↔ Personnel_Médical (soignant) était absente du modèle d'origine et a été ajoutée pour permettre l'analyse de charge par soignant.</w:t>
      </w:r>
    </w:p>
    <w:p>
      <w:pPr>
        <w:pStyle w:val="ListParagraph"/>
        <w:numPr>
          <w:ilvl w:val="0"/>
          <w:numId w:val="1"/>
        </w:numPr>
        <w:spacing w:after="80"/>
      </w:pPr>
      <w:r>
        <w:t xml:space="preserve">La relation Médicaments ↔ Fabricants_Pharmaceutiques était absente (en-têtes génériques) et a été ajoutée après correction.</w:t>
      </w:r>
    </w:p>
    <w:p>
      <w:pPr>
        <w:pStyle w:val="ListParagraph"/>
        <w:numPr>
          <w:ilvl w:val="0"/>
          <w:numId w:val="1"/>
        </w:numPr>
        <w:spacing w:after="80"/>
      </w:pPr>
      <w:r>
        <w:t xml:space="preserve">4 relations existaient mais étaient désactivées dans le modèle d'origine (ex. Achats↔Médicaments, Retours↔Consultations, Paiements↔Patients) ; elles nécessitent la fonction DAX USERELATIONSHIP pour être mobilisées dans des mesures spécifiques.</w:t>
      </w:r>
    </w:p>
    <w:p>
      <w:r>
        <w:br w:type="page"/>
      </w:r>
    </w:p>
    <w:p>
      <w:pPr>
        <w:pStyle w:val="Heading1"/>
        <w:spacing w:after="160" w:before="360"/>
      </w:pPr>
      <w:r>
        <w:t xml:space="preserve">À Propos du Tableau de Bord</w:t>
      </w:r>
    </w:p>
    <w:p>
      <w:pPr>
        <w:spacing w:after="140"/>
      </w:pPr>
      <w:r>
        <w:t xml:space="preserve">Un tableau de bord Power BI interactif à 7 pages accompagne ce document (fichier CongoSantéPlus.pbip) :</w:t>
      </w:r>
    </w:p>
    <w:p>
      <w:pPr>
        <w:pStyle w:val="ListParagraph"/>
        <w:numPr>
          <w:ilvl w:val="0"/>
          <w:numId w:val="1"/>
        </w:numPr>
        <w:spacing w:after="80"/>
      </w:pPr>
      <w:r>
        <w:t xml:space="preserve">1. Vue Exécutive — KPIs globaux, tendance, carte des structures, alertes clés</w:t>
      </w:r>
    </w:p>
    <w:p>
      <w:pPr>
        <w:pStyle w:val="ListParagraph"/>
        <w:numPr>
          <w:ilvl w:val="0"/>
          <w:numId w:val="1"/>
        </w:numPr>
        <w:spacing w:after="80"/>
      </w:pPr>
      <w:r>
        <w:t xml:space="preserve">2. Performance Financière — recettes, marge, recouvrement, paiements</w:t>
      </w:r>
    </w:p>
    <w:p>
      <w:pPr>
        <w:pStyle w:val="ListParagraph"/>
        <w:numPr>
          <w:ilvl w:val="0"/>
          <w:numId w:val="1"/>
        </w:numPr>
        <w:spacing w:after="80"/>
      </w:pPr>
      <w:r>
        <w:t xml:space="preserve">3. Activité Clinique &amp; Patients — consultations, segmentation, personnel</w:t>
      </w:r>
    </w:p>
    <w:p>
      <w:pPr>
        <w:pStyle w:val="ListParagraph"/>
        <w:numPr>
          <w:ilvl w:val="0"/>
          <w:numId w:val="1"/>
        </w:numPr>
        <w:spacing w:after="80"/>
      </w:pPr>
      <w:r>
        <w:t xml:space="preserve">4. Pharmacie &amp; Stock — ruptures, rotation, péremption, retours</w:t>
      </w:r>
    </w:p>
    <w:p>
      <w:pPr>
        <w:pStyle w:val="ListParagraph"/>
        <w:numPr>
          <w:ilvl w:val="0"/>
          <w:numId w:val="1"/>
        </w:numPr>
        <w:spacing w:after="80"/>
      </w:pPr>
      <w:r>
        <w:t xml:space="preserve">5. Achats &amp; Fournisseurs — délais, fiabilité, dépenses</w:t>
      </w:r>
    </w:p>
    <w:p>
      <w:pPr>
        <w:pStyle w:val="ListParagraph"/>
        <w:numPr>
          <w:ilvl w:val="0"/>
          <w:numId w:val="1"/>
        </w:numPr>
        <w:spacing w:after="80"/>
      </w:pPr>
      <w:r>
        <w:t xml:space="preserve">6. Programmes &amp; Campagnes — portée, ROI, coût-efficacité</w:t>
      </w:r>
    </w:p>
    <w:p>
      <w:pPr>
        <w:pStyle w:val="ListParagraph"/>
        <w:numPr>
          <w:ilvl w:val="0"/>
          <w:numId w:val="1"/>
        </w:numPr>
        <w:spacing w:after="80"/>
      </w:pPr>
      <w:r>
        <w:t xml:space="preserve">7. Évacuations &amp; Objectifs Sanitaires — délais, satisfaction, atteinte des cibles</w:t>
      </w:r>
    </w:p>
    <w:p>
      <w:pPr>
        <w:spacing w:after="140"/>
      </w:pPr>
      <w:r>
        <w:t xml:space="preserve">Chaque page permet de filtrer par année, structure, et dimension propre au domaine, pour approfondir chacun des constats de ce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Segoe UI Semibold" w:cs="Segoe UI Semibold" w:eastAsia="Segoe UI Semibold" w:hAnsi="Segoe UI Semibold"/>
      <w:b/>
      <w:bCs/>
      <w:color w:val="0D9488"/>
      <w:sz w:val="32"/>
      <w:szCs w:val="32"/>
    </w:rPr>
  </w:style>
  <w:style w:type="paragraph" w:styleId="Heading2">
    <w:name w:val="Heading 2"/>
    <w:basedOn w:val="Normal"/>
    <w:next w:val="Normal"/>
    <w:qFormat/>
    <w:pPr>
      <w:spacing w:after="100" w:before="220"/>
    </w:pPr>
    <w:rPr>
      <w:rFonts w:ascii="Segoe UI Semibold" w:cs="Segoe UI Semibold" w:eastAsia="Segoe UI Semibold" w:hAnsi="Segoe UI Semibold"/>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2026-07-31T13:48:15.005Z</dcterms:created>
  <dcterms:modified xsi:type="dcterms:W3CDTF">2026-07-31T13:48:15.006Z</dcterms:modified>
</cp:coreProperties>
</file>

<file path=docProps/custom.xml><?xml version="1.0" encoding="utf-8"?>
<Properties xmlns="http://schemas.openxmlformats.org/officeDocument/2006/custom-properties" xmlns:vt="http://schemas.openxmlformats.org/officeDocument/2006/docPropsVTypes"/>
</file>