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i7b73onh4r" w:id="0"/>
      <w:bookmarkEnd w:id="0"/>
      <w:r w:rsidDel="00000000" w:rsidR="00000000" w:rsidRPr="00000000">
        <w:rPr>
          <w:rtl w:val="0"/>
        </w:rPr>
        <w:t xml:space="preserve">Document sur les diagrammes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7jinibhkvzhy" w:id="1"/>
      <w:bookmarkEnd w:id="1"/>
      <w:r w:rsidDel="00000000" w:rsidR="00000000" w:rsidRPr="00000000">
        <w:rPr>
          <w:rtl w:val="0"/>
        </w:rPr>
        <w:t xml:space="preserve">Diagramme de context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pwoyirpso5ha" w:id="2"/>
      <w:bookmarkEnd w:id="2"/>
      <w:r w:rsidDel="00000000" w:rsidR="00000000" w:rsidRPr="00000000">
        <w:rPr>
          <w:rtl w:val="0"/>
        </w:rPr>
        <w:t xml:space="preserve">Diagramme de cas d’utilisation :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420404" cy="770847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0404" cy="7708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6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y4vmczbec4xa" w:id="3"/>
      <w:bookmarkEnd w:id="3"/>
      <w:r w:rsidDel="00000000" w:rsidR="00000000" w:rsidRPr="00000000">
        <w:rPr>
          <w:rtl w:val="0"/>
        </w:rPr>
        <w:t xml:space="preserve">Diagramme de classe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862638" cy="77416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774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