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rFonts w:ascii="Arial" w:cs="Arial" w:eastAsia="Arial" w:hAnsi="Arial"/>
          <w:b w:val="false"/>
          <w:bCs w:val="false"/>
          <w:i w:val="false"/>
          <w:iCs w:val="false"/>
          <w:color w:val="1A1A1A"/>
          <w:sz w:val="22"/>
          <w:szCs w:val="22"/>
        </w:rPr>
        <w:t xml:space="preserve"/>
      </w:r>
    </w:p>
    <w:p>
      <w:pPr>
        <w:spacing w:before="0" w:after="80"/>
        <w:jc w:val="center"/>
      </w:pPr>
      <w:r>
        <w:rPr>
          <w:rFonts w:ascii="Arial" w:cs="Arial" w:eastAsia="Arial" w:hAnsi="Arial"/>
          <w:b/>
          <w:bCs/>
          <w:color w:val="1A3A5C"/>
          <w:sz w:val="64"/>
          <w:szCs w:val="64"/>
        </w:rPr>
        <w:t xml:space="preserve">FXN SASU</w:t>
      </w:r>
    </w:p>
    <w:p>
      <w:pPr>
        <w:spacing w:before="0" w:after="80"/>
        <w:jc w:val="center"/>
      </w:pPr>
      <w:r>
        <w:rPr>
          <w:rFonts w:ascii="Arial" w:cs="Arial" w:eastAsia="Arial" w:hAnsi="Arial"/>
          <w:color w:val="2E6DA4"/>
          <w:sz w:val="24"/>
          <w:szCs w:val="24"/>
        </w:rPr>
        <w:t xml:space="preserve">───────────────────────────────────</w:t>
      </w:r>
    </w:p>
    <w:p>
      <w:pPr>
        <w:spacing w:before="0" w:after="80"/>
        <w:jc w:val="center"/>
      </w:pPr>
      <w:r>
        <w:rPr>
          <w:rFonts w:ascii="Arial" w:cs="Arial" w:eastAsia="Arial" w:hAnsi="Arial"/>
          <w:b/>
          <w:bCs/>
          <w:color w:val="2E6DA4"/>
          <w:sz w:val="44"/>
          <w:szCs w:val="44"/>
        </w:rPr>
        <w:t xml:space="preserve">CAHIER DES CHARGES</w:t>
      </w:r>
    </w:p>
    <w:p>
      <w:pPr>
        <w:spacing w:before="0" w:after="60"/>
        <w:jc w:val="center"/>
      </w:pPr>
      <w:r>
        <w:rPr>
          <w:rFonts w:ascii="Arial" w:cs="Arial" w:eastAsia="Arial" w:hAnsi="Arial"/>
          <w:b w:val="false"/>
          <w:bCs w:val="false"/>
          <w:color w:val="E07B2A"/>
          <w:sz w:val="30"/>
          <w:szCs w:val="30"/>
        </w:rPr>
        <w:t xml:space="preserve">Accession au Rang 1 — Opérateurs Nationaux</w:t>
      </w:r>
    </w:p>
    <w:p>
      <w:pPr>
        <w:spacing w:before="0" w:after="300"/>
        <w:jc w:val="center"/>
      </w:pPr>
      <w:r>
        <w:rPr>
          <w:rFonts w:ascii="Arial" w:cs="Arial" w:eastAsia="Arial" w:hAnsi="Arial"/>
          <w:i/>
          <w:iCs/>
          <w:color w:val="444444"/>
          <w:sz w:val="26"/>
          <w:szCs w:val="26"/>
        </w:rPr>
        <w:t xml:space="preserve">Orange · SFR · Bouygues Telecom · Free</w:t>
      </w:r>
    </w:p>
    <w:p>
      <w:pPr>
        <w:spacing w:before="300" w:after="0"/>
      </w:pPr>
      <w:r>
        <w:rPr>
          <w:rFonts w:ascii="Arial" w:cs="Arial" w:eastAsia="Arial" w:hAnsi="Arial"/>
          <w:b w:val="false"/>
          <w:bCs w:val="false"/>
          <w:i w:val="false"/>
          <w:iCs w:val="false"/>
          <w:color w:val="1A1A1A"/>
          <w:sz w:val="22"/>
          <w:szCs w:val="22"/>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Version</w:t>
            </w:r>
          </w:p>
        </w:tc>
        <w:tc>
          <w:tcPr>
            <w:tcW w:type="dxa" w:w="35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1.0 — Mars 2026</w:t>
            </w:r>
          </w:p>
        </w:tc>
      </w:tr>
      <w:tr>
        <w:tc>
          <w:tcPr>
            <w:tcW w:type="dxa" w:w="35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Portée</w:t>
            </w:r>
          </w:p>
        </w:tc>
        <w:tc>
          <w:tcPr>
            <w:tcW w:type="dxa" w:w="35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Nationale — Horizon 3-5 ans</w:t>
            </w:r>
          </w:p>
        </w:tc>
      </w:tr>
      <w:tr>
        <w:tc>
          <w:tcPr>
            <w:tcW w:type="dxa" w:w="35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Émetteur</w:t>
            </w:r>
          </w:p>
        </w:tc>
        <w:tc>
          <w:tcPr>
            <w:tcW w:type="dxa" w:w="35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FXN SASU — Direction Générale</w:t>
            </w:r>
          </w:p>
        </w:tc>
      </w:tr>
      <w:tr>
        <w:tc>
          <w:tcPr>
            <w:tcW w:type="dxa" w:w="35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Statut</w:t>
            </w:r>
          </w:p>
        </w:tc>
        <w:tc>
          <w:tcPr>
            <w:tcW w:type="dxa" w:w="35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Confidentiel — Usage interne</w:t>
            </w:r>
          </w:p>
        </w:tc>
      </w:tr>
    </w:tbl>
    <w:p>
      <w:r>
        <w:br w:type="page"/>
      </w:r>
    </w:p>
    <w:p>
      <w:pPr>
        <w:pStyle w:val="Heading1"/>
        <w:pBdr>
          <w:bottom w:val="single" w:color="1A3A5C" w:sz="6" w:space="6"/>
        </w:pBdr>
        <w:spacing w:before="480" w:after="160"/>
      </w:pPr>
      <w:r>
        <w:rPr>
          <w:rFonts w:ascii="Arial" w:cs="Arial" w:eastAsia="Arial" w:hAnsi="Arial"/>
          <w:b/>
          <w:bCs/>
          <w:color w:val="1A3A5C"/>
          <w:sz w:val="36"/>
          <w:szCs w:val="36"/>
        </w:rPr>
        <w:t xml:space="preserve">1. Introduction et contexte stratégique</w:t>
      </w:r>
    </w:p>
    <w:p>
      <w:pPr>
        <w:pStyle w:val="Heading2"/>
        <w:spacing w:before="360" w:after="120"/>
      </w:pPr>
      <w:r>
        <w:rPr>
          <w:rFonts w:ascii="Arial" w:cs="Arial" w:eastAsia="Arial" w:hAnsi="Arial"/>
          <w:b/>
          <w:bCs/>
          <w:color w:val="2E6DA4"/>
          <w:sz w:val="28"/>
          <w:szCs w:val="28"/>
        </w:rPr>
        <w:t xml:space="preserve">1.1 Objet du document</w:t>
      </w:r>
    </w:p>
    <w:p>
      <w:pPr>
        <w:spacing w:before="80" w:after="80"/>
        <w:jc w:val="both"/>
      </w:pPr>
      <w:r>
        <w:rPr>
          <w:rFonts w:ascii="Arial" w:cs="Arial" w:eastAsia="Arial" w:hAnsi="Arial"/>
          <w:b w:val="false"/>
          <w:bCs w:val="false"/>
          <w:i w:val="false"/>
          <w:iCs w:val="false"/>
          <w:color w:val="1A1A1A"/>
          <w:sz w:val="22"/>
          <w:szCs w:val="22"/>
        </w:rPr>
        <w:t xml:space="preserve">Le présent cahier des charges définit l'ensemble des exigences, jalons et livrables nécessaires à la transformation de FXN SASU d'un sous-traitant de rang 2 en sous-traitant de rang 1 homologué, travaillant directement avec les quatre opérateurs nationaux : Orange, SFR, Bouygues Telecom et Free (Iliad).</w:t>
      </w:r>
    </w:p>
    <w:p>
      <w:pPr>
        <w:spacing w:before="80" w:after="80"/>
        <w:jc w:val="both"/>
      </w:pPr>
      <w:r>
        <w:rPr>
          <w:rFonts w:ascii="Arial" w:cs="Arial" w:eastAsia="Arial" w:hAnsi="Arial"/>
          <w:b w:val="false"/>
          <w:bCs w:val="false"/>
          <w:i w:val="false"/>
          <w:iCs w:val="false"/>
          <w:color w:val="1A1A1A"/>
          <w:sz w:val="22"/>
          <w:szCs w:val="22"/>
        </w:rPr>
        <w:t xml:space="preserve">Il constitue à la fois un référentiel interne de transformation et un document de positionnement vis-à-vis des partenaires institutionnels (ARCEP, URSSAF, opérateurs).</w:t>
      </w:r>
    </w:p>
    <w:p>
      <w:pPr>
        <w:pStyle w:val="Heading2"/>
        <w:spacing w:before="360" w:after="120"/>
      </w:pPr>
      <w:r>
        <w:rPr>
          <w:rFonts w:ascii="Arial" w:cs="Arial" w:eastAsia="Arial" w:hAnsi="Arial"/>
          <w:b/>
          <w:bCs/>
          <w:color w:val="2E6DA4"/>
          <w:sz w:val="28"/>
          <w:szCs w:val="28"/>
        </w:rPr>
        <w:t xml:space="preserve">1.2 Situation actuelle de FXN SASU</w:t>
      </w:r>
    </w:p>
    <w:p>
      <w:pPr>
        <w:spacing w:before="80" w:after="80"/>
        <w:jc w:val="both"/>
      </w:pPr>
      <w:r>
        <w:rPr>
          <w:rFonts w:ascii="Arial" w:cs="Arial" w:eastAsia="Arial" w:hAnsi="Arial"/>
          <w:b w:val="false"/>
          <w:bCs w:val="false"/>
          <w:i w:val="false"/>
          <w:iCs w:val="false"/>
          <w:color w:val="1A1A1A"/>
          <w:sz w:val="22"/>
          <w:szCs w:val="22"/>
        </w:rPr>
        <w:t xml:space="preserve">FXN SASU opère aujourd'hui comme sous-traitant de rang 2 via ERT Technologie sur les projets SFR (plateforme Osiris), et développe en parallèle FXN ERP — un système de gestion des interventions propriétaire dédié aux sous-traitants fibre optique.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Dimension</w:t>
            </w:r>
          </w:p>
        </w:tc>
        <w:tc>
          <w:tcPr>
            <w:tcW w:type="dxa" w:w="328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Situation actuelle</w:t>
            </w:r>
          </w:p>
        </w:tc>
        <w:tc>
          <w:tcPr>
            <w:tcW w:type="dxa" w:w="328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Cible rang 1</w:t>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Rang</w:t>
            </w:r>
          </w:p>
        </w:tc>
        <w:tc>
          <w:tcPr>
            <w:tcW w:type="dxa" w:w="3280"/>
            <w:tcBorders>
              <w:top w:val="single" w:color="BBCFE0" w:sz="1"/>
              <w:left w:val="single" w:color="BBCFE0" w:sz="1"/>
              <w:bottom w:val="single" w:color="BBCFE0" w:sz="1"/>
              <w:right w:val="single" w:color="BBCFE0" w:sz="1"/>
            </w:tcBorders>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Rang 2 (via ERT/Circet)</w:t>
            </w:r>
          </w:p>
        </w:tc>
        <w:tc>
          <w:tcPr>
            <w:tcW w:type="dxa" w:w="328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Rang 1 direct opérateur</w:t>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Contrats</w:t>
            </w:r>
          </w:p>
        </w:tc>
        <w:tc>
          <w:tcPr>
            <w:tcW w:type="dxa" w:w="3280"/>
            <w:tcBorders>
              <w:top w:val="single" w:color="BBCFE0" w:sz="1"/>
              <w:left w:val="single" w:color="BBCFE0" w:sz="1"/>
              <w:bottom w:val="single" w:color="BBCFE0" w:sz="1"/>
              <w:right w:val="single" w:color="BBCFE0" w:sz="1"/>
            </w:tcBorders>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SFR (Osiris) via ERT</w:t>
            </w:r>
          </w:p>
        </w:tc>
        <w:tc>
          <w:tcPr>
            <w:tcW w:type="dxa" w:w="328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Orange, SFR, Bouygues, Free</w:t>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Outillage</w:t>
            </w:r>
          </w:p>
        </w:tc>
        <w:tc>
          <w:tcPr>
            <w:tcW w:type="dxa" w:w="3280"/>
            <w:tcBorders>
              <w:top w:val="single" w:color="BBCFE0" w:sz="1"/>
              <w:left w:val="single" w:color="BBCFE0" w:sz="1"/>
              <w:bottom w:val="single" w:color="BBCFE0" w:sz="1"/>
              <w:right w:val="single" w:color="BBCFE0" w:sz="1"/>
            </w:tcBorders>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FXN ERP en développement</w:t>
            </w:r>
          </w:p>
        </w:tc>
        <w:tc>
          <w:tcPr>
            <w:tcW w:type="dxa" w:w="328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FXN ERP certifié, intégré SI opérateurs</w:t>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Volume</w:t>
            </w:r>
          </w:p>
        </w:tc>
        <w:tc>
          <w:tcPr>
            <w:tcW w:type="dxa" w:w="3280"/>
            <w:tcBorders>
              <w:top w:val="single" w:color="BBCFE0" w:sz="1"/>
              <w:left w:val="single" w:color="BBCFE0" w:sz="1"/>
              <w:bottom w:val="single" w:color="BBCFE0" w:sz="1"/>
              <w:right w:val="single" w:color="BBCFE0" w:sz="1"/>
            </w:tcBorders>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Équipe réduite, 1 zone</w:t>
            </w:r>
          </w:p>
        </w:tc>
        <w:tc>
          <w:tcPr>
            <w:tcW w:type="dxa" w:w="328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10+ techniciens, couverture nationale</w:t>
            </w:r>
          </w:p>
        </w:tc>
      </w:tr>
    </w:tbl>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60" w:after="120"/>
      </w:pPr>
      <w:r>
        <w:rPr>
          <w:rFonts w:ascii="Arial" w:cs="Arial" w:eastAsia="Arial" w:hAnsi="Arial"/>
          <w:b/>
          <w:bCs/>
          <w:color w:val="2E6DA4"/>
          <w:sz w:val="28"/>
          <w:szCs w:val="28"/>
        </w:rPr>
        <w:t xml:space="preserve">1.3 Enjeux réglementaires</w:t>
      </w:r>
    </w:p>
    <w:p>
      <w:pPr>
        <w:spacing w:before="80" w:after="80"/>
        <w:jc w:val="both"/>
      </w:pPr>
      <w:r>
        <w:rPr>
          <w:rFonts w:ascii="Arial" w:cs="Arial" w:eastAsia="Arial" w:hAnsi="Arial"/>
          <w:b w:val="false"/>
          <w:bCs w:val="false"/>
          <w:i w:val="false"/>
          <w:iCs w:val="false"/>
          <w:color w:val="1A1A1A"/>
          <w:sz w:val="22"/>
          <w:szCs w:val="22"/>
        </w:rPr>
        <w:t xml:space="preserve">La loi issue de la PPL Chaize (adoptée par le Sénat en 2023) impose la labellisation des intervenants, la remise d'un certificat de conformité à chaque raccordement, et limite la sous-traitance en cascade à deux rangs maximum. Dans les zones fibrées et les communes en fermeture du cuivre (2025-2030), le mode STOC est progressivement interdit pour les raccordements longs et complexes.</w:t>
      </w:r>
    </w:p>
    <w:p>
      <w:pPr>
        <w:spacing w:before="80" w:after="80"/>
        <w:jc w:val="both"/>
      </w:pPr>
      <w:r>
        <w:rPr>
          <w:rFonts w:ascii="Arial" w:cs="Arial" w:eastAsia="Arial" w:hAnsi="Arial"/>
          <w:b w:val="false"/>
          <w:bCs w:val="false"/>
          <w:i w:val="false"/>
          <w:iCs w:val="false"/>
          <w:color w:val="1A1A1A"/>
          <w:sz w:val="22"/>
          <w:szCs w:val="22"/>
        </w:rPr>
        <w:t xml:space="preserve">Ces contraintes réglementaires créent une opportunité de marché pour les sous-traitants structurés capables de prouver leur conformité ARCEP et URSSAF — ce que FXN ERP rend possible de façon native.</w:t>
      </w:r>
    </w:p>
    <w:p>
      <w:r>
        <w:br w:type="page"/>
      </w:r>
    </w:p>
    <w:p>
      <w:pPr>
        <w:pStyle w:val="Heading1"/>
        <w:pBdr>
          <w:bottom w:val="single" w:color="1A3A5C" w:sz="6" w:space="6"/>
        </w:pBdr>
        <w:spacing w:before="480" w:after="160"/>
      </w:pPr>
      <w:r>
        <w:rPr>
          <w:rFonts w:ascii="Arial" w:cs="Arial" w:eastAsia="Arial" w:hAnsi="Arial"/>
          <w:b/>
          <w:bCs/>
          <w:color w:val="1A3A5C"/>
          <w:sz w:val="36"/>
          <w:szCs w:val="36"/>
        </w:rPr>
        <w:t xml:space="preserve">2. Feuille de route — 3 phases sur 5 ans</w:t>
      </w:r>
    </w:p>
    <w:p>
      <w:pPr>
        <w:pStyle w:val="Heading2"/>
        <w:spacing w:before="360" w:after="120"/>
      </w:pPr>
      <w:r>
        <w:rPr>
          <w:rFonts w:ascii="Arial" w:cs="Arial" w:eastAsia="Arial" w:hAnsi="Arial"/>
          <w:b/>
          <w:bCs/>
          <w:color w:val="2E6DA4"/>
          <w:sz w:val="28"/>
          <w:szCs w:val="28"/>
        </w:rPr>
        <w:t xml:space="preserve">2.1 Vue d'ensemble des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80"/>
        <w:gridCol w:w="2880"/>
      </w:tblGrid>
      <w:tr>
        <w:trPr>
          <w:tblHeader/>
        </w:trPr>
        <w:tc>
          <w:tcPr>
            <w:tcW w:type="dxa" w:w="14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Phase</w:t>
            </w:r>
          </w:p>
        </w:tc>
        <w:tc>
          <w:tcPr>
            <w:tcW w:type="dxa" w:w="22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Période</w:t>
            </w:r>
          </w:p>
        </w:tc>
        <w:tc>
          <w:tcPr>
            <w:tcW w:type="dxa" w:w="288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Objectif</w:t>
            </w:r>
          </w:p>
        </w:tc>
        <w:tc>
          <w:tcPr>
            <w:tcW w:type="dxa" w:w="288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Résultat clé</w:t>
            </w:r>
          </w:p>
        </w:tc>
      </w:tr>
      <w:tr>
        <w:tc>
          <w:tcPr>
            <w:tcW w:type="dxa" w:w="1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bCs/>
                <w:color w:val="1A3A5C"/>
                <w:sz w:val="20"/>
                <w:szCs w:val="20"/>
              </w:rPr>
              <w:t xml:space="preserve">Phase 1</w:t>
            </w:r>
          </w:p>
        </w:tc>
        <w:tc>
          <w:tcPr>
            <w:tcW w:type="dxa" w:w="2200"/>
            <w:tcBorders>
              <w:top w:val="single" w:color="BBCFE0" w:sz="1"/>
              <w:left w:val="single" w:color="BBCFE0" w:sz="1"/>
              <w:bottom w:val="single" w:color="BBCFE0" w:sz="1"/>
              <w:right w:val="single" w:color="BBCFE0" w:sz="1"/>
            </w:tcBorders>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M0 → M18</w:t>
            </w:r>
          </w:p>
        </w:tc>
        <w:tc>
          <w:tcPr>
            <w:tcW w:type="dxa" w:w="288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Structuration &amp; certification</w:t>
            </w:r>
          </w:p>
        </w:tc>
        <w:tc>
          <w:tcPr>
            <w:tcW w:type="dxa" w:w="2880"/>
            <w:tcBorders>
              <w:top w:val="single" w:color="BBCFE0" w:sz="1"/>
              <w:left w:val="single" w:color="BBCFE0" w:sz="1"/>
              <w:bottom w:val="single" w:color="BBCFE0" w:sz="1"/>
              <w:right w:val="single" w:color="BBCFE0" w:sz="1"/>
            </w:tcBorders>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Labellisation Infranum + FXN ERP v1.0</w:t>
            </w:r>
          </w:p>
        </w:tc>
      </w:tr>
      <w:tr>
        <w:tc>
          <w:tcPr>
            <w:tcW w:type="dxa" w:w="1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bCs/>
                <w:color w:val="1A3A5C"/>
                <w:sz w:val="20"/>
                <w:szCs w:val="20"/>
              </w:rPr>
              <w:t xml:space="preserve">Phase 2</w:t>
            </w:r>
          </w:p>
        </w:tc>
        <w:tc>
          <w:tcPr>
            <w:tcW w:type="dxa" w:w="2200"/>
            <w:tcBorders>
              <w:top w:val="single" w:color="BBCFE0" w:sz="1"/>
              <w:left w:val="single" w:color="BBCFE0" w:sz="1"/>
              <w:bottom w:val="single" w:color="BBCFE0" w:sz="1"/>
              <w:right w:val="single" w:color="BBCFE0" w:sz="1"/>
            </w:tcBorders>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M18 → M36</w:t>
            </w:r>
          </w:p>
        </w:tc>
        <w:tc>
          <w:tcPr>
            <w:tcW w:type="dxa" w:w="288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Pilote rang 1 (1 opérateur, 1 zone)</w:t>
            </w:r>
          </w:p>
        </w:tc>
        <w:tc>
          <w:tcPr>
            <w:tcW w:type="dxa" w:w="2880"/>
            <w:tcBorders>
              <w:top w:val="single" w:color="BBCFE0" w:sz="1"/>
              <w:left w:val="single" w:color="BBCFE0" w:sz="1"/>
              <w:bottom w:val="single" w:color="BBCFE0" w:sz="1"/>
              <w:right w:val="single" w:color="BBCFE0" w:sz="1"/>
            </w:tcBorders>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Contrat direct SFR ou Orange (région)</w:t>
            </w:r>
          </w:p>
        </w:tc>
      </w:tr>
      <w:tr>
        <w:tc>
          <w:tcPr>
            <w:tcW w:type="dxa" w:w="1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bCs/>
                <w:color w:val="1A3A5C"/>
                <w:sz w:val="20"/>
                <w:szCs w:val="20"/>
              </w:rPr>
              <w:t xml:space="preserve">Phase 3</w:t>
            </w:r>
          </w:p>
        </w:tc>
        <w:tc>
          <w:tcPr>
            <w:tcW w:type="dxa" w:w="2200"/>
            <w:tcBorders>
              <w:top w:val="single" w:color="BBCFE0" w:sz="1"/>
              <w:left w:val="single" w:color="BBCFE0" w:sz="1"/>
              <w:bottom w:val="single" w:color="BBCFE0" w:sz="1"/>
              <w:right w:val="single" w:color="BBCFE0" w:sz="1"/>
            </w:tcBorders>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M36 → M60</w:t>
            </w:r>
          </w:p>
        </w:tc>
        <w:tc>
          <w:tcPr>
            <w:tcW w:type="dxa" w:w="288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Déploiement national multi-opérateurs</w:t>
            </w:r>
          </w:p>
        </w:tc>
        <w:tc>
          <w:tcPr>
            <w:tcW w:type="dxa" w:w="2880"/>
            <w:tcBorders>
              <w:top w:val="single" w:color="BBCFE0" w:sz="1"/>
              <w:left w:val="single" w:color="BBCFE0" w:sz="1"/>
              <w:bottom w:val="single" w:color="BBCFE0" w:sz="1"/>
              <w:right w:val="single" w:color="BBCFE0" w:sz="1"/>
            </w:tcBorders>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4 opérateurs, couverture nationale</w:t>
            </w:r>
          </w:p>
        </w:tc>
      </w:tr>
    </w:tbl>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60" w:after="120"/>
      </w:pPr>
      <w:r>
        <w:rPr>
          <w:rFonts w:ascii="Arial" w:cs="Arial" w:eastAsia="Arial" w:hAnsi="Arial"/>
          <w:b/>
          <w:bCs/>
          <w:color w:val="2E6DA4"/>
          <w:sz w:val="28"/>
          <w:szCs w:val="28"/>
        </w:rPr>
        <w:t xml:space="preserve">2.2 Phase 1 — Structuration (M0 à M18)</w:t>
      </w:r>
    </w:p>
    <w:p>
      <w:pPr>
        <w:pStyle w:val="Heading3"/>
        <w:spacing w:before="240" w:after="80"/>
      </w:pPr>
      <w:r>
        <w:rPr>
          <w:rFonts w:ascii="Arial" w:cs="Arial" w:eastAsia="Arial" w:hAnsi="Arial"/>
          <w:b/>
          <w:bCs/>
          <w:color w:val="1A3A5C"/>
          <w:sz w:val="24"/>
          <w:szCs w:val="24"/>
        </w:rPr>
        <w:t xml:space="preserve">Objectifs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Obtenir la labellisation Infranum (référentiel qualité fibre)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Déployer FXN ERP v1.0 en production avec module CRI, e-intervention et suivi ARCEP</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Constituer une équipe de 5 techniciens certifiés (FNTP / Qualifélec mention fibre)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Mettre en conformité sociale et fiscale totale (URSSAF, BTP, PRO BTP)</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Réaliser 500 interventions traçées, zéro malfaçon non reprise sous 30 jours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Rédiger le dossier de candidature rang 1 pour au moins un opérateur</w:t>
      </w:r>
    </w:p>
    <w:p>
      <w:pPr>
        <w:pStyle w:val="Heading3"/>
        <w:spacing w:before="240" w:after="80"/>
      </w:pPr>
      <w:r>
        <w:rPr>
          <w:rFonts w:ascii="Arial" w:cs="Arial" w:eastAsia="Arial" w:hAnsi="Arial"/>
          <w:b/>
          <w:bCs/>
          <w:color w:val="1A3A5C"/>
          <w:sz w:val="24"/>
          <w:szCs w:val="24"/>
        </w:rPr>
        <w:t xml:space="preserve">Jalons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3900"/>
      </w:tblGrid>
      <w:tr>
        <w:trPr>
          <w:tblHeader/>
        </w:trPr>
        <w:tc>
          <w:tcPr>
            <w:tcW w:type="dxa" w:w="9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Mois</w:t>
            </w:r>
          </w:p>
        </w:tc>
        <w:tc>
          <w:tcPr>
            <w:tcW w:type="dxa" w:w="45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Jalon</w:t>
            </w:r>
          </w:p>
        </w:tc>
        <w:tc>
          <w:tcPr>
            <w:tcW w:type="dxa" w:w="39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Livrable</w:t>
            </w:r>
          </w:p>
        </w:tc>
      </w:tr>
      <w:tr>
        <w:tc>
          <w:tcPr>
            <w:tcW w:type="dxa" w:w="9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M1</w:t>
            </w:r>
          </w:p>
        </w:tc>
        <w:tc>
          <w:tcPr>
            <w:tcW w:type="dxa" w:w="4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Audit interne de conformité ARCEP/URSSAF</w:t>
            </w:r>
          </w:p>
        </w:tc>
        <w:tc>
          <w:tcPr>
            <w:tcW w:type="dxa" w:w="39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Rapport d'audit + plan d'action</w:t>
            </w:r>
          </w:p>
        </w:tc>
      </w:tr>
      <w:tr>
        <w:tc>
          <w:tcPr>
            <w:tcW w:type="dxa" w:w="9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M2</w:t>
            </w:r>
          </w:p>
        </w:tc>
        <w:tc>
          <w:tcPr>
            <w:tcW w:type="dxa" w:w="4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Dépôt dossier labellisation Infranum</w:t>
            </w:r>
          </w:p>
        </w:tc>
        <w:tc>
          <w:tcPr>
            <w:tcW w:type="dxa" w:w="39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Dossier complet + justificatifs</w:t>
            </w:r>
          </w:p>
        </w:tc>
      </w:tr>
      <w:tr>
        <w:tc>
          <w:tcPr>
            <w:tcW w:type="dxa" w:w="9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M4</w:t>
            </w:r>
          </w:p>
        </w:tc>
        <w:tc>
          <w:tcPr>
            <w:tcW w:type="dxa" w:w="4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FXN ERP v1.0 — Module CRI + e-intervention</w:t>
            </w:r>
          </w:p>
        </w:tc>
        <w:tc>
          <w:tcPr>
            <w:tcW w:type="dxa" w:w="39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Application déployée + documentation</w:t>
            </w:r>
          </w:p>
        </w:tc>
      </w:tr>
      <w:tr>
        <w:tc>
          <w:tcPr>
            <w:tcW w:type="dxa" w:w="9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M6</w:t>
            </w:r>
          </w:p>
        </w:tc>
        <w:tc>
          <w:tcPr>
            <w:tcW w:type="dxa" w:w="4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5 techniciens certifiés FNTP/Qualifélec</w:t>
            </w:r>
          </w:p>
        </w:tc>
        <w:tc>
          <w:tcPr>
            <w:tcW w:type="dxa" w:w="39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Attestations + livret de formation</w:t>
            </w:r>
          </w:p>
        </w:tc>
      </w:tr>
      <w:tr>
        <w:tc>
          <w:tcPr>
            <w:tcW w:type="dxa" w:w="9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M9</w:t>
            </w:r>
          </w:p>
        </w:tc>
        <w:tc>
          <w:tcPr>
            <w:tcW w:type="dxa" w:w="4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Labellisation Infranum obtenue</w:t>
            </w:r>
          </w:p>
        </w:tc>
        <w:tc>
          <w:tcPr>
            <w:tcW w:type="dxa" w:w="39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Certificat + numéro de label</w:t>
            </w:r>
          </w:p>
        </w:tc>
      </w:tr>
      <w:tr>
        <w:tc>
          <w:tcPr>
            <w:tcW w:type="dxa" w:w="9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M12</w:t>
            </w:r>
          </w:p>
        </w:tc>
        <w:tc>
          <w:tcPr>
            <w:tcW w:type="dxa" w:w="4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500 interventions tracées dans FXN ERP</w:t>
            </w:r>
          </w:p>
        </w:tc>
        <w:tc>
          <w:tcPr>
            <w:tcW w:type="dxa" w:w="39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Export KPIs : taux malfaçons, délais</w:t>
            </w:r>
          </w:p>
        </w:tc>
      </w:tr>
      <w:tr>
        <w:tc>
          <w:tcPr>
            <w:tcW w:type="dxa" w:w="9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M15</w:t>
            </w:r>
          </w:p>
        </w:tc>
        <w:tc>
          <w:tcPr>
            <w:tcW w:type="dxa" w:w="4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Dossier candidature rang 1 rédigé</w:t>
            </w:r>
          </w:p>
        </w:tc>
        <w:tc>
          <w:tcPr>
            <w:tcW w:type="dxa" w:w="39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Dossier formel + références chiffrées</w:t>
            </w:r>
          </w:p>
        </w:tc>
      </w:tr>
      <w:tr>
        <w:tc>
          <w:tcPr>
            <w:tcW w:type="dxa" w:w="9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M18</w:t>
            </w:r>
          </w:p>
        </w:tc>
        <w:tc>
          <w:tcPr>
            <w:tcW w:type="dxa" w:w="4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Signature lettre d'intention / pilote</w:t>
            </w:r>
          </w:p>
        </w:tc>
        <w:tc>
          <w:tcPr>
            <w:tcW w:type="dxa" w:w="39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LOI ou pré-accord avec 1 opérateur</w:t>
            </w:r>
          </w:p>
        </w:tc>
      </w:tr>
    </w:tbl>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60" w:after="120"/>
      </w:pPr>
      <w:r>
        <w:rPr>
          <w:rFonts w:ascii="Arial" w:cs="Arial" w:eastAsia="Arial" w:hAnsi="Arial"/>
          <w:b/>
          <w:bCs/>
          <w:color w:val="2E6DA4"/>
          <w:sz w:val="28"/>
          <w:szCs w:val="28"/>
        </w:rPr>
        <w:t xml:space="preserve">2.3 Phase 2 — Pilote rang 1 (M18 à M36)</w:t>
      </w:r>
    </w:p>
    <w:p>
      <w:pPr>
        <w:pStyle w:val="Heading3"/>
        <w:spacing w:before="240" w:after="80"/>
      </w:pPr>
      <w:r>
        <w:rPr>
          <w:rFonts w:ascii="Arial" w:cs="Arial" w:eastAsia="Arial" w:hAnsi="Arial"/>
          <w:b/>
          <w:bCs/>
          <w:color w:val="1A3A5C"/>
          <w:sz w:val="24"/>
          <w:szCs w:val="24"/>
        </w:rPr>
        <w:t xml:space="preserve">Objectifs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Opérer en rang 1 sur une zone géographique délimitée (département ou région) pour un opérateur</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Intégrer FXN ERP aux plateformes SI de l'opérateur pilote (API, flux CSV/EDI, e-intervention)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Atteindre les KPIs ARCEP exigés : taux malfaçons &lt; 2%, mises en service &lt; 60 jours à 95%</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Monter l'équipe à 10-15 techniciens, ouvrir 2 agences régionales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Préparer les dossiers pour les 3 opérateurs suivants</w:t>
      </w:r>
    </w:p>
    <w:p>
      <w:pPr>
        <w:pStyle w:val="Heading3"/>
        <w:spacing w:before="240" w:after="80"/>
      </w:pPr>
      <w:r>
        <w:rPr>
          <w:rFonts w:ascii="Arial" w:cs="Arial" w:eastAsia="Arial" w:hAnsi="Arial"/>
          <w:b/>
          <w:bCs/>
          <w:color w:val="1A3A5C"/>
          <w:sz w:val="24"/>
          <w:szCs w:val="24"/>
        </w:rPr>
        <w:t xml:space="preserve">Jalons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3900"/>
      </w:tblGrid>
      <w:tr>
        <w:trPr>
          <w:tblHeader/>
        </w:trPr>
        <w:tc>
          <w:tcPr>
            <w:tcW w:type="dxa" w:w="9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Mois</w:t>
            </w:r>
          </w:p>
        </w:tc>
        <w:tc>
          <w:tcPr>
            <w:tcW w:type="dxa" w:w="45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Jalon</w:t>
            </w:r>
          </w:p>
        </w:tc>
        <w:tc>
          <w:tcPr>
            <w:tcW w:type="dxa" w:w="39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Livrable</w:t>
            </w:r>
          </w:p>
        </w:tc>
      </w:tr>
      <w:tr>
        <w:tc>
          <w:tcPr>
            <w:tcW w:type="dxa" w:w="9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M18</w:t>
            </w:r>
          </w:p>
        </w:tc>
        <w:tc>
          <w:tcPr>
            <w:tcW w:type="dxa" w:w="4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Démarrage contrat pilote rang 1</w:t>
            </w:r>
          </w:p>
        </w:tc>
        <w:tc>
          <w:tcPr>
            <w:tcW w:type="dxa" w:w="39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Contrat signé + planning opérationnel</w:t>
            </w:r>
          </w:p>
        </w:tc>
      </w:tr>
      <w:tr>
        <w:tc>
          <w:tcPr>
            <w:tcW w:type="dxa" w:w="9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M21</w:t>
            </w:r>
          </w:p>
        </w:tc>
        <w:tc>
          <w:tcPr>
            <w:tcW w:type="dxa" w:w="4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Intégration FXN ERP ↔ SI opérateur</w:t>
            </w:r>
          </w:p>
        </w:tc>
        <w:tc>
          <w:tcPr>
            <w:tcW w:type="dxa" w:w="39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API fonctionnelle, flux automatisés</w:t>
            </w:r>
          </w:p>
        </w:tc>
      </w:tr>
      <w:tr>
        <w:tc>
          <w:tcPr>
            <w:tcW w:type="dxa" w:w="9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M24</w:t>
            </w:r>
          </w:p>
        </w:tc>
        <w:tc>
          <w:tcPr>
            <w:tcW w:type="dxa" w:w="4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Bilan mi-parcours pilote (KPIs ARCEP)</w:t>
            </w:r>
          </w:p>
        </w:tc>
        <w:tc>
          <w:tcPr>
            <w:tcW w:type="dxa" w:w="39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Rapport KPIs : malfaçons, délais, CRI</w:t>
            </w:r>
          </w:p>
        </w:tc>
      </w:tr>
      <w:tr>
        <w:tc>
          <w:tcPr>
            <w:tcW w:type="dxa" w:w="9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M27</w:t>
            </w:r>
          </w:p>
        </w:tc>
        <w:tc>
          <w:tcPr>
            <w:tcW w:type="dxa" w:w="4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Recrutement 10 techniciens certifiés</w:t>
            </w:r>
          </w:p>
        </w:tc>
        <w:tc>
          <w:tcPr>
            <w:tcW w:type="dxa" w:w="39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Contrats + dossiers habilitation</w:t>
            </w:r>
          </w:p>
        </w:tc>
      </w:tr>
      <w:tr>
        <w:tc>
          <w:tcPr>
            <w:tcW w:type="dxa" w:w="9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M30</w:t>
            </w:r>
          </w:p>
        </w:tc>
        <w:tc>
          <w:tcPr>
            <w:tcW w:type="dxa" w:w="4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Ouverture 2ème agence régionale</w:t>
            </w:r>
          </w:p>
        </w:tc>
        <w:tc>
          <w:tcPr>
            <w:tcW w:type="dxa" w:w="39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KBIS, équipements, zone couverte</w:t>
            </w:r>
          </w:p>
        </w:tc>
      </w:tr>
      <w:tr>
        <w:tc>
          <w:tcPr>
            <w:tcW w:type="dxa" w:w="9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M33</w:t>
            </w:r>
          </w:p>
        </w:tc>
        <w:tc>
          <w:tcPr>
            <w:tcW w:type="dxa" w:w="4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Candidature 2ème opérateur (ex. Orange)</w:t>
            </w:r>
          </w:p>
        </w:tc>
        <w:tc>
          <w:tcPr>
            <w:tcW w:type="dxa" w:w="39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Dossier formel + références pilote</w:t>
            </w:r>
          </w:p>
        </w:tc>
      </w:tr>
      <w:tr>
        <w:tc>
          <w:tcPr>
            <w:tcW w:type="dxa" w:w="9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M36</w:t>
            </w:r>
          </w:p>
        </w:tc>
        <w:tc>
          <w:tcPr>
            <w:tcW w:type="dxa" w:w="4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Bilan phase 2 + renouvellement contrat</w:t>
            </w:r>
          </w:p>
        </w:tc>
        <w:tc>
          <w:tcPr>
            <w:tcW w:type="dxa" w:w="39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Rapport annuel + avenant ou nouveau contrat</w:t>
            </w:r>
          </w:p>
        </w:tc>
      </w:tr>
    </w:tbl>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60" w:after="120"/>
      </w:pPr>
      <w:r>
        <w:rPr>
          <w:rFonts w:ascii="Arial" w:cs="Arial" w:eastAsia="Arial" w:hAnsi="Arial"/>
          <w:b/>
          <w:bCs/>
          <w:color w:val="2E6DA4"/>
          <w:sz w:val="28"/>
          <w:szCs w:val="28"/>
        </w:rPr>
        <w:t xml:space="preserve">2.4 Phase 3 — National multi-opérateurs (M36 à M60)</w:t>
      </w:r>
    </w:p>
    <w:p>
      <w:pPr>
        <w:pStyle w:val="Heading3"/>
        <w:spacing w:before="240" w:after="80"/>
      </w:pPr>
      <w:r>
        <w:rPr>
          <w:rFonts w:ascii="Arial" w:cs="Arial" w:eastAsia="Arial" w:hAnsi="Arial"/>
          <w:b/>
          <w:bCs/>
          <w:color w:val="1A3A5C"/>
          <w:sz w:val="24"/>
          <w:szCs w:val="24"/>
        </w:rPr>
        <w:t xml:space="preserve">Objectifs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Contractualiser avec les 4 opérateurs : Orange, SFR, Bouygues Telecom, Free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Couverture nationale : minimum 5 zones régionales, 30+ techniciens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FXN ERP positionné comme outil de référence pour les audits ARCEP et URSSAF</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Capacité à intégrer les RIP (Réseaux d'Initiative Publique) des collectivités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Dépôt de marque FXN ERP, partenariats Infranum, présence aux appels d'offres publics</w:t>
      </w:r>
    </w:p>
    <w:p>
      <w:r>
        <w:br w:type="page"/>
      </w:r>
    </w:p>
    <w:p>
      <w:pPr>
        <w:pStyle w:val="Heading1"/>
        <w:pBdr>
          <w:bottom w:val="single" w:color="1A3A5C" w:sz="6" w:space="6"/>
        </w:pBdr>
        <w:spacing w:before="480" w:after="160"/>
      </w:pPr>
      <w:r>
        <w:rPr>
          <w:rFonts w:ascii="Arial" w:cs="Arial" w:eastAsia="Arial" w:hAnsi="Arial"/>
          <w:b/>
          <w:bCs/>
          <w:color w:val="1A3A5C"/>
          <w:sz w:val="36"/>
          <w:szCs w:val="36"/>
        </w:rPr>
        <w:t xml:space="preserve">3. Exigences contractuelles par opérateur</w:t>
      </w:r>
    </w:p>
    <w:p>
      <w:pPr>
        <w:pStyle w:val="Heading2"/>
        <w:spacing w:before="360" w:after="120"/>
      </w:pPr>
      <w:r>
        <w:rPr>
          <w:rFonts w:ascii="Arial" w:cs="Arial" w:eastAsia="Arial" w:hAnsi="Arial"/>
          <w:b/>
          <w:bCs/>
          <w:color w:val="2E6DA4"/>
          <w:sz w:val="28"/>
          <w:szCs w:val="28"/>
        </w:rPr>
        <w:t xml:space="preserve">3.1 Exigences communes à tous les opérateurs</w:t>
      </w:r>
    </w:p>
    <w:p>
      <w:pPr>
        <w:spacing w:before="80" w:after="80"/>
        <w:jc w:val="both"/>
      </w:pPr>
      <w:r>
        <w:rPr>
          <w:rFonts w:ascii="Arial" w:cs="Arial" w:eastAsia="Arial" w:hAnsi="Arial"/>
          <w:b w:val="false"/>
          <w:bCs w:val="false"/>
          <w:i w:val="false"/>
          <w:iCs w:val="false"/>
          <w:color w:val="1A1A1A"/>
          <w:sz w:val="22"/>
          <w:szCs w:val="22"/>
        </w:rPr>
        <w:t xml:space="preserve">Les quatre opérateurs nationaux appliquent un socle commun d'exigences issues du cadre réglementaire ARCEP (décision n°2015-0776, engagements filière 2022) et des dispositions de la PPL Chaize. FXN SASU doit satisfaire l'intégralité de ce socle pour accéder au rang 1.</w:t>
      </w:r>
    </w:p>
    <w:p>
      <w:pPr>
        <w:spacing w:before="12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80"/>
        <w:gridCol w:w="2880"/>
      </w:tblGrid>
      <w:tr>
        <w:trPr>
          <w:tblHeader/>
        </w:trPr>
        <w:tc>
          <w:tcPr>
            <w:tcW w:type="dxa" w:w="20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Domaine</w:t>
            </w:r>
          </w:p>
        </w:tc>
        <w:tc>
          <w:tcPr>
            <w:tcW w:type="dxa" w:w="448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Exigence</w:t>
            </w:r>
          </w:p>
        </w:tc>
        <w:tc>
          <w:tcPr>
            <w:tcW w:type="dxa" w:w="288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Référence réglementaire</w:t>
            </w:r>
          </w:p>
        </w:tc>
      </w:tr>
      <w:tr>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Labellisation</w:t>
            </w:r>
          </w:p>
        </w:tc>
        <w:tc>
          <w:tcPr>
            <w:tcW w:type="dxa" w:w="4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Certification Infranum ou Qualifélec mention fibre pour tous les techniciens intervenant</w:t>
            </w:r>
          </w:p>
        </w:tc>
        <w:tc>
          <w:tcPr>
            <w:tcW w:type="dxa" w:w="28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PPL Chaize 2023, Art. 1</w:t>
            </w:r>
          </w:p>
        </w:tc>
      </w:tr>
      <w:tr>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Contrat STOC V2</w:t>
            </w:r>
          </w:p>
        </w:tc>
        <w:tc>
          <w:tcPr>
            <w:tcW w:type="dxa" w:w="4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Signature et respect du modèle contractuel STOC V2 : limitation 2 rangs de sous-traitance, interdiction travail dissimulé</w:t>
            </w:r>
          </w:p>
        </w:tc>
        <w:tc>
          <w:tcPr>
            <w:tcW w:type="dxa" w:w="28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Engagements filière sept. 2022</w:t>
            </w:r>
          </w:p>
        </w:tc>
      </w:tr>
      <w:tr>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CRI obligatoire</w:t>
            </w:r>
          </w:p>
        </w:tc>
        <w:tc>
          <w:tcPr>
            <w:tcW w:type="dxa" w:w="4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Compte rendu d'intervention avec photos avant/après sur 100% des interventions, transmis à l'OI sous 24h</w:t>
            </w:r>
          </w:p>
        </w:tc>
        <w:tc>
          <w:tcPr>
            <w:tcW w:type="dxa" w:w="28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Décision ARCEP 2015-0776</w:t>
            </w:r>
          </w:p>
        </w:tc>
      </w:tr>
      <w:tr>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e-intervention</w:t>
            </w:r>
          </w:p>
        </w:tc>
        <w:tc>
          <w:tcPr>
            <w:tcW w:type="dxa" w:w="4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Déclaration systématique avant accès PM/PBO via outil e-intervention de l'OI (Orange : INOE, SFR : Osiris...)</w:t>
            </w:r>
          </w:p>
        </w:tc>
        <w:tc>
          <w:tcPr>
            <w:tcW w:type="dxa" w:w="28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GT Qualité FttH ARCEP T2 2023</w:t>
            </w:r>
          </w:p>
        </w:tc>
      </w:tr>
      <w:tr>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Certificat conformité</w:t>
            </w:r>
          </w:p>
        </w:tc>
        <w:tc>
          <w:tcPr>
            <w:tcW w:type="dxa" w:w="4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Remise d'un certificat de conformité à l'abonné à l'issue de chaque raccordement</w:t>
            </w:r>
          </w:p>
        </w:tc>
        <w:tc>
          <w:tcPr>
            <w:tcW w:type="dxa" w:w="28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PPL Chaize 2023, Art. 1</w:t>
            </w:r>
          </w:p>
        </w:tc>
      </w:tr>
      <w:tr>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KPI malfaçons</w:t>
            </w:r>
          </w:p>
        </w:tc>
        <w:tc>
          <w:tcPr>
            <w:tcW w:type="dxa" w:w="4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Taux de raccordements non-conformes &lt; 2% mensuel, reprise sous 30 jours à 100%</w:t>
            </w:r>
          </w:p>
        </w:tc>
        <w:tc>
          <w:tcPr>
            <w:tcW w:type="dxa" w:w="28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Observatoire ARCEP qualité FttH</w:t>
            </w:r>
          </w:p>
        </w:tc>
      </w:tr>
      <w:tr>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Mise en service</w:t>
            </w:r>
          </w:p>
        </w:tc>
        <w:tc>
          <w:tcPr>
            <w:tcW w:type="dxa" w:w="4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95% des mises en service réalisées dans un délai &lt; 60 jours</w:t>
            </w:r>
          </w:p>
        </w:tc>
        <w:tc>
          <w:tcPr>
            <w:tcW w:type="dxa" w:w="28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Observatoire ARCEP mars 2025</w:t>
            </w:r>
          </w:p>
        </w:tc>
      </w:tr>
      <w:tr>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Sous-traitance</w:t>
            </w:r>
          </w:p>
        </w:tc>
        <w:tc>
          <w:tcPr>
            <w:tcW w:type="dxa" w:w="4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Interdiction formelle de sous-traiter à un rang 3, sauf accord exprès de l'OI</w:t>
            </w:r>
          </w:p>
        </w:tc>
        <w:tc>
          <w:tcPr>
            <w:tcW w:type="dxa" w:w="28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PPL Chaize 2023, Contrat STOC V2</w:t>
            </w:r>
          </w:p>
        </w:tc>
      </w:tr>
      <w:tr>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Conformité sociale</w:t>
            </w:r>
          </w:p>
        </w:tc>
        <w:tc>
          <w:tcPr>
            <w:tcW w:type="dxa" w:w="4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Attestations URSSAF à jour, DPAE systématique, absence de travailleurs détachés non déclarés</w:t>
            </w:r>
          </w:p>
        </w:tc>
        <w:tc>
          <w:tcPr>
            <w:tcW w:type="dxa" w:w="28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Code du travail, L.8222-1</w:t>
            </w:r>
          </w:p>
        </w:tc>
      </w:tr>
      <w:tr>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Assurances</w:t>
            </w:r>
          </w:p>
        </w:tc>
        <w:tc>
          <w:tcPr>
            <w:tcW w:type="dxa" w:w="4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RC Professionnelle et décennale à jour, montants conformes au cahier des charges de l'OI</w:t>
            </w:r>
          </w:p>
        </w:tc>
        <w:tc>
          <w:tcPr>
            <w:tcW w:type="dxa" w:w="28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Code des assurances</w:t>
            </w:r>
          </w:p>
        </w:tc>
      </w:tr>
    </w:tbl>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60" w:after="120"/>
      </w:pPr>
      <w:r>
        <w:rPr>
          <w:rFonts w:ascii="Arial" w:cs="Arial" w:eastAsia="Arial" w:hAnsi="Arial"/>
          <w:b/>
          <w:bCs/>
          <w:color w:val="2E6DA4"/>
          <w:sz w:val="28"/>
          <w:szCs w:val="28"/>
        </w:rPr>
        <w:t xml:space="preserve">3.2 Spécificités par opérateur</w:t>
      </w:r>
    </w:p>
    <w:p>
      <w:pPr>
        <w:pStyle w:val="Heading3"/>
        <w:spacing w:before="240" w:after="80"/>
      </w:pPr>
      <w:r>
        <w:rPr>
          <w:rFonts w:ascii="Arial" w:cs="Arial" w:eastAsia="Arial" w:hAnsi="Arial"/>
          <w:b/>
          <w:bCs/>
          <w:color w:val="1A3A5C"/>
          <w:sz w:val="24"/>
          <w:szCs w:val="24"/>
        </w:rPr>
        <w:t xml:space="preserve">Orange (OI + OC)</w:t>
      </w:r>
    </w:p>
    <w:p>
      <w:pPr>
        <w:spacing w:before="80" w:after="80"/>
        <w:jc w:val="both"/>
      </w:pPr>
      <w:r>
        <w:rPr>
          <w:rFonts w:ascii="Arial" w:cs="Arial" w:eastAsia="Arial" w:hAnsi="Arial"/>
          <w:b w:val="false"/>
          <w:bCs w:val="false"/>
          <w:i w:val="false"/>
          <w:iCs w:val="false"/>
          <w:color w:val="1A1A1A"/>
          <w:sz w:val="22"/>
          <w:szCs w:val="22"/>
        </w:rPr>
        <w:t xml:space="preserve">Orange est à la fois opérateur d'infrastructure et commercial. Ses sous-traitants rang 1 sont sélectionnés via des appels d'offres formels (procédure marchés). Les exigences spécifiques incluent :</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Intégration à la plateforme INOE (portail Orange de gestion des interventions terrain)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Respect des règles d'ingénierie FTTH Orange v2.2 (budget optique 13-28 dB, couplage 1/64)</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Habilitation aux travaux sous tension BT (AIPR selon zone d'intervention)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Taille critique : capacité à traiter un volume minimum défini par zone (généralement 200+ interventions/mois par région)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Accréditation au programme de qualité Orange 'Réseau Confirmé' (vérification terrain périodique)</w:t>
      </w:r>
    </w:p>
    <w:p>
      <w:pPr>
        <w:spacing w:before="120" w:after="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color w:val="1A3A5C"/>
          <w:sz w:val="24"/>
          <w:szCs w:val="24"/>
        </w:rPr>
        <w:t xml:space="preserve">SFR / XP Fibre (OI via Altice)</w:t>
      </w:r>
    </w:p>
    <w:p>
      <w:pPr>
        <w:spacing w:before="80" w:after="80"/>
        <w:jc w:val="both"/>
      </w:pPr>
      <w:r>
        <w:rPr>
          <w:rFonts w:ascii="Arial" w:cs="Arial" w:eastAsia="Arial" w:hAnsi="Arial"/>
          <w:b w:val="false"/>
          <w:bCs w:val="false"/>
          <w:i w:val="false"/>
          <w:iCs w:val="false"/>
          <w:color w:val="1A1A1A"/>
          <w:sz w:val="22"/>
          <w:szCs w:val="22"/>
        </w:rPr>
        <w:t xml:space="preserve">SFR opère via sa filiale XP Fibre pour les déploiements. FXN SASU a déjà une expérience via ERT sur Osiris — avantage compétitif à valoriser.</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Intégration Osiris : flux d'échanges CSV/API, format IPE V3.0 et CPN V3.0 maîtrisés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Connaissance des processus SFR : point fort FXN à documenter dans le dossier de candidature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Accréditation STOC SFR avec formation aux procédures spécifiques XP Fibre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KPIs SFR : taux de reprise à J+10 pour les pannes signalées par l'OC</w:t>
      </w:r>
    </w:p>
    <w:p>
      <w:pPr>
        <w:spacing w:before="120" w:after="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color w:val="1A3A5C"/>
          <w:sz w:val="24"/>
          <w:szCs w:val="24"/>
        </w:rPr>
        <w:t xml:space="preserve">Bouygues Telecom (OC principalement)</w:t>
      </w:r>
    </w:p>
    <w:p>
      <w:pPr>
        <w:spacing w:before="80" w:after="80"/>
        <w:jc w:val="both"/>
      </w:pPr>
      <w:r>
        <w:rPr>
          <w:rFonts w:ascii="Arial" w:cs="Arial" w:eastAsia="Arial" w:hAnsi="Arial"/>
          <w:b w:val="false"/>
          <w:bCs w:val="false"/>
          <w:i w:val="false"/>
          <w:iCs w:val="false"/>
          <w:color w:val="1A1A1A"/>
          <w:sz w:val="22"/>
          <w:szCs w:val="22"/>
        </w:rPr>
        <w:t xml:space="preserve">Bouygues Telecom est majoritairement opérateur commercial ; il contractualise avec des rangs 1 qui interviennent sur les réseaux d'autres OI.</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Habilitation sur les réseaux Orange, SFR, et RIP (selon zone)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Formation aux processus Bouygues : portail Easymatch et suivi des interventions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Exigences de traçabilité renforcées : géolocalisation des techniciens en temps réel</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Taux d'échecs au raccordement &lt; 5% (seuil Bouygues plus strictement suivi en interne)</w:t>
      </w:r>
    </w:p>
    <w:p>
      <w:pPr>
        <w:spacing w:before="120" w:after="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color w:val="1A3A5C"/>
          <w:sz w:val="24"/>
          <w:szCs w:val="24"/>
        </w:rPr>
        <w:t xml:space="preserve">Free / Iliad (OI + OC)</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Intégration au portail Free Pro pour la gestion des interventions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Connaissance des spécifications techniques réseaux Iliad (différentes des règles Orange)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Capacité à intervenir sur les PM Free dans les immeubles (spécificités câblage vertical)</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Free favorise les sous-traitants proposant une transparence totale sur les équipes (identité technicien, certifications en temps réel)</w:t>
      </w:r>
    </w:p>
    <w:p>
      <w:r>
        <w:br w:type="page"/>
      </w:r>
    </w:p>
    <w:p>
      <w:pPr>
        <w:pStyle w:val="Heading1"/>
        <w:pBdr>
          <w:bottom w:val="single" w:color="1A3A5C" w:sz="6" w:space="6"/>
        </w:pBdr>
        <w:spacing w:before="480" w:after="160"/>
      </w:pPr>
      <w:r>
        <w:rPr>
          <w:rFonts w:ascii="Arial" w:cs="Arial" w:eastAsia="Arial" w:hAnsi="Arial"/>
          <w:b/>
          <w:bCs/>
          <w:color w:val="1A3A5C"/>
          <w:sz w:val="36"/>
          <w:szCs w:val="36"/>
        </w:rPr>
        <w:t xml:space="preserve">4. Conformité ARCEP — Exigences et preuves</w:t>
      </w:r>
    </w:p>
    <w:p>
      <w:pPr>
        <w:pStyle w:val="Heading2"/>
        <w:spacing w:before="360" w:after="120"/>
      </w:pPr>
      <w:r>
        <w:rPr>
          <w:rFonts w:ascii="Arial" w:cs="Arial" w:eastAsia="Arial" w:hAnsi="Arial"/>
          <w:b/>
          <w:bCs/>
          <w:color w:val="2E6DA4"/>
          <w:sz w:val="28"/>
          <w:szCs w:val="28"/>
        </w:rPr>
        <w:t xml:space="preserve">4.1 Les indicateurs de l'Observatoire qualité FttH</w:t>
      </w:r>
    </w:p>
    <w:p>
      <w:pPr>
        <w:spacing w:before="80" w:after="80"/>
        <w:jc w:val="both"/>
      </w:pPr>
      <w:r>
        <w:rPr>
          <w:rFonts w:ascii="Arial" w:cs="Arial" w:eastAsia="Arial" w:hAnsi="Arial"/>
          <w:b w:val="false"/>
          <w:bCs w:val="false"/>
          <w:i w:val="false"/>
          <w:iCs w:val="false"/>
          <w:color w:val="1A1A1A"/>
          <w:sz w:val="22"/>
          <w:szCs w:val="22"/>
        </w:rPr>
        <w:t xml:space="preserve">L'ARCEP publie trimestriellement un observatoire de la qualité des réseaux FttH, alimenté par les données que les OI et OC lui transmettent. Ces indicateurs sont publics et directement liés à la réputation contractuelle de FXN SASU vis-à-vis des opérateurs.</w:t>
      </w:r>
    </w:p>
    <w:p>
      <w:pPr>
        <w:spacing w:before="12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360"/>
        <w:gridCol w:w="2400"/>
      </w:tblGrid>
      <w:tr>
        <w:trPr>
          <w:tblHeader/>
        </w:trPr>
        <w:tc>
          <w:tcPr>
            <w:tcW w:type="dxa" w:w="24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Indicateur ARCEP</w:t>
            </w:r>
          </w:p>
        </w:tc>
        <w:tc>
          <w:tcPr>
            <w:tcW w:type="dxa" w:w="32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Définition</w:t>
            </w:r>
          </w:p>
        </w:tc>
        <w:tc>
          <w:tcPr>
            <w:tcW w:type="dxa" w:w="13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Seuil cible FXN</w:t>
            </w:r>
          </w:p>
        </w:tc>
        <w:tc>
          <w:tcPr>
            <w:tcW w:type="dxa" w:w="24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Module FXN ERP</w:t>
            </w:r>
          </w:p>
        </w:tc>
      </w:tr>
      <w:tr>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Taux de pannes</w:t>
            </w:r>
          </w:p>
        </w:tc>
        <w:tc>
          <w:tcPr>
            <w:tcW w:type="dxa" w:w="3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Pannes signalées par l'OC à l'OI / total lignes actives (mensuel, moyenné 6 mois)</w:t>
            </w:r>
          </w:p>
        </w:tc>
        <w:tc>
          <w:tcPr>
            <w:tcW w:type="dxa" w:w="1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&lt; 1%</w:t>
            </w:r>
          </w:p>
        </w:tc>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Dashboard KPIs temps réel</w:t>
            </w:r>
          </w:p>
        </w:tc>
      </w:tr>
      <w:tr>
        <w:tc>
          <w:tcPr>
            <w:tcW w:type="dxa" w:w="2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Taux d'échecs raccordement</w:t>
            </w:r>
          </w:p>
        </w:tc>
        <w:tc>
          <w:tcPr>
            <w:tcW w:type="dxa" w:w="3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Échecs déclarés par l'OC à l'OI / total tentatives de raccordement</w:t>
            </w:r>
          </w:p>
        </w:tc>
        <w:tc>
          <w:tcPr>
            <w:tcW w:type="dxa" w:w="13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&lt; 3%</w:t>
            </w:r>
          </w:p>
        </w:tc>
        <w:tc>
          <w:tcPr>
            <w:tcW w:type="dxa" w:w="2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Module Interventions</w:t>
            </w:r>
          </w:p>
        </w:tc>
      </w:tr>
      <w:tr>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Mises en service &lt; 60j</w:t>
            </w:r>
          </w:p>
        </w:tc>
        <w:tc>
          <w:tcPr>
            <w:tcW w:type="dxa" w:w="3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des MES réalisées dans les 60 jours suivant la commande</w:t>
            </w:r>
          </w:p>
        </w:tc>
        <w:tc>
          <w:tcPr>
            <w:tcW w:type="dxa" w:w="1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&gt; 95%</w:t>
            </w:r>
          </w:p>
        </w:tc>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Suivi délais + alertes</w:t>
            </w:r>
          </w:p>
        </w:tc>
      </w:tr>
      <w:tr>
        <w:tc>
          <w:tcPr>
            <w:tcW w:type="dxa" w:w="2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Abonnés affectés par panne</w:t>
            </w:r>
          </w:p>
        </w:tc>
        <w:tc>
          <w:tcPr>
            <w:tcW w:type="dxa" w:w="3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abonnés ayant subi ≥ 1 panne dans le mois</w:t>
            </w:r>
          </w:p>
        </w:tc>
        <w:tc>
          <w:tcPr>
            <w:tcW w:type="dxa" w:w="13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&lt; 2%</w:t>
            </w:r>
          </w:p>
        </w:tc>
        <w:tc>
          <w:tcPr>
            <w:tcW w:type="dxa" w:w="2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Module Incidents</w:t>
            </w:r>
          </w:p>
        </w:tc>
      </w:tr>
      <w:tr>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Malfaçons non conformes</w:t>
            </w:r>
          </w:p>
        </w:tc>
        <w:tc>
          <w:tcPr>
            <w:tcW w:type="dxa" w:w="3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Raccordements non conformes / total (par type de malfaçon)</w:t>
            </w:r>
          </w:p>
        </w:tc>
        <w:tc>
          <w:tcPr>
            <w:tcW w:type="dxa" w:w="1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&lt; 2%</w:t>
            </w:r>
          </w:p>
        </w:tc>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Module QC + CRI photos</w:t>
            </w:r>
          </w:p>
        </w:tc>
      </w:tr>
      <w:tr>
        <w:tc>
          <w:tcPr>
            <w:tcW w:type="dxa" w:w="2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Reprises sous 30j</w:t>
            </w:r>
          </w:p>
        </w:tc>
        <w:tc>
          <w:tcPr>
            <w:tcW w:type="dxa" w:w="3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malfaçons reprises dans les 30 jours suivant détection</w:t>
            </w:r>
          </w:p>
        </w:tc>
        <w:tc>
          <w:tcPr>
            <w:tcW w:type="dxa" w:w="13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100%</w:t>
            </w:r>
          </w:p>
        </w:tc>
        <w:tc>
          <w:tcPr>
            <w:tcW w:type="dxa" w:w="2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Workflow reprise + alertes</w:t>
            </w:r>
          </w:p>
        </w:tc>
      </w:tr>
    </w:tbl>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60" w:after="120"/>
      </w:pPr>
      <w:r>
        <w:rPr>
          <w:rFonts w:ascii="Arial" w:cs="Arial" w:eastAsia="Arial" w:hAnsi="Arial"/>
          <w:b/>
          <w:bCs/>
          <w:color w:val="2E6DA4"/>
          <w:sz w:val="28"/>
          <w:szCs w:val="28"/>
        </w:rPr>
        <w:t xml:space="preserve">4.2 Rôle de FXN ERP dans la conformité ARCEP</w:t>
      </w:r>
    </w:p>
    <w:p>
      <w:pPr>
        <w:spacing w:before="80" w:after="80"/>
        <w:jc w:val="both"/>
      </w:pPr>
      <w:r>
        <w:rPr>
          <w:rFonts w:ascii="Arial" w:cs="Arial" w:eastAsia="Arial" w:hAnsi="Arial"/>
          <w:b w:val="false"/>
          <w:bCs w:val="false"/>
          <w:i w:val="false"/>
          <w:iCs w:val="false"/>
          <w:color w:val="1A1A1A"/>
          <w:sz w:val="22"/>
          <w:szCs w:val="22"/>
        </w:rPr>
        <w:t xml:space="preserve">FXN ERP est le pivot de la démonstration de conformité de FXN SASU. Il doit être conçu pour produire automatiquement les données attendues par l'ARCEP — ce qui constitue un argument de vente majeur auprès des opérateurs.</w:t>
      </w:r>
    </w:p>
    <w:p>
      <w:pPr>
        <w:pStyle w:val="Heading3"/>
        <w:spacing w:before="240" w:after="80"/>
      </w:pPr>
      <w:r>
        <w:rPr>
          <w:rFonts w:ascii="Arial" w:cs="Arial" w:eastAsia="Arial" w:hAnsi="Arial"/>
          <w:b/>
          <w:bCs/>
          <w:color w:val="1A3A5C"/>
          <w:sz w:val="24"/>
          <w:szCs w:val="24"/>
        </w:rPr>
        <w:t xml:space="preserve">Modules requis pour la conformité ARCEP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Module FXN ERP</w:t>
            </w:r>
          </w:p>
        </w:tc>
        <w:tc>
          <w:tcPr>
            <w:tcW w:type="dxa" w:w="368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Fonctionnalité clé</w:t>
            </w:r>
          </w:p>
        </w:tc>
        <w:tc>
          <w:tcPr>
            <w:tcW w:type="dxa" w:w="328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Donnée ARCEP produite</w:t>
            </w:r>
          </w:p>
        </w:tc>
      </w:tr>
      <w:tr>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CRI numérique</w:t>
            </w:r>
          </w:p>
        </w:tc>
        <w:tc>
          <w:tcPr>
            <w:tcW w:type="dxa" w:w="36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Génération automatique du compte rendu d'intervention avec photos géolocalisées, signature technicien, horodatage NTP</w:t>
            </w:r>
          </w:p>
        </w:tc>
        <w:tc>
          <w:tcPr>
            <w:tcW w:type="dxa" w:w="32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Preuve conformité intervention par intervention</w:t>
            </w:r>
          </w:p>
        </w:tc>
      </w:tr>
      <w:tr>
        <w:tc>
          <w:tcPr>
            <w:tcW w:type="dxa" w:w="2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e-intervention</w:t>
            </w:r>
          </w:p>
        </w:tc>
        <w:tc>
          <w:tcPr>
            <w:tcW w:type="dxa" w:w="36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Déclaration automatique avant accès PM/PBO, avec identification technicien et n° d'ordre de travail</w:t>
            </w:r>
          </w:p>
        </w:tc>
        <w:tc>
          <w:tcPr>
            <w:tcW w:type="dxa" w:w="32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Traçabilité 100% qui intervient, où, quand</w:t>
            </w:r>
          </w:p>
        </w:tc>
      </w:tr>
      <w:tr>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Suivi malfaçons</w:t>
            </w:r>
          </w:p>
        </w:tc>
        <w:tc>
          <w:tcPr>
            <w:tcW w:type="dxa" w:w="36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Détection photographique, ouverture ticket de reprise automatique, relance à J+20 si non clôturé</w:t>
            </w:r>
          </w:p>
        </w:tc>
        <w:tc>
          <w:tcPr>
            <w:tcW w:type="dxa" w:w="32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Taux malfaçons / reprises &lt; 30j</w:t>
            </w:r>
          </w:p>
        </w:tc>
      </w:tr>
      <w:tr>
        <w:tc>
          <w:tcPr>
            <w:tcW w:type="dxa" w:w="2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KPI Dashboard</w:t>
            </w:r>
          </w:p>
        </w:tc>
        <w:tc>
          <w:tcPr>
            <w:tcW w:type="dxa" w:w="36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Tableau de bord temps réel : taux pannes, délais MES, taux échecs, par technicien, par zone, par opérateur</w:t>
            </w:r>
          </w:p>
        </w:tc>
        <w:tc>
          <w:tcPr>
            <w:tcW w:type="dxa" w:w="32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Export mensuel format ARCEP</w:t>
            </w:r>
          </w:p>
        </w:tc>
      </w:tr>
      <w:tr>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Registre interventions</w:t>
            </w:r>
          </w:p>
        </w:tc>
        <w:tc>
          <w:tcPr>
            <w:tcW w:type="dxa" w:w="36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Registre numérique complet des raccordements (exigé PPL Chaize pour les OC)</w:t>
            </w:r>
          </w:p>
        </w:tc>
        <w:tc>
          <w:tcPr>
            <w:tcW w:type="dxa" w:w="32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Audit ARCEP instantané</w:t>
            </w:r>
          </w:p>
        </w:tc>
      </w:tr>
      <w:tr>
        <w:tc>
          <w:tcPr>
            <w:tcW w:type="dxa" w:w="2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Certificat conformité</w:t>
            </w:r>
          </w:p>
        </w:tc>
        <w:tc>
          <w:tcPr>
            <w:tcW w:type="dxa" w:w="36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Génération PDF du certificat de conformité à remettre à l'abonné, signé électroniquement</w:t>
            </w:r>
          </w:p>
        </w:tc>
        <w:tc>
          <w:tcPr>
            <w:tcW w:type="dxa" w:w="32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Obligation PPL Chaize Art. 1</w:t>
            </w:r>
          </w:p>
        </w:tc>
      </w:tr>
    </w:tbl>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60" w:after="120"/>
      </w:pPr>
      <w:r>
        <w:rPr>
          <w:rFonts w:ascii="Arial" w:cs="Arial" w:eastAsia="Arial" w:hAnsi="Arial"/>
          <w:b/>
          <w:bCs/>
          <w:color w:val="2E6DA4"/>
          <w:sz w:val="28"/>
          <w:szCs w:val="28"/>
        </w:rPr>
        <w:t xml:space="preserve">4.3 Conformité URSSAF</w:t>
      </w:r>
    </w:p>
    <w:p>
      <w:pPr>
        <w:spacing w:before="80" w:after="80"/>
        <w:jc w:val="both"/>
      </w:pPr>
      <w:r>
        <w:rPr>
          <w:rFonts w:ascii="Arial" w:cs="Arial" w:eastAsia="Arial" w:hAnsi="Arial"/>
          <w:b w:val="false"/>
          <w:bCs w:val="false"/>
          <w:i w:val="false"/>
          <w:iCs w:val="false"/>
          <w:color w:val="1A1A1A"/>
          <w:sz w:val="22"/>
          <w:szCs w:val="22"/>
        </w:rPr>
        <w:t xml:space="preserve">L'URSSAF contrôle la chaîne de sous-traitance dans le BTP-Télécom. Un rang 1 est présumé solidairement responsable des infractions de ses sous-traitants. FXN SASU doit garantir une conformité totale et démontrable.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80"/>
        <w:gridCol w:w="2880"/>
      </w:tblGrid>
      <w:tr>
        <w:trPr>
          <w:tblHeader/>
        </w:trPr>
        <w:tc>
          <w:tcPr>
            <w:tcW w:type="dxa" w:w="2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Obligation URSSAF</w:t>
            </w:r>
          </w:p>
        </w:tc>
        <w:tc>
          <w:tcPr>
            <w:tcW w:type="dxa" w:w="368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Contenu</w:t>
            </w:r>
          </w:p>
        </w:tc>
        <w:tc>
          <w:tcPr>
            <w:tcW w:type="dxa" w:w="288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Preuve dans FXN ERP</w:t>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DPAE</w:t>
            </w:r>
          </w:p>
        </w:tc>
        <w:tc>
          <w:tcPr>
            <w:tcW w:type="dxa" w:w="36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Déclaration Préalable à l'Embauche avant tout début de contrat, y compris CDD et intérim</w:t>
            </w:r>
          </w:p>
        </w:tc>
        <w:tc>
          <w:tcPr>
            <w:tcW w:type="dxa" w:w="28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Module RH : DPAE automatique, archivage</w:t>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Attestation vigilance</w:t>
            </w:r>
          </w:p>
        </w:tc>
        <w:tc>
          <w:tcPr>
            <w:tcW w:type="dxa" w:w="36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Attestation URSSAF (&lt; 6 mois) à obtenir de tout sous-traitant éventuel</w:t>
            </w:r>
          </w:p>
        </w:tc>
        <w:tc>
          <w:tcPr>
            <w:tcW w:type="dxa" w:w="28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Module Fournisseurs : alerte expiration</w:t>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Bulletins de paie conformes</w:t>
            </w:r>
          </w:p>
        </w:tc>
        <w:tc>
          <w:tcPr>
            <w:tcW w:type="dxa" w:w="36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Convention collective BTP (IDCC 1597), PRO BTP, PAS, cotisations traçables</w:t>
            </w:r>
          </w:p>
        </w:tc>
        <w:tc>
          <w:tcPr>
            <w:tcW w:type="dxa" w:w="28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Module Paie : génération bulletins conformes</w:t>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Registre du personnel</w:t>
            </w:r>
          </w:p>
        </w:tc>
        <w:tc>
          <w:tcPr>
            <w:tcW w:type="dxa" w:w="36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Registre unique avec identité, contrat, qualifications de chaque technicien</w:t>
            </w:r>
          </w:p>
        </w:tc>
        <w:tc>
          <w:tcPr>
            <w:tcW w:type="dxa" w:w="28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Module RH : registre numérique</w:t>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Plan de prévention</w:t>
            </w:r>
          </w:p>
        </w:tc>
        <w:tc>
          <w:tcPr>
            <w:tcW w:type="dxa" w:w="36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Document obligatoire avant toute intervention sur site d'un donneur d'ordre</w:t>
            </w:r>
          </w:p>
        </w:tc>
        <w:tc>
          <w:tcPr>
            <w:tcW w:type="dxa" w:w="28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Module Chantiers : génération automatique</w:t>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Carte BTP</w:t>
            </w:r>
          </w:p>
        </w:tc>
        <w:tc>
          <w:tcPr>
            <w:tcW w:type="dxa" w:w="36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Carte professionnelle BTP obligatoire pour tous les salariés du BTP depuis 2017</w:t>
            </w:r>
          </w:p>
        </w:tc>
        <w:tc>
          <w:tcPr>
            <w:tcW w:type="dxa" w:w="28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Module RH : suivi validité cartes BTP</w:t>
            </w:r>
          </w:p>
        </w:tc>
      </w:tr>
    </w:tbl>
    <w:p>
      <w:r>
        <w:br w:type="page"/>
      </w:r>
    </w:p>
    <w:p>
      <w:pPr>
        <w:pStyle w:val="Heading1"/>
        <w:pBdr>
          <w:bottom w:val="single" w:color="1A3A5C" w:sz="6" w:space="6"/>
        </w:pBdr>
        <w:spacing w:before="480" w:after="160"/>
      </w:pPr>
      <w:r>
        <w:rPr>
          <w:rFonts w:ascii="Arial" w:cs="Arial" w:eastAsia="Arial" w:hAnsi="Arial"/>
          <w:b/>
          <w:bCs/>
          <w:color w:val="1A3A5C"/>
          <w:sz w:val="36"/>
          <w:szCs w:val="36"/>
        </w:rPr>
        <w:t xml:space="preserve">5. Spécifications FXN ERP — Version rang 1</w:t>
      </w:r>
    </w:p>
    <w:p>
      <w:pPr>
        <w:pStyle w:val="Heading2"/>
        <w:spacing w:before="360" w:after="120"/>
      </w:pPr>
      <w:r>
        <w:rPr>
          <w:rFonts w:ascii="Arial" w:cs="Arial" w:eastAsia="Arial" w:hAnsi="Arial"/>
          <w:b/>
          <w:bCs/>
          <w:color w:val="2E6DA4"/>
          <w:sz w:val="28"/>
          <w:szCs w:val="28"/>
        </w:rPr>
        <w:t xml:space="preserve">5.1 Architecture cible</w:t>
      </w:r>
    </w:p>
    <w:p>
      <w:pPr>
        <w:spacing w:before="80" w:after="80"/>
        <w:jc w:val="both"/>
      </w:pPr>
      <w:r>
        <w:rPr>
          <w:rFonts w:ascii="Arial" w:cs="Arial" w:eastAsia="Arial" w:hAnsi="Arial"/>
          <w:b w:val="false"/>
          <w:bCs w:val="false"/>
          <w:i w:val="false"/>
          <w:iCs w:val="false"/>
          <w:color w:val="1A1A1A"/>
          <w:sz w:val="22"/>
          <w:szCs w:val="22"/>
        </w:rPr>
        <w:t xml:space="preserve">FXN ERP doit évoluer vers une architecture multi-tenant, multi-opérateur, capable de s'intégrer aux SI des quatre opérateurs nationaux tout en restant exploitable par des sous-traitants de rang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80"/>
        <w:gridCol w:w="4480"/>
      </w:tblGrid>
      <w:tr>
        <w:trPr>
          <w:tblHeader/>
        </w:trPr>
        <w:tc>
          <w:tcPr>
            <w:tcW w:type="dxa" w:w="20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Couche</w:t>
            </w:r>
          </w:p>
        </w:tc>
        <w:tc>
          <w:tcPr>
            <w:tcW w:type="dxa" w:w="288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Technologie</w:t>
            </w:r>
          </w:p>
        </w:tc>
        <w:tc>
          <w:tcPr>
            <w:tcW w:type="dxa" w:w="448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Exigence rang 1</w:t>
            </w:r>
          </w:p>
        </w:tc>
      </w:tr>
      <w:tr>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Frontend</w:t>
            </w:r>
          </w:p>
        </w:tc>
        <w:tc>
          <w:tcPr>
            <w:tcW w:type="dxa" w:w="28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Angular (Signals)</w:t>
            </w:r>
          </w:p>
        </w:tc>
        <w:tc>
          <w:tcPr>
            <w:tcW w:type="dxa" w:w="4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PWA mobile-first, disponible offline pour les techniciens terrain</w:t>
            </w:r>
          </w:p>
        </w:tc>
      </w:tr>
      <w:tr>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Backend</w:t>
            </w:r>
          </w:p>
        </w:tc>
        <w:tc>
          <w:tcPr>
            <w:tcW w:type="dxa" w:w="28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Node.js / Express</w:t>
            </w:r>
          </w:p>
        </w:tc>
        <w:tc>
          <w:tcPr>
            <w:tcW w:type="dxa" w:w="4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API REST + WebSocket pour notifications e-intervention temps réel</w:t>
            </w:r>
          </w:p>
        </w:tc>
      </w:tr>
      <w:tr>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Base de données</w:t>
            </w:r>
          </w:p>
        </w:tc>
        <w:tc>
          <w:tcPr>
            <w:tcW w:type="dxa" w:w="28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MongoDB</w:t>
            </w:r>
          </w:p>
        </w:tc>
        <w:tc>
          <w:tcPr>
            <w:tcW w:type="dxa" w:w="4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Collections par opérateur, isolation des données, RGPD</w:t>
            </w:r>
          </w:p>
        </w:tc>
      </w:tr>
      <w:tr>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Cache</w:t>
            </w:r>
          </w:p>
        </w:tc>
        <w:tc>
          <w:tcPr>
            <w:tcW w:type="dxa" w:w="28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Redis</w:t>
            </w:r>
          </w:p>
        </w:tc>
        <w:tc>
          <w:tcPr>
            <w:tcW w:type="dxa" w:w="4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Sessions, files d'attente interventions, pub/sub e-intervention</w:t>
            </w:r>
          </w:p>
        </w:tc>
      </w:tr>
      <w:tr>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Intégrations</w:t>
            </w:r>
          </w:p>
        </w:tc>
        <w:tc>
          <w:tcPr>
            <w:tcW w:type="dxa" w:w="28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API REST + CSV/EDI</w:t>
            </w:r>
          </w:p>
        </w:tc>
        <w:tc>
          <w:tcPr>
            <w:tcW w:type="dxa" w:w="4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Connecteurs Osiris (SFR), INOE (Orange), portail Free, Bouygues</w:t>
            </w:r>
          </w:p>
        </w:tc>
      </w:tr>
      <w:tr>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Sécurité</w:t>
            </w:r>
          </w:p>
        </w:tc>
        <w:tc>
          <w:tcPr>
            <w:tcW w:type="dxa" w:w="28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JWT + Helmet + Rate limiting</w:t>
            </w:r>
          </w:p>
        </w:tc>
        <w:tc>
          <w:tcPr>
            <w:tcW w:type="dxa" w:w="4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MFA pour accès portails opérateurs, audit log complet</w:t>
            </w:r>
          </w:p>
        </w:tc>
      </w:tr>
      <w:tr>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Infra</w:t>
            </w:r>
          </w:p>
        </w:tc>
        <w:tc>
          <w:tcPr>
            <w:tcW w:type="dxa" w:w="28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CI/CD GitHub Actions</w:t>
            </w:r>
          </w:p>
        </w:tc>
        <w:tc>
          <w:tcPr>
            <w:tcW w:type="dxa" w:w="4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Tests automatisés, déploiement zero-downtime, SLA 99.9%</w:t>
            </w:r>
          </w:p>
        </w:tc>
      </w:tr>
      <w:tr>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Mobile</w:t>
            </w:r>
          </w:p>
        </w:tc>
        <w:tc>
          <w:tcPr>
            <w:tcW w:type="dxa" w:w="28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PWA + mode offline</w:t>
            </w:r>
          </w:p>
        </w:tc>
        <w:tc>
          <w:tcPr>
            <w:tcW w:type="dxa" w:w="4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Synchronisation CRI avec photos même sans réseau</w:t>
            </w:r>
          </w:p>
        </w:tc>
      </w:tr>
    </w:tbl>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60" w:after="120"/>
      </w:pPr>
      <w:r>
        <w:rPr>
          <w:rFonts w:ascii="Arial" w:cs="Arial" w:eastAsia="Arial" w:hAnsi="Arial"/>
          <w:b/>
          <w:bCs/>
          <w:color w:val="2E6DA4"/>
          <w:sz w:val="28"/>
          <w:szCs w:val="28"/>
        </w:rPr>
        <w:t xml:space="preserve">5.2 Modules prioritaires pour le rang 1</w:t>
      </w:r>
    </w:p>
    <w:p>
      <w:pPr>
        <w:pStyle w:val="Heading3"/>
        <w:spacing w:before="240" w:after="80"/>
      </w:pPr>
      <w:r>
        <w:rPr>
          <w:rFonts w:ascii="Arial" w:cs="Arial" w:eastAsia="Arial" w:hAnsi="Arial"/>
          <w:b/>
          <w:bCs/>
          <w:color w:val="1A3A5C"/>
          <w:sz w:val="24"/>
          <w:szCs w:val="24"/>
        </w:rPr>
        <w:t xml:space="preserve">Module 1 — Interventions &amp; CRI</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Création d'ordre de travail depuis commande OI/OC (import API ou CSV)</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Affectation technicien avec vérification certification en temps réel</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Application mobile : check-list avant intervention, photos géolocalisées, mesures optiques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Génération automatique CRI PDF signé électroniquement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Transmission automatique à l'OI sous 24h (API ou email structuré)</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Génération du certificat de conformité abonné (PPL Chaize)</w:t>
      </w:r>
    </w:p>
    <w:p>
      <w:pPr>
        <w:spacing w:before="80" w:after="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color w:val="1A3A5C"/>
          <w:sz w:val="24"/>
          <w:szCs w:val="24"/>
        </w:rPr>
        <w:t xml:space="preserve">Module 2 — Qualité &amp; Malfaçons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Détection malfaçons par analyse photographique (checklist technique)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Ouverture automatique ticket reprise si anomalie détectée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Workflow reprise : assignation, relance J+20, clôture avec preuve photo</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Tableau de bord : taux conformité par technicien, par PM, par opérateur</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Export mensuel KPIs format ARCEP</w:t>
      </w:r>
    </w:p>
    <w:p>
      <w:pPr>
        <w:spacing w:before="80" w:after="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color w:val="1A3A5C"/>
          <w:sz w:val="24"/>
          <w:szCs w:val="24"/>
        </w:rPr>
        <w:t xml:space="preserve">Module 3 — e-intervention &amp; Traçabilité</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Déclaration e-intervention automatique avant accès PM/PBO</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QR code ou badge NFC pour identification technicien sur site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Log temps réel : qui, où, quand, durée, résultat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Notifications push OI en cas de coupure abonné détectée</w:t>
      </w:r>
    </w:p>
    <w:p>
      <w:pPr>
        <w:spacing w:before="80" w:after="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color w:val="1A3A5C"/>
          <w:sz w:val="24"/>
          <w:szCs w:val="24"/>
        </w:rPr>
        <w:t xml:space="preserve">Module 4 — RH &amp; Conformité URSSAF</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Registre du personnel numérique avec alertes expiration certifications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Génération DPAE automatique à la création du contrat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Suivi validité : carte BTP, CACES, habilitations électriques, assurances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Tableau de bord URSSAF : attestations vigilance sous-traitants, plan de prévention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Module paie : bulletins conformes IDCC 1597 (BTP), PRO BTP, PAS</w:t>
      </w:r>
    </w:p>
    <w:p>
      <w:pPr>
        <w:spacing w:before="80" w:after="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color w:val="1A3A5C"/>
          <w:sz w:val="24"/>
          <w:szCs w:val="24"/>
        </w:rPr>
        <w:t xml:space="preserve">Module 5 — Reporting ARCEP / Audit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Génération automatique du rapport mensuel qualité (format compatible observatoire ARCEP)</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Historique complet des interventions par réseau, PM, département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Module audit : extraction instantanée de tous les CRI, certificats et preuves pour un opérateur</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API de consultation pour les auditeurs OI (accès lecture sécurisé)</w:t>
      </w:r>
    </w:p>
    <w:p>
      <w:r>
        <w:br w:type="page"/>
      </w:r>
    </w:p>
    <w:p>
      <w:pPr>
        <w:pStyle w:val="Heading1"/>
        <w:pBdr>
          <w:bottom w:val="single" w:color="1A3A5C" w:sz="6" w:space="6"/>
        </w:pBdr>
        <w:spacing w:before="480" w:after="160"/>
      </w:pPr>
      <w:r>
        <w:rPr>
          <w:rFonts w:ascii="Arial" w:cs="Arial" w:eastAsia="Arial" w:hAnsi="Arial"/>
          <w:b/>
          <w:bCs/>
          <w:color w:val="1A3A5C"/>
          <w:sz w:val="36"/>
          <w:szCs w:val="36"/>
        </w:rPr>
        <w:t xml:space="preserve">6. Plan de ressources humaines</w:t>
      </w:r>
    </w:p>
    <w:p>
      <w:pPr>
        <w:pStyle w:val="Heading2"/>
        <w:spacing w:before="360" w:after="120"/>
      </w:pPr>
      <w:r>
        <w:rPr>
          <w:rFonts w:ascii="Arial" w:cs="Arial" w:eastAsia="Arial" w:hAnsi="Arial"/>
          <w:b/>
          <w:bCs/>
          <w:color w:val="2E6DA4"/>
          <w:sz w:val="28"/>
          <w:szCs w:val="28"/>
        </w:rPr>
        <w:t xml:space="preserve">6.1 Structure cible à 5 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2040"/>
        <w:gridCol w:w="2640"/>
      </w:tblGrid>
      <w:tr>
        <w:trPr>
          <w:tblHeader/>
        </w:trPr>
        <w:tc>
          <w:tcPr>
            <w:tcW w:type="dxa" w:w="30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Poste</w:t>
            </w:r>
          </w:p>
        </w:tc>
        <w:tc>
          <w:tcPr>
            <w:tcW w:type="dxa" w:w="168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Phase 1 (M18)</w:t>
            </w:r>
          </w:p>
        </w:tc>
        <w:tc>
          <w:tcPr>
            <w:tcW w:type="dxa" w:w="204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Phase 2 (M36)</w:t>
            </w:r>
          </w:p>
        </w:tc>
        <w:tc>
          <w:tcPr>
            <w:tcW w:type="dxa" w:w="264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Phase 3 (M60)</w:t>
            </w:r>
          </w:p>
        </w:tc>
      </w:tr>
      <w:tr>
        <w:tc>
          <w:tcPr>
            <w:tcW w:type="dxa" w:w="3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Directeur technique / Gérant</w:t>
            </w:r>
          </w:p>
        </w:tc>
        <w:tc>
          <w:tcPr>
            <w:tcW w:type="dxa" w:w="16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 (Coulibaly)</w:t>
            </w:r>
          </w:p>
        </w:tc>
        <w:tc>
          <w:tcPr>
            <w:tcW w:type="dxa" w:w="204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w:t>
            </w:r>
          </w:p>
        </w:tc>
        <w:tc>
          <w:tcPr>
            <w:tcW w:type="dxa" w:w="264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w:t>
            </w:r>
          </w:p>
        </w:tc>
      </w:tr>
      <w:tr>
        <w:tc>
          <w:tcPr>
            <w:tcW w:type="dxa" w:w="3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Responsable qualité ARCEP</w:t>
            </w:r>
          </w:p>
        </w:tc>
        <w:tc>
          <w:tcPr>
            <w:tcW w:type="dxa" w:w="16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0 → 1</w:t>
            </w:r>
          </w:p>
        </w:tc>
        <w:tc>
          <w:tcPr>
            <w:tcW w:type="dxa" w:w="204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w:t>
            </w:r>
          </w:p>
        </w:tc>
        <w:tc>
          <w:tcPr>
            <w:tcW w:type="dxa" w:w="264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2</w:t>
            </w:r>
          </w:p>
        </w:tc>
      </w:tr>
      <w:tr>
        <w:tc>
          <w:tcPr>
            <w:tcW w:type="dxa" w:w="3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Chefs d'équipe terrain</w:t>
            </w:r>
          </w:p>
        </w:tc>
        <w:tc>
          <w:tcPr>
            <w:tcW w:type="dxa" w:w="16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w:t>
            </w:r>
          </w:p>
        </w:tc>
        <w:tc>
          <w:tcPr>
            <w:tcW w:type="dxa" w:w="204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2</w:t>
            </w:r>
          </w:p>
        </w:tc>
        <w:tc>
          <w:tcPr>
            <w:tcW w:type="dxa" w:w="264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5</w:t>
            </w:r>
          </w:p>
        </w:tc>
      </w:tr>
      <w:tr>
        <w:tc>
          <w:tcPr>
            <w:tcW w:type="dxa" w:w="3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Techniciens certifiés FttH</w:t>
            </w:r>
          </w:p>
        </w:tc>
        <w:tc>
          <w:tcPr>
            <w:tcW w:type="dxa" w:w="16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4</w:t>
            </w:r>
          </w:p>
        </w:tc>
        <w:tc>
          <w:tcPr>
            <w:tcW w:type="dxa" w:w="204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10-15</w:t>
            </w:r>
          </w:p>
        </w:tc>
        <w:tc>
          <w:tcPr>
            <w:tcW w:type="dxa" w:w="264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25-35</w:t>
            </w:r>
          </w:p>
        </w:tc>
      </w:tr>
      <w:tr>
        <w:tc>
          <w:tcPr>
            <w:tcW w:type="dxa" w:w="3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Développeur FXN ERP</w:t>
            </w:r>
          </w:p>
        </w:tc>
        <w:tc>
          <w:tcPr>
            <w:tcW w:type="dxa" w:w="16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 (interne/freelance)</w:t>
            </w:r>
          </w:p>
        </w:tc>
        <w:tc>
          <w:tcPr>
            <w:tcW w:type="dxa" w:w="204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1-2</w:t>
            </w:r>
          </w:p>
        </w:tc>
        <w:tc>
          <w:tcPr>
            <w:tcW w:type="dxa" w:w="264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3-4</w:t>
            </w:r>
          </w:p>
        </w:tc>
      </w:tr>
      <w:tr>
        <w:tc>
          <w:tcPr>
            <w:tcW w:type="dxa" w:w="3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Chargé conformité URSSAF/RH</w:t>
            </w:r>
          </w:p>
        </w:tc>
        <w:tc>
          <w:tcPr>
            <w:tcW w:type="dxa" w:w="16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0 → 0.5 (ETP)</w:t>
            </w:r>
          </w:p>
        </w:tc>
        <w:tc>
          <w:tcPr>
            <w:tcW w:type="dxa" w:w="204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w:t>
            </w:r>
          </w:p>
        </w:tc>
        <w:tc>
          <w:tcPr>
            <w:tcW w:type="dxa" w:w="264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2</w:t>
            </w:r>
          </w:p>
        </w:tc>
      </w:tr>
      <w:tr>
        <w:tc>
          <w:tcPr>
            <w:tcW w:type="dxa" w:w="3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Commercial / Relations opérateurs</w:t>
            </w:r>
          </w:p>
        </w:tc>
        <w:tc>
          <w:tcPr>
            <w:tcW w:type="dxa" w:w="16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0 → 0.5 (ETP)</w:t>
            </w:r>
          </w:p>
        </w:tc>
        <w:tc>
          <w:tcPr>
            <w:tcW w:type="dxa" w:w="204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w:t>
            </w:r>
          </w:p>
        </w:tc>
        <w:tc>
          <w:tcPr>
            <w:tcW w:type="dxa" w:w="264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2</w:t>
            </w:r>
          </w:p>
        </w:tc>
      </w:tr>
    </w:tbl>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60" w:after="120"/>
      </w:pPr>
      <w:r>
        <w:rPr>
          <w:rFonts w:ascii="Arial" w:cs="Arial" w:eastAsia="Arial" w:hAnsi="Arial"/>
          <w:b/>
          <w:bCs/>
          <w:color w:val="2E6DA4"/>
          <w:sz w:val="28"/>
          <w:szCs w:val="28"/>
        </w:rPr>
        <w:t xml:space="preserve">6.2 Certifications obligatoires par technicien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600"/>
        <w:gridCol w:w="2160"/>
      </w:tblGrid>
      <w:tr>
        <w:trPr>
          <w:tblHeader/>
        </w:trPr>
        <w:tc>
          <w:tcPr>
            <w:tcW w:type="dxa" w:w="2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Certification</w:t>
            </w:r>
          </w:p>
        </w:tc>
        <w:tc>
          <w:tcPr>
            <w:tcW w:type="dxa" w:w="1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Organisme</w:t>
            </w:r>
          </w:p>
        </w:tc>
        <w:tc>
          <w:tcPr>
            <w:tcW w:type="dxa" w:w="2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Périmètre</w:t>
            </w:r>
          </w:p>
        </w:tc>
        <w:tc>
          <w:tcPr>
            <w:tcW w:type="dxa" w:w="21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Délai obtention</w:t>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FNTP — Technicien réseaux télécom</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FNTP</w:t>
            </w:r>
          </w:p>
        </w:tc>
        <w:tc>
          <w:tcPr>
            <w:tcW w:type="dxa" w:w="2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Travaux génie civil télécom</w:t>
            </w:r>
          </w:p>
        </w:tc>
        <w:tc>
          <w:tcPr>
            <w:tcW w:type="dxa" w:w="21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3-6 mois</w:t>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Qualifélec mention fibre</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Qualifélec</w:t>
            </w:r>
          </w:p>
        </w:tc>
        <w:tc>
          <w:tcPr>
            <w:tcW w:type="dxa" w:w="2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Installations FttH</w:t>
            </w:r>
          </w:p>
        </w:tc>
        <w:tc>
          <w:tcPr>
            <w:tcW w:type="dxa" w:w="21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2-4 mois</w:t>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AIPR (opérateur ou encadrant)</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Organismes agréés</w:t>
            </w:r>
          </w:p>
        </w:tc>
        <w:tc>
          <w:tcPr>
            <w:tcW w:type="dxa" w:w="2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Travaux proximité réseaux</w:t>
            </w:r>
          </w:p>
        </w:tc>
        <w:tc>
          <w:tcPr>
            <w:tcW w:type="dxa" w:w="21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 jour + examen</w:t>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Habilitation électrique B1V/H1V</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Organisme habilité</w:t>
            </w:r>
          </w:p>
        </w:tc>
        <w:tc>
          <w:tcPr>
            <w:tcW w:type="dxa" w:w="2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Interventions sous tension</w:t>
            </w:r>
          </w:p>
        </w:tc>
        <w:tc>
          <w:tcPr>
            <w:tcW w:type="dxa" w:w="21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2-3 jours</w:t>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Carte professionnelle BTP</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CNETP</w:t>
            </w:r>
          </w:p>
        </w:tc>
        <w:tc>
          <w:tcPr>
            <w:tcW w:type="dxa" w:w="2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Obligatoire salarié BTP</w:t>
            </w:r>
          </w:p>
        </w:tc>
        <w:tc>
          <w:tcPr>
            <w:tcW w:type="dxa" w:w="21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En ligne, immédiat</w:t>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Formation sécurité PPSPS</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SST interne</w:t>
            </w:r>
          </w:p>
        </w:tc>
        <w:tc>
          <w:tcPr>
            <w:tcW w:type="dxa" w:w="2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Chantiers &gt; 5 personnes</w:t>
            </w:r>
          </w:p>
        </w:tc>
        <w:tc>
          <w:tcPr>
            <w:tcW w:type="dxa" w:w="21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 jour</w:t>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Formation règles ingénierie OI</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Par opérateur</w:t>
            </w:r>
          </w:p>
        </w:tc>
        <w:tc>
          <w:tcPr>
            <w:tcW w:type="dxa" w:w="2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Orange FTTH, SFR XP Fibre…</w:t>
            </w:r>
          </w:p>
        </w:tc>
        <w:tc>
          <w:tcPr>
            <w:tcW w:type="dxa" w:w="21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1-2 jours/opérateur</w:t>
            </w:r>
          </w:p>
        </w:tc>
      </w:tr>
    </w:tbl>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60" w:after="120"/>
      </w:pPr>
      <w:r>
        <w:rPr>
          <w:rFonts w:ascii="Arial" w:cs="Arial" w:eastAsia="Arial" w:hAnsi="Arial"/>
          <w:b/>
          <w:bCs/>
          <w:color w:val="2E6DA4"/>
          <w:sz w:val="28"/>
          <w:szCs w:val="28"/>
        </w:rPr>
        <w:t xml:space="preserve">6.3 Plan de formation</w:t>
      </w:r>
    </w:p>
    <w:p>
      <w:pPr>
        <w:spacing w:before="80" w:after="80"/>
        <w:jc w:val="both"/>
      </w:pPr>
      <w:r>
        <w:rPr>
          <w:rFonts w:ascii="Arial" w:cs="Arial" w:eastAsia="Arial" w:hAnsi="Arial"/>
          <w:b w:val="false"/>
          <w:bCs w:val="false"/>
          <w:i w:val="false"/>
          <w:iCs w:val="false"/>
          <w:color w:val="1A1A1A"/>
          <w:sz w:val="22"/>
          <w:szCs w:val="22"/>
        </w:rPr>
        <w:t xml:space="preserve">Chaque technicien FXN suit un parcours de certification structuré avant toute intervention en rang 1. Ce parcours est documenté dans FXN ERP et constitue une preuve de conformité pour les audits opérateurs.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Semaines 1-2 : Théorie FttH, règles ARCEP, présentation FXN ERP</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Semaines 3-4 : Habilitations (AIPR, électrique, FNTP)</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Semaines 5-6 : Formation spécifique opérateur (INOE, Osiris…)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Semaines 7-8 : Compagnonnage terrain avec technicien senior</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Semaine 9 : Évaluation terrain, délivrance accréditation FXN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Mensuel : Retour d'expérience qualité, mise à jour procédures</w:t>
      </w:r>
    </w:p>
    <w:p>
      <w:r>
        <w:br w:type="page"/>
      </w:r>
    </w:p>
    <w:p>
      <w:pPr>
        <w:pStyle w:val="Heading1"/>
        <w:pBdr>
          <w:bottom w:val="single" w:color="1A3A5C" w:sz="6" w:space="6"/>
        </w:pBdr>
        <w:spacing w:before="480" w:after="160"/>
      </w:pPr>
      <w:r>
        <w:rPr>
          <w:rFonts w:ascii="Arial" w:cs="Arial" w:eastAsia="Arial" w:hAnsi="Arial"/>
          <w:b/>
          <w:bCs/>
          <w:color w:val="1A3A5C"/>
          <w:sz w:val="36"/>
          <w:szCs w:val="36"/>
        </w:rPr>
        <w:t xml:space="preserve">7. Plan financier — Investissements et projections</w:t>
      </w:r>
    </w:p>
    <w:p>
      <w:pPr>
        <w:pStyle w:val="Heading2"/>
        <w:spacing w:before="360" w:after="120"/>
      </w:pPr>
      <w:r>
        <w:rPr>
          <w:rFonts w:ascii="Arial" w:cs="Arial" w:eastAsia="Arial" w:hAnsi="Arial"/>
          <w:b/>
          <w:bCs/>
          <w:color w:val="2E6DA4"/>
          <w:sz w:val="28"/>
          <w:szCs w:val="28"/>
        </w:rPr>
        <w:t xml:space="preserve">7.1 Investissements Phase 1 (M0-M18)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60"/>
        <w:gridCol w:w="2600"/>
      </w:tblGrid>
      <w:tr>
        <w:trPr>
          <w:tblHeader/>
        </w:trPr>
        <w:tc>
          <w:tcPr>
            <w:tcW w:type="dxa" w:w="30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Poste</w:t>
            </w:r>
          </w:p>
        </w:tc>
        <w:tc>
          <w:tcPr>
            <w:tcW w:type="dxa" w:w="37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Détail</w:t>
            </w:r>
          </w:p>
        </w:tc>
        <w:tc>
          <w:tcPr>
            <w:tcW w:type="dxa" w:w="2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Budget estimé (€ HT)</w:t>
            </w:r>
          </w:p>
        </w:tc>
      </w:tr>
      <w:tr>
        <w:tc>
          <w:tcPr>
            <w:tcW w:type="dxa" w:w="3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Certifications techniciens (x5)</w:t>
            </w:r>
          </w:p>
        </w:tc>
        <w:tc>
          <w:tcPr>
            <w:tcW w:type="dxa" w:w="37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FNTP + Qualifélec + AIPR + cartes BTP</w:t>
            </w:r>
          </w:p>
        </w:tc>
        <w:tc>
          <w:tcPr>
            <w:tcW w:type="dxa" w:w="2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8 000 – 12 000</w:t>
            </w:r>
          </w:p>
        </w:tc>
      </w:tr>
      <w:tr>
        <w:tc>
          <w:tcPr>
            <w:tcW w:type="dxa" w:w="3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Matériel terrain</w:t>
            </w:r>
          </w:p>
        </w:tc>
        <w:tc>
          <w:tcPr>
            <w:tcW w:type="dxa" w:w="37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Otdr, soudeuse, outils FttH, EPI</w:t>
            </w:r>
          </w:p>
        </w:tc>
        <w:tc>
          <w:tcPr>
            <w:tcW w:type="dxa" w:w="2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15 000 – 20 000</w:t>
            </w:r>
          </w:p>
        </w:tc>
      </w:tr>
      <w:tr>
        <w:tc>
          <w:tcPr>
            <w:tcW w:type="dxa" w:w="3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Véhicules (x3)</w:t>
            </w:r>
          </w:p>
        </w:tc>
        <w:tc>
          <w:tcPr>
            <w:tcW w:type="dxa" w:w="37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Location longue durée ou achat</w:t>
            </w:r>
          </w:p>
        </w:tc>
        <w:tc>
          <w:tcPr>
            <w:tcW w:type="dxa" w:w="2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18 000 – 30 000</w:t>
            </w:r>
          </w:p>
        </w:tc>
      </w:tr>
      <w:tr>
        <w:tc>
          <w:tcPr>
            <w:tcW w:type="dxa" w:w="3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FXN ERP v1.0 développement</w:t>
            </w:r>
          </w:p>
        </w:tc>
        <w:tc>
          <w:tcPr>
            <w:tcW w:type="dxa" w:w="37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Temps dev (estimé 30j à ~800€/j)</w:t>
            </w:r>
          </w:p>
        </w:tc>
        <w:tc>
          <w:tcPr>
            <w:tcW w:type="dxa" w:w="2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24 000 – 35 000</w:t>
            </w:r>
          </w:p>
        </w:tc>
      </w:tr>
      <w:tr>
        <w:tc>
          <w:tcPr>
            <w:tcW w:type="dxa" w:w="3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Labellisation Infranum</w:t>
            </w:r>
          </w:p>
        </w:tc>
        <w:tc>
          <w:tcPr>
            <w:tcW w:type="dxa" w:w="37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Dossier + audit externe</w:t>
            </w:r>
          </w:p>
        </w:tc>
        <w:tc>
          <w:tcPr>
            <w:tcW w:type="dxa" w:w="2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2 000 – 4 000</w:t>
            </w:r>
          </w:p>
        </w:tc>
      </w:tr>
      <w:tr>
        <w:tc>
          <w:tcPr>
            <w:tcW w:type="dxa" w:w="3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Assurances RC Pro + décennale</w:t>
            </w:r>
          </w:p>
        </w:tc>
        <w:tc>
          <w:tcPr>
            <w:tcW w:type="dxa" w:w="37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Selon chiffre d'affaires cible</w:t>
            </w:r>
          </w:p>
        </w:tc>
        <w:tc>
          <w:tcPr>
            <w:tcW w:type="dxa" w:w="2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3 000 – 6 000 / an</w:t>
            </w:r>
          </w:p>
        </w:tc>
      </w:tr>
      <w:tr>
        <w:tc>
          <w:tcPr>
            <w:tcW w:type="dxa" w:w="3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Conseil juridique et RH</w:t>
            </w:r>
          </w:p>
        </w:tc>
        <w:tc>
          <w:tcPr>
            <w:tcW w:type="dxa" w:w="37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Contrats STOC, conformité travail</w:t>
            </w:r>
          </w:p>
        </w:tc>
        <w:tc>
          <w:tcPr>
            <w:tcW w:type="dxa" w:w="2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3 000 – 5 000</w:t>
            </w:r>
          </w:p>
        </w:tc>
      </w:tr>
      <w:tr>
        <w:tc>
          <w:tcPr>
            <w:tcW w:type="dxa" w:w="3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Communication / dossier appels d'offres</w:t>
            </w:r>
          </w:p>
        </w:tc>
        <w:tc>
          <w:tcPr>
            <w:tcW w:type="dxa" w:w="37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Dossiers opérateurs, plaquettes</w:t>
            </w:r>
          </w:p>
        </w:tc>
        <w:tc>
          <w:tcPr>
            <w:tcW w:type="dxa" w:w="2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2 000 – 4 000</w:t>
            </w:r>
          </w:p>
        </w:tc>
      </w:tr>
      <w:tr>
        <w:tc>
          <w:tcPr>
            <w:tcW w:type="dxa" w:w="3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TOTAL PHASE 1</w:t>
            </w:r>
          </w:p>
        </w:tc>
        <w:tc>
          <w:tcPr>
            <w:tcW w:type="dxa" w:w="37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2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75 000 – 116 000</w:t>
            </w:r>
          </w:p>
        </w:tc>
      </w:tr>
    </w:tbl>
    <w:p>
      <w:pPr>
        <w:spacing w:before="160" w:after="0"/>
      </w:pPr>
      <w:r>
        <w:rPr>
          <w:rFonts w:ascii="Arial" w:cs="Arial" w:eastAsia="Arial" w:hAnsi="Arial"/>
          <w:b w:val="false"/>
          <w:bCs w:val="false"/>
          <w:i w:val="false"/>
          <w:iCs w:val="false"/>
          <w:color w:val="1A1A1A"/>
          <w:sz w:val="22"/>
          <w:szCs w:val="22"/>
        </w:rPr>
        <w:t xml:space="preserve"/>
      </w:r>
    </w:p>
    <w:p>
      <w:pPr>
        <w:spacing w:before="80" w:after="80"/>
      </w:pPr>
      <w:r>
        <w:rPr>
          <w:rFonts w:ascii="Arial" w:cs="Arial" w:eastAsia="Arial" w:hAnsi="Arial"/>
          <w:b w:val="false"/>
          <w:bCs w:val="false"/>
          <w:i/>
          <w:iCs/>
          <w:color w:val="666666"/>
          <w:sz w:val="20"/>
          <w:szCs w:val="20"/>
        </w:rPr>
        <w:t xml:space="preserve">Note : certains postes (véhicules, ERP) peuvent être financés par Bpifrance (prêt numérique, aide à l'innovation) ou par des dispositifs régionaux. À étudier dès M1.</w:t>
      </w:r>
    </w:p>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60" w:after="120"/>
      </w:pPr>
      <w:r>
        <w:rPr>
          <w:rFonts w:ascii="Arial" w:cs="Arial" w:eastAsia="Arial" w:hAnsi="Arial"/>
          <w:b/>
          <w:bCs/>
          <w:color w:val="2E6DA4"/>
          <w:sz w:val="28"/>
          <w:szCs w:val="28"/>
        </w:rPr>
        <w:t xml:space="preserve">7.2 Projections chiffre d'affaires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2400"/>
        <w:gridCol w:w="2200"/>
      </w:tblGrid>
      <w:tr>
        <w:trPr>
          <w:tblHeader/>
        </w:trPr>
        <w:tc>
          <w:tcPr>
            <w:tcW w:type="dxa" w:w="1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Année</w:t>
            </w:r>
          </w:p>
        </w:tc>
        <w:tc>
          <w:tcPr>
            <w:tcW w:type="dxa" w:w="1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Nb techniciens</w:t>
            </w:r>
          </w:p>
        </w:tc>
        <w:tc>
          <w:tcPr>
            <w:tcW w:type="dxa" w:w="21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Interventions/mois</w:t>
            </w:r>
          </w:p>
        </w:tc>
        <w:tc>
          <w:tcPr>
            <w:tcW w:type="dxa" w:w="24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CA estimé (€ HT/an)</w:t>
            </w:r>
          </w:p>
        </w:tc>
        <w:tc>
          <w:tcPr>
            <w:tcW w:type="dxa" w:w="22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Marge nette estimée</w:t>
            </w:r>
          </w:p>
        </w:tc>
      </w:tr>
      <w:tr>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 1 (M0-M12)</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2-3</w:t>
            </w:r>
          </w:p>
        </w:tc>
        <w:tc>
          <w:tcPr>
            <w:tcW w:type="dxa" w:w="21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80-120</w:t>
            </w:r>
          </w:p>
        </w:tc>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180 000 – 280 000</w:t>
            </w:r>
          </w:p>
        </w:tc>
        <w:tc>
          <w:tcPr>
            <w:tcW w:type="dxa" w:w="2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15-20%</w:t>
            </w:r>
          </w:p>
        </w:tc>
      </w:tr>
      <w:tr>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 2 (M12-M24)</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5</w:t>
            </w:r>
          </w:p>
        </w:tc>
        <w:tc>
          <w:tcPr>
            <w:tcW w:type="dxa" w:w="21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200-300</w:t>
            </w:r>
          </w:p>
        </w:tc>
        <w:tc>
          <w:tcPr>
            <w:tcW w:type="dxa" w:w="2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400 000 – 600 000</w:t>
            </w:r>
          </w:p>
        </w:tc>
        <w:tc>
          <w:tcPr>
            <w:tcW w:type="dxa" w:w="2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18-22%</w:t>
            </w:r>
          </w:p>
        </w:tc>
      </w:tr>
      <w:tr>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 3 (M24-M36)</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10</w:t>
            </w:r>
          </w:p>
        </w:tc>
        <w:tc>
          <w:tcPr>
            <w:tcW w:type="dxa" w:w="21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400-600</w:t>
            </w:r>
          </w:p>
        </w:tc>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900 000 – 1 400 000</w:t>
            </w:r>
          </w:p>
        </w:tc>
        <w:tc>
          <w:tcPr>
            <w:tcW w:type="dxa" w:w="2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20-25%</w:t>
            </w:r>
          </w:p>
        </w:tc>
      </w:tr>
      <w:tr>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 4 (M36-M48)</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20</w:t>
            </w:r>
          </w:p>
        </w:tc>
        <w:tc>
          <w:tcPr>
            <w:tcW w:type="dxa" w:w="21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800-1200</w:t>
            </w:r>
          </w:p>
        </w:tc>
        <w:tc>
          <w:tcPr>
            <w:tcW w:type="dxa" w:w="2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1 800 000 – 2 800 000</w:t>
            </w:r>
          </w:p>
        </w:tc>
        <w:tc>
          <w:tcPr>
            <w:tcW w:type="dxa" w:w="2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22-25%</w:t>
            </w:r>
          </w:p>
        </w:tc>
      </w:tr>
      <w:tr>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 5 (M48-M60)</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30+</w:t>
            </w:r>
          </w:p>
        </w:tc>
        <w:tc>
          <w:tcPr>
            <w:tcW w:type="dxa" w:w="21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1200+</w:t>
            </w:r>
          </w:p>
        </w:tc>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3 000 000 – 5 000 000</w:t>
            </w:r>
          </w:p>
        </w:tc>
        <w:tc>
          <w:tcPr>
            <w:tcW w:type="dxa" w:w="2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22-28%</w:t>
            </w:r>
          </w:p>
        </w:tc>
      </w:tr>
    </w:tbl>
    <w:p>
      <w:pPr>
        <w:spacing w:before="160" w:after="0"/>
      </w:pPr>
      <w:r>
        <w:rPr>
          <w:rFonts w:ascii="Arial" w:cs="Arial" w:eastAsia="Arial" w:hAnsi="Arial"/>
          <w:b w:val="false"/>
          <w:bCs w:val="false"/>
          <w:i w:val="false"/>
          <w:iCs w:val="false"/>
          <w:color w:val="1A1A1A"/>
          <w:sz w:val="22"/>
          <w:szCs w:val="22"/>
        </w:rPr>
        <w:t xml:space="preserve"/>
      </w:r>
    </w:p>
    <w:p>
      <w:pPr>
        <w:spacing w:before="80" w:after="80"/>
        <w:jc w:val="both"/>
      </w:pPr>
      <w:r>
        <w:rPr>
          <w:rFonts w:ascii="Arial" w:cs="Arial" w:eastAsia="Arial" w:hAnsi="Arial"/>
          <w:b w:val="false"/>
          <w:bCs w:val="false"/>
          <w:i w:val="false"/>
          <w:iCs w:val="false"/>
          <w:color w:val="1A1A1A"/>
          <w:sz w:val="22"/>
          <w:szCs w:val="22"/>
        </w:rPr>
        <w:t xml:space="preserve">Ces projections reposent sur un tarif moyen d'intervention rang 1 entre 80€ et 120€ HT (raccordement standard) à 200-400€ (raccordement long/complexe), conformément aux recommandations tarifaires ARCEP de juillet 2023.</w:t>
      </w:r>
    </w:p>
    <w:p>
      <w:r>
        <w:br w:type="page"/>
      </w:r>
    </w:p>
    <w:p>
      <w:pPr>
        <w:pStyle w:val="Heading1"/>
        <w:pBdr>
          <w:bottom w:val="single" w:color="1A3A5C" w:sz="6" w:space="6"/>
        </w:pBdr>
        <w:spacing w:before="480" w:after="160"/>
      </w:pPr>
      <w:r>
        <w:rPr>
          <w:rFonts w:ascii="Arial" w:cs="Arial" w:eastAsia="Arial" w:hAnsi="Arial"/>
          <w:b/>
          <w:bCs/>
          <w:color w:val="1A3A5C"/>
          <w:sz w:val="36"/>
          <w:szCs w:val="36"/>
        </w:rPr>
        <w:t xml:space="preserve">8. Analyse des risques et mesures d'atténuation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rPr>
          <w:tblHeader/>
        </w:trPr>
        <w:tc>
          <w:tcPr>
            <w:tcW w:type="dxa" w:w="2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Risque</w:t>
            </w:r>
          </w:p>
        </w:tc>
        <w:tc>
          <w:tcPr>
            <w:tcW w:type="dxa" w:w="12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Probabilité</w:t>
            </w:r>
          </w:p>
        </w:tc>
        <w:tc>
          <w:tcPr>
            <w:tcW w:type="dxa" w:w="12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Impact</w:t>
            </w:r>
          </w:p>
        </w:tc>
        <w:tc>
          <w:tcPr>
            <w:tcW w:type="dxa" w:w="43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Mesure d'atténuation</w:t>
            </w:r>
          </w:p>
        </w:tc>
      </w:tr>
      <w:tr>
        <w:tc>
          <w:tcPr>
            <w:tcW w:type="dxa" w:w="2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Délai obtention labellisation Infranum</w:t>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Moyen</w:t>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Élevé</w:t>
            </w:r>
          </w:p>
        </w:tc>
        <w:tc>
          <w:tcPr>
            <w:tcW w:type="dxa" w:w="4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Démarrer le dossier dès M1, anticiper les audits externes</w:t>
            </w:r>
          </w:p>
        </w:tc>
      </w:tr>
      <w:tr>
        <w:tc>
          <w:tcPr>
            <w:tcW w:type="dxa" w:w="2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Taille critique insuffisante pour AO Orange</w:t>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Élevé</w:t>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Élevé</w:t>
            </w:r>
          </w:p>
        </w:tc>
        <w:tc>
          <w:tcPr>
            <w:tcW w:type="dxa" w:w="43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Cibler d'abord SFR (relation existante ERT), puis Orange</w:t>
            </w:r>
          </w:p>
        </w:tc>
      </w:tr>
      <w:tr>
        <w:tc>
          <w:tcPr>
            <w:tcW w:type="dxa" w:w="2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FXN ERP non intégrable aux SI opérateurs</w:t>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Moyen</w:t>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Élevé</w:t>
            </w:r>
          </w:p>
        </w:tc>
        <w:tc>
          <w:tcPr>
            <w:tcW w:type="dxa" w:w="4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Recruter un dev télécom dès M3, tester les API en sandbox</w:t>
            </w:r>
          </w:p>
        </w:tc>
      </w:tr>
      <w:tr>
        <w:tc>
          <w:tcPr>
            <w:tcW w:type="dxa" w:w="2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Malfaçons terrain &gt; seuil ARCEP</w:t>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Faible</w:t>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Élevé</w:t>
            </w:r>
          </w:p>
        </w:tc>
        <w:tc>
          <w:tcPr>
            <w:tcW w:type="dxa" w:w="43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Formation renforcée, audit terrain mensuel, compagnonnage</w:t>
            </w:r>
          </w:p>
        </w:tc>
      </w:tr>
      <w:tr>
        <w:tc>
          <w:tcPr>
            <w:tcW w:type="dxa" w:w="2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Défaillance d'un technicien clé</w:t>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Moyen</w:t>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Moyen</w:t>
            </w:r>
          </w:p>
        </w:tc>
        <w:tc>
          <w:tcPr>
            <w:tcW w:type="dxa" w:w="4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Polyvalence, documentation procédures, recrutement anticipé</w:t>
            </w:r>
          </w:p>
        </w:tc>
      </w:tr>
      <w:tr>
        <w:tc>
          <w:tcPr>
            <w:tcW w:type="dxa" w:w="2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Perte contrat ERT (revenu actuel)</w:t>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Moyen</w:t>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Moyen</w:t>
            </w:r>
          </w:p>
        </w:tc>
        <w:tc>
          <w:tcPr>
            <w:tcW w:type="dxa" w:w="43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Maintenir la relation ERT en phase 1, diversifier dès M18</w:t>
            </w:r>
          </w:p>
        </w:tc>
      </w:tr>
      <w:tr>
        <w:tc>
          <w:tcPr>
            <w:tcW w:type="dxa" w:w="2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Évolution réglementaire défavorable</w:t>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Faible</w:t>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Moyen</w:t>
            </w:r>
          </w:p>
        </w:tc>
        <w:tc>
          <w:tcPr>
            <w:tcW w:type="dxa" w:w="4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Veille ARCEP/Sénat active, adhésion Infranum pour lobbying</w:t>
            </w:r>
          </w:p>
        </w:tc>
      </w:tr>
      <w:tr>
        <w:tc>
          <w:tcPr>
            <w:tcW w:type="dxa" w:w="2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Concurrence rang 1 (Spie, Vinci, Eiffage)</w:t>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Élevé</w:t>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Moyen</w:t>
            </w:r>
          </w:p>
        </w:tc>
        <w:tc>
          <w:tcPr>
            <w:tcW w:type="dxa" w:w="43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Différenciation par FXN ERP + réactivité PME vs grands groupes</w:t>
            </w:r>
          </w:p>
        </w:tc>
      </w:tr>
      <w:tr>
        <w:tc>
          <w:tcPr>
            <w:tcW w:type="dxa" w:w="2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Trésorerie insuffisante en phase 1</w:t>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Moyen</w:t>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Élevé</w:t>
            </w:r>
          </w:p>
        </w:tc>
        <w:tc>
          <w:tcPr>
            <w:tcW w:type="dxa" w:w="4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BPI + prêt bancaire + maintien revenus ERT en parallèle</w:t>
            </w:r>
          </w:p>
        </w:tc>
      </w:tr>
    </w:tbl>
    <w:p>
      <w:r>
        <w:br w:type="page"/>
      </w:r>
    </w:p>
    <w:p>
      <w:pPr>
        <w:pStyle w:val="Heading1"/>
        <w:pBdr>
          <w:bottom w:val="single" w:color="1A3A5C" w:sz="6" w:space="6"/>
        </w:pBdr>
        <w:spacing w:before="480" w:after="160"/>
      </w:pPr>
      <w:r>
        <w:rPr>
          <w:rFonts w:ascii="Arial" w:cs="Arial" w:eastAsia="Arial" w:hAnsi="Arial"/>
          <w:b/>
          <w:bCs/>
          <w:color w:val="1A3A5C"/>
          <w:sz w:val="36"/>
          <w:szCs w:val="36"/>
        </w:rPr>
        <w:t xml:space="preserve">9. Structure du dossier de candidature rang 1</w:t>
      </w:r>
    </w:p>
    <w:p>
      <w:pPr>
        <w:spacing w:before="80" w:after="80"/>
        <w:jc w:val="both"/>
      </w:pPr>
      <w:r>
        <w:rPr>
          <w:rFonts w:ascii="Arial" w:cs="Arial" w:eastAsia="Arial" w:hAnsi="Arial"/>
          <w:b w:val="false"/>
          <w:bCs w:val="false"/>
          <w:i w:val="false"/>
          <w:iCs w:val="false"/>
          <w:color w:val="1A1A1A"/>
          <w:sz w:val="22"/>
          <w:szCs w:val="22"/>
        </w:rPr>
        <w:t xml:space="preserve">Le dossier de candidature à remettre aux opérateurs lors des appels d'offres doit comporter les éléments suivants, classés par ordre d'importance décisionnelle :</w:t>
      </w:r>
    </w:p>
    <w:p>
      <w:pPr>
        <w:spacing w:before="12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880"/>
        <w:gridCol w:w="2200"/>
      </w:tblGrid>
      <w:tr>
        <w:trPr>
          <w:tblHeader/>
        </w:trPr>
        <w:tc>
          <w:tcPr>
            <w:tcW w:type="dxa" w:w="48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w:t>
            </w:r>
          </w:p>
        </w:tc>
        <w:tc>
          <w:tcPr>
            <w:tcW w:type="dxa" w:w="2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Section du dossier</w:t>
            </w:r>
          </w:p>
        </w:tc>
        <w:tc>
          <w:tcPr>
            <w:tcW w:type="dxa" w:w="388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Contenu attendu</w:t>
            </w:r>
          </w:p>
        </w:tc>
        <w:tc>
          <w:tcPr>
            <w:tcW w:type="dxa" w:w="22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Poids décisionnel</w:t>
            </w:r>
          </w:p>
        </w:tc>
      </w:tr>
      <w:tr>
        <w:tc>
          <w:tcPr>
            <w:tcW w:type="dxa" w:w="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w:t>
            </w:r>
          </w:p>
        </w:tc>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Présentation FXN SASU</w:t>
            </w:r>
          </w:p>
        </w:tc>
        <w:tc>
          <w:tcPr>
            <w:tcW w:type="dxa" w:w="38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KBIS, capital, assurances, organigramme, zones d'intervention</w:t>
            </w:r>
          </w:p>
        </w:tc>
        <w:tc>
          <w:tcPr>
            <w:tcW w:type="dxa" w:w="2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Prérequis</w:t>
            </w:r>
          </w:p>
        </w:tc>
      </w:tr>
      <w:tr>
        <w:tc>
          <w:tcPr>
            <w:tcW w:type="dxa" w:w="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2</w:t>
            </w:r>
          </w:p>
        </w:tc>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Certifications &amp; habilitations</w:t>
            </w:r>
          </w:p>
        </w:tc>
        <w:tc>
          <w:tcPr>
            <w:tcW w:type="dxa" w:w="38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Labels Infranum/Qualifélec, AIPR, cartes BTP de chaque technicien</w:t>
            </w:r>
          </w:p>
        </w:tc>
        <w:tc>
          <w:tcPr>
            <w:tcW w:type="dxa" w:w="2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Éliminatoire</w:t>
            </w:r>
          </w:p>
        </w:tc>
      </w:tr>
      <w:tr>
        <w:tc>
          <w:tcPr>
            <w:tcW w:type="dxa" w:w="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3</w:t>
            </w:r>
          </w:p>
        </w:tc>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Références terrain</w:t>
            </w:r>
          </w:p>
        </w:tc>
        <w:tc>
          <w:tcPr>
            <w:tcW w:type="dxa" w:w="38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500+ interventions tracées, KPIs : malfaçons &lt; 2%, MES &lt; 60j</w:t>
            </w:r>
          </w:p>
        </w:tc>
        <w:tc>
          <w:tcPr>
            <w:tcW w:type="dxa" w:w="2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Très fort</w:t>
            </w:r>
          </w:p>
        </w:tc>
      </w:tr>
      <w:tr>
        <w:tc>
          <w:tcPr>
            <w:tcW w:type="dxa" w:w="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4</w:t>
            </w:r>
          </w:p>
        </w:tc>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Présentation FXN ERP</w:t>
            </w:r>
          </w:p>
        </w:tc>
        <w:tc>
          <w:tcPr>
            <w:tcW w:type="dxa" w:w="38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Démo live ou screenshots : CRI, e-intervention, dashboard ARCEP</w:t>
            </w:r>
          </w:p>
        </w:tc>
        <w:tc>
          <w:tcPr>
            <w:tcW w:type="dxa" w:w="2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Très fort</w:t>
            </w:r>
          </w:p>
        </w:tc>
      </w:tr>
      <w:tr>
        <w:tc>
          <w:tcPr>
            <w:tcW w:type="dxa" w:w="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5</w:t>
            </w:r>
          </w:p>
        </w:tc>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Conformité sociale</w:t>
            </w:r>
          </w:p>
        </w:tc>
        <w:tc>
          <w:tcPr>
            <w:tcW w:type="dxa" w:w="38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Attestations URSSAF, derniers bulletins de paie, absence AT/MP</w:t>
            </w:r>
          </w:p>
        </w:tc>
        <w:tc>
          <w:tcPr>
            <w:tcW w:type="dxa" w:w="2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Fort</w:t>
            </w:r>
          </w:p>
        </w:tc>
      </w:tr>
      <w:tr>
        <w:tc>
          <w:tcPr>
            <w:tcW w:type="dxa" w:w="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6</w:t>
            </w:r>
          </w:p>
        </w:tc>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Plan de montée en charge</w:t>
            </w:r>
          </w:p>
        </w:tc>
        <w:tc>
          <w:tcPr>
            <w:tcW w:type="dxa" w:w="38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Capacité à recruter et certifier N techniciens supplémentaires en M jours</w:t>
            </w:r>
          </w:p>
        </w:tc>
        <w:tc>
          <w:tcPr>
            <w:tcW w:type="dxa" w:w="2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Fort</w:t>
            </w:r>
          </w:p>
        </w:tc>
      </w:tr>
      <w:tr>
        <w:tc>
          <w:tcPr>
            <w:tcW w:type="dxa" w:w="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7</w:t>
            </w:r>
          </w:p>
        </w:tc>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Plan qualité</w:t>
            </w:r>
          </w:p>
        </w:tc>
        <w:tc>
          <w:tcPr>
            <w:tcW w:type="dxa" w:w="38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Procédures internes, workflow malfaçons, plan de formation continue</w:t>
            </w:r>
          </w:p>
        </w:tc>
        <w:tc>
          <w:tcPr>
            <w:tcW w:type="dxa" w:w="2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Fort</w:t>
            </w:r>
          </w:p>
        </w:tc>
      </w:tr>
      <w:tr>
        <w:tc>
          <w:tcPr>
            <w:tcW w:type="dxa" w:w="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8</w:t>
            </w:r>
          </w:p>
        </w:tc>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Proposition financière</w:t>
            </w:r>
          </w:p>
        </w:tc>
        <w:tc>
          <w:tcPr>
            <w:tcW w:type="dxa" w:w="38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Grille tarifaire par type d'intervention, modalités de facturation</w:t>
            </w:r>
          </w:p>
        </w:tc>
        <w:tc>
          <w:tcPr>
            <w:tcW w:type="dxa" w:w="2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Moyen</w:t>
            </w:r>
          </w:p>
        </w:tc>
      </w:tr>
      <w:tr>
        <w:tc>
          <w:tcPr>
            <w:tcW w:type="dxa" w:w="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9</w:t>
            </w:r>
          </w:p>
        </w:tc>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Engagement RSE</w:t>
            </w:r>
          </w:p>
        </w:tc>
        <w:tc>
          <w:tcPr>
            <w:tcW w:type="dxa" w:w="38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Emplois locaux, pas de travailleurs détachés, bilan carbone véhicules</w:t>
            </w:r>
          </w:p>
        </w:tc>
        <w:tc>
          <w:tcPr>
            <w:tcW w:type="dxa" w:w="2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Bonus</w:t>
            </w:r>
          </w:p>
        </w:tc>
      </w:tr>
    </w:tbl>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60" w:after="120"/>
      </w:pPr>
      <w:r>
        <w:rPr>
          <w:rFonts w:ascii="Arial" w:cs="Arial" w:eastAsia="Arial" w:hAnsi="Arial"/>
          <w:b/>
          <w:bCs/>
          <w:color w:val="2E6DA4"/>
          <w:sz w:val="28"/>
          <w:szCs w:val="28"/>
        </w:rPr>
        <w:t xml:space="preserve">9.1 Argumentaire différenciateur FXN</w:t>
      </w:r>
    </w:p>
    <w:p>
      <w:pPr>
        <w:spacing w:before="80" w:after="80"/>
        <w:jc w:val="both"/>
      </w:pPr>
      <w:r>
        <w:rPr>
          <w:rFonts w:ascii="Arial" w:cs="Arial" w:eastAsia="Arial" w:hAnsi="Arial"/>
          <w:b w:val="false"/>
          <w:bCs w:val="false"/>
          <w:i w:val="false"/>
          <w:iCs w:val="false"/>
          <w:color w:val="1A1A1A"/>
          <w:sz w:val="22"/>
          <w:szCs w:val="22"/>
        </w:rPr>
        <w:t xml:space="preserve">Face aux grands groupes (Spie, Vinci, Eiffage), FXN SASU peut valoriser les arguments suivants dans son dossier :</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Réactivité PME : décision en 24h, technicien identifié et joignable directement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FXN ERP propriétaire : le seul sous-traitant rang 1 avec un outil d'audit ARCEP natif</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Transparence totale : chaque intervention tracée, chaque technicien certifié, tout accessible en temps réel par l'opérateur</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Expérience SFR/Osiris : connaissance des processus SFR, réduction de la courbe d'apprentissage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Zéro travail dissimulé : conformité URSSAF démontrée, pas de sous-traitance cascade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Engagement local : emplois durables, formation interne, ancrage territorial</w:t>
      </w:r>
    </w:p>
    <w:p>
      <w:r>
        <w:br w:type="page"/>
      </w:r>
    </w:p>
    <w:p>
      <w:pPr>
        <w:pStyle w:val="Heading1"/>
        <w:pBdr>
          <w:bottom w:val="single" w:color="1A3A5C" w:sz="6" w:space="6"/>
        </w:pBdr>
        <w:spacing w:before="480" w:after="160"/>
      </w:pPr>
      <w:r>
        <w:rPr>
          <w:rFonts w:ascii="Arial" w:cs="Arial" w:eastAsia="Arial" w:hAnsi="Arial"/>
          <w:b/>
          <w:bCs/>
          <w:color w:val="1A3A5C"/>
          <w:sz w:val="36"/>
          <w:szCs w:val="36"/>
        </w:rPr>
        <w:t xml:space="preserve">10. Plan d'actions immédiat — 90 premiers jours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3800"/>
        <w:gridCol w:w="1800"/>
        <w:gridCol w:w="2800"/>
      </w:tblGrid>
      <w:tr>
        <w:trPr>
          <w:tblHeader/>
        </w:trPr>
        <w:tc>
          <w:tcPr>
            <w:tcW w:type="dxa" w:w="9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Semaine</w:t>
            </w:r>
          </w:p>
        </w:tc>
        <w:tc>
          <w:tcPr>
            <w:tcW w:type="dxa" w:w="3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Action prioritaire</w:t>
            </w:r>
          </w:p>
        </w:tc>
        <w:tc>
          <w:tcPr>
            <w:tcW w:type="dxa" w:w="1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Responsable</w:t>
            </w:r>
          </w:p>
        </w:tc>
        <w:tc>
          <w:tcPr>
            <w:tcW w:type="dxa" w:w="2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Livrable</w:t>
            </w:r>
          </w:p>
        </w:tc>
      </w:tr>
      <w:tr>
        <w:tc>
          <w:tcPr>
            <w:tcW w:type="dxa" w:w="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S1-S2</w:t>
            </w:r>
          </w:p>
        </w:tc>
        <w:tc>
          <w:tcPr>
            <w:tcW w:type="dxa" w:w="3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Audit interne conformité ARCEP + URSSAF (état des lieux)</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Coulibaly</w:t>
            </w:r>
          </w:p>
        </w:tc>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Rapport d'écarts</w:t>
            </w:r>
          </w:p>
        </w:tc>
      </w:tr>
      <w:tr>
        <w:tc>
          <w:tcPr>
            <w:tcW w:type="dxa" w:w="9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S2-S3</w:t>
            </w:r>
          </w:p>
        </w:tc>
        <w:tc>
          <w:tcPr>
            <w:tcW w:type="dxa" w:w="3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Contact Infranum : demande de dossier de labellisation</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Coulibaly</w:t>
            </w:r>
          </w:p>
        </w:tc>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Dossier reçu</w:t>
            </w:r>
          </w:p>
        </w:tc>
      </w:tr>
      <w:tr>
        <w:tc>
          <w:tcPr>
            <w:tcW w:type="dxa" w:w="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S3-S4</w:t>
            </w:r>
          </w:p>
        </w:tc>
        <w:tc>
          <w:tcPr>
            <w:tcW w:type="dxa" w:w="3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Définir roadmap FXN ERP v1.0 (modules CRI + e-intervention en priorité)</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Coulibaly + dev</w:t>
            </w:r>
          </w:p>
        </w:tc>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Backlog priorisé</w:t>
            </w:r>
          </w:p>
        </w:tc>
      </w:tr>
      <w:tr>
        <w:tc>
          <w:tcPr>
            <w:tcW w:type="dxa" w:w="9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S4-S6</w:t>
            </w:r>
          </w:p>
        </w:tc>
        <w:tc>
          <w:tcPr>
            <w:tcW w:type="dxa" w:w="3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Identifier 2-3 techniciens à certifier FNTP/Qualifélec</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Coulibaly</w:t>
            </w:r>
          </w:p>
        </w:tc>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Dossiers inscrits</w:t>
            </w:r>
          </w:p>
        </w:tc>
      </w:tr>
      <w:tr>
        <w:tc>
          <w:tcPr>
            <w:tcW w:type="dxa" w:w="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S6-S8</w:t>
            </w:r>
          </w:p>
        </w:tc>
        <w:tc>
          <w:tcPr>
            <w:tcW w:type="dxa" w:w="3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Contacter ERT pour discussion évolution vers rang 1 (partenariat vs concurrence)</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Coulibaly</w:t>
            </w:r>
          </w:p>
        </w:tc>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Compte rendu réunion</w:t>
            </w:r>
          </w:p>
        </w:tc>
      </w:tr>
      <w:tr>
        <w:tc>
          <w:tcPr>
            <w:tcW w:type="dxa" w:w="9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S8-S10</w:t>
            </w:r>
          </w:p>
        </w:tc>
        <w:tc>
          <w:tcPr>
            <w:tcW w:type="dxa" w:w="3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Développement module CRI + certificat conformité dans FXN ERP</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Dev</w:t>
            </w:r>
          </w:p>
        </w:tc>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Module livré en recette</w:t>
            </w:r>
          </w:p>
        </w:tc>
      </w:tr>
      <w:tr>
        <w:tc>
          <w:tcPr>
            <w:tcW w:type="dxa" w:w="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S10-S12</w:t>
            </w:r>
          </w:p>
        </w:tc>
        <w:tc>
          <w:tcPr>
            <w:tcW w:type="dxa" w:w="3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Réaliser 50 interventions tracées dans FXN ERP (pilote interne)</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Équipe terrain</w:t>
            </w:r>
          </w:p>
        </w:tc>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Export KPIs pilote</w:t>
            </w:r>
          </w:p>
        </w:tc>
      </w:tr>
    </w:tbl>
    <w:p>
      <w:pPr>
        <w:spacing w:before="300" w:after="0"/>
      </w:pPr>
      <w:r>
        <w:rPr>
          <w:rFonts w:ascii="Arial" w:cs="Arial" w:eastAsia="Arial" w:hAnsi="Arial"/>
          <w:b w:val="false"/>
          <w:bCs w:val="false"/>
          <w:i w:val="false"/>
          <w:iCs w:val="false"/>
          <w:color w:val="1A1A1A"/>
          <w:sz w:val="22"/>
          <w:szCs w:val="22"/>
        </w:rPr>
        <w:t xml:space="preserve"/>
      </w:r>
    </w:p>
    <w:p>
      <w:pPr>
        <w:spacing w:before="200" w:after="100"/>
        <w:jc w:val="center"/>
      </w:pPr>
      <w:r>
        <w:rPr>
          <w:rFonts w:ascii="Arial" w:cs="Arial" w:eastAsia="Arial" w:hAnsi="Arial"/>
          <w:color w:val="2E6DA4"/>
          <w:sz w:val="22"/>
          <w:szCs w:val="22"/>
        </w:rPr>
        <w:t xml:space="preserve">─────────────────────────────────────────</w:t>
      </w:r>
    </w:p>
    <w:p>
      <w:pPr>
        <w:spacing w:before="0" w:after="0"/>
        <w:jc w:val="center"/>
      </w:pPr>
      <w:r>
        <w:rPr>
          <w:rFonts w:ascii="Arial" w:cs="Arial" w:eastAsia="Arial" w:hAnsi="Arial"/>
          <w:i/>
          <w:iCs/>
          <w:color w:val="888888"/>
          <w:sz w:val="20"/>
          <w:szCs w:val="20"/>
        </w:rPr>
        <w:t xml:space="preserve">FXN SASU — Confidentiel — Mars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spacing w:before="80" w:after="0"/>
      <w:jc w:val="right"/>
    </w:pPr>
    <w:r>
      <w:rPr>
        <w:rFonts w:ascii="Arial" w:cs="Arial" w:eastAsia="Arial" w:hAnsi="Arial"/>
        <w:b w:val="false"/>
        <w:bCs w:val="false"/>
        <w:i w:val="false"/>
        <w:iCs w:val="false"/>
        <w:color w:val="888888"/>
        <w:sz w:val="18"/>
        <w:szCs w:val="18"/>
      </w:rPr>
      <w:t xml:space="preserve">FXN SASU © 2026  |  </w:t>
    </w:r>
    <w:r>
      <w:rPr>
        <w:rFonts w:ascii="Arial" w:cs="Arial" w:eastAsia="Arial" w:hAnsi="Arial"/>
        <w:color w:val="888888"/>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before="0" w:after="80"/>
    </w:pPr>
    <w:r>
      <w:rPr>
        <w:rFonts w:ascii="Arial" w:cs="Arial" w:eastAsia="Arial" w:hAnsi="Arial"/>
        <w:b w:val="false"/>
        <w:bCs w:val="false"/>
        <w:i w:val="false"/>
        <w:iCs w:val="false"/>
        <w:color w:val="888888"/>
        <w:sz w:val="18"/>
        <w:szCs w:val="18"/>
      </w:rPr>
      <w:t xml:space="preserve">FXN SASU — Cahier des Charges Rang 1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2E6DA4"/>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2026-03-24T12:14:39.376Z</dcterms:created>
  <dcterms:modified xsi:type="dcterms:W3CDTF">2026-03-24T12:14:39.377Z</dcterms:modified>
</cp:coreProperties>
</file>

<file path=docProps/custom.xml><?xml version="1.0" encoding="utf-8"?>
<Properties xmlns="http://schemas.openxmlformats.org/officeDocument/2006/custom-properties" xmlns:vt="http://schemas.openxmlformats.org/officeDocument/2006/docPropsVTypes"/>
</file>