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40"/>
      </w:pPr>
    </w:p>
    <w:p>
      <w:pPr>
        <w:pStyle w:val="Kicker"/>
        <w:keepNext/>
      </w:pPr>
      <w:r>
        <w:t>RCP #13  |  CLOUD MONITORING PROJECT</w:t>
      </w:r>
    </w:p>
    <w:p>
      <w:pPr>
        <w:pStyle w:val="Title"/>
      </w:pPr>
      <w:r>
        <w:t>Internal Monitoring and</w:t>
        <w:br/>
        <w:t>Observability Platform</w:t>
      </w:r>
    </w:p>
    <w:p>
      <w:pPr>
        <w:pStyle w:val="Subtitle"/>
      </w:pPr>
      <w:r>
        <w:t>Prometheus and Grafana on Microsoft Azure</w:t>
      </w:r>
    </w:p>
    <w:p>
      <w:pPr>
        <w:spacing w:before="280" w:after="1560"/>
        <w:jc w:val="center"/>
      </w:pPr>
      <w:r>
        <w:rPr>
          <w:rFonts w:ascii="Calibri" w:hAnsi="Calibri" w:eastAsia="Calibri"/>
          <w:b/>
          <w:color w:val="7A5A00"/>
          <w:sz w:val="21"/>
        </w:rPr>
        <w:t>Terraform  |  Bash  |  Docker Compose  |  Prometheus  |  Grafana</w:t>
      </w:r>
    </w:p>
    <w:p>
      <w:pPr>
        <w:spacing w:after="100"/>
        <w:jc w:val="center"/>
      </w:pPr>
      <w:r>
        <w:rPr>
          <w:rFonts w:ascii="Calibri" w:hAnsi="Calibri" w:eastAsia="Calibri"/>
          <w:b/>
          <w:color w:val="0B2545"/>
          <w:sz w:val="22"/>
        </w:rPr>
        <w:t>Prepared for Cloud Project Review</w:t>
      </w:r>
    </w:p>
    <w:p>
      <w:pPr>
        <w:jc w:val="center"/>
      </w:pPr>
      <w:r>
        <w:rPr>
          <w:rFonts w:ascii="Calibri" w:hAnsi="Calibri" w:eastAsia="Calibri"/>
          <w:color w:val="6B7280"/>
          <w:sz w:val="20"/>
        </w:rPr>
        <w:t>23 August 2026</w:t>
      </w:r>
    </w:p>
    <w:p>
      <w:r>
        <w:br w:type="page"/>
      </w:r>
    </w:p>
    <w:p>
      <w:pPr>
        <w:pStyle w:val="Heading1"/>
      </w:pPr>
      <w:r>
        <w:t>Executive Summary</w:t>
      </w:r>
    </w:p>
    <w:p>
      <w:pPr>
        <w:pStyle w:val="Lead"/>
      </w:pPr>
      <w:r>
        <w:t>This project delivers a repeatable internal monitoring platform that turns Azure infrastructure, container, application, uptime, and business telemetry into operational dashboards and actionable alerts.</w:t>
      </w:r>
    </w:p>
    <w:p>
      <w:pPr/>
      <w:r>
        <w:t>The solution implements the brief with Terraform for Microsoft Azure provisioning, Bash for deployment automation, and Docker Compose for a containerized Prometheus and Grafana stack. Node Exporter and cAdvisor supply host and container metrics; Blackbox Exporter verifies service availability; Alertmanager manages firing and resolved alerts; and an instrumented demonstration application proves end-to-end business metrics for orders, revenue, inventory, errors, and alert notifications.</w:t>
      </w:r>
    </w:p>
    <w:p>
      <w:pPr/>
      <w:r>
        <w:t>The reference deployment intentionally balances completeness with training-subscription cost. A single Ubuntu virtual machine hosts the stack, a network security group restricts SSH and Grafana to the administrator's CIDR, and Prometheus, Alertmanager, and the demonstration service remain private to the VM. Persistent volumes, automated health checks, backup tooling, a test plan, and an operations runbook make the result usable beyond initial deployment.</w:t>
      </w:r>
    </w:p>
    <w:p>
      <w:pPr>
        <w:keepLines/>
        <w:spacing w:before="80" w:after="200" w:line="276" w:lineRule="auto"/>
        <w:ind w:left="216" w:right="144"/>
        <w:shd w:fill="F4F6F9"/>
        <w:pBdr>
          <w:left w:val="single" w:sz="18" w:space="8" w:color="1F6B4A"/>
        </w:pBdr>
      </w:pPr>
      <w:r>
        <w:rPr>
          <w:rFonts w:ascii="Calibri" w:hAnsi="Calibri" w:eastAsia="Calibri"/>
          <w:b/>
          <w:color w:val="1F6B4A"/>
        </w:rPr>
        <w:t xml:space="preserve">Delivery status: </w:t>
      </w:r>
      <w:r>
        <w:t>The package is implementation-complete and deployment-ready. Offline validation, PromQL parsing, ShellCheck, dashboard structure checks, and a live component test passed. Azure- and Docker-level acceptance tests require the recipient's subscription and Linux container runtime and are explicitly listed in the test plan.</w:t>
      </w:r>
    </w:p>
    <w:p>
      <w:pPr>
        <w:pStyle w:val="Heading1"/>
      </w:pPr>
      <w:r>
        <w:t>1. Business Context and Problem</w:t>
      </w:r>
    </w:p>
    <w:p>
      <w:pPr/>
      <w:r>
        <w:t>Modern services continuously emit resource, request, error, availability, and domain-level measurements. When those signals remain scattered across individual hosts and applications, operations teams discover degradation late, investigate incidents without a shared timeline, and cannot relate technical health to business outcomes. The assignment brief identifies this visibility gap and proposes Prometheus and Grafana as the core of a centralized internal platform.</w:t>
      </w:r>
    </w:p>
    <w:p>
      <w:pPr/>
      <w:r>
        <w:t>Prometheus uses a declarative configuration to scrape targets and load rule files, while Grafana can provision data sources and dashboards from version-controlled files. Alertmanager separates alert evaluation from notification grouping, inhibition, and routing. Together, these components support a configuration-as-code workflow that can be reviewed, repeated, and extended without manual dashboard setup.</w:t>
      </w:r>
    </w:p>
    <w:p>
      <w:pPr>
        <w:pStyle w:val="Heading1"/>
      </w:pPr>
      <w:r>
        <w:t>2. Objectives, Scope, and Success Criteria</w:t>
      </w:r>
    </w:p>
    <w:p>
      <w:pPr>
        <w:pStyle w:val="Caption"/>
        <w:keepNext/>
      </w:pPr>
      <w:r>
        <w:t>Table 1. Project objectives and measurable evidence</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2160"/>
        <w:gridCol w:w="3600"/>
        <w:gridCol w:w="3600"/>
      </w:tblGrid>
      <w:tr>
        <w:trPr>
          <w:tblHeader w:val="true"/>
        </w:trPr>
        <w:tc>
          <w:tcPr>
            <w:tcW w:type="dxa" w:w="2160"/>
            <w:shd w:fill="F2F4F7"/>
            <w:tcMar>
              <w:top w:w="80" w:type="dxa"/>
              <w:start w:w="120" w:type="dxa"/>
              <w:bottom w:w="80" w:type="dxa"/>
              <w:end w:w="120" w:type="dxa"/>
            </w:tcMar>
            <w:vAlign w:val="center"/>
          </w:tcPr>
          <w:p>
            <w:pPr>
              <w:pStyle w:val="TableHeader"/>
              <w:keepNext/>
            </w:pPr>
            <w:r>
              <w:t>Objective</w:t>
            </w:r>
          </w:p>
        </w:tc>
        <w:tc>
          <w:tcPr>
            <w:tcW w:type="dxa" w:w="3600"/>
            <w:shd w:fill="F2F4F7"/>
            <w:tcMar>
              <w:top w:w="80" w:type="dxa"/>
              <w:start w:w="120" w:type="dxa"/>
              <w:bottom w:w="80" w:type="dxa"/>
              <w:end w:w="120" w:type="dxa"/>
            </w:tcMar>
            <w:vAlign w:val="center"/>
          </w:tcPr>
          <w:p>
            <w:pPr>
              <w:pStyle w:val="TableHeader"/>
              <w:keepNext/>
            </w:pPr>
            <w:r>
              <w:t>Success measure</w:t>
            </w:r>
          </w:p>
        </w:tc>
        <w:tc>
          <w:tcPr>
            <w:tcW w:type="dxa" w:w="3600"/>
            <w:shd w:fill="F2F4F7"/>
            <w:tcMar>
              <w:top w:w="80" w:type="dxa"/>
              <w:start w:w="120" w:type="dxa"/>
              <w:bottom w:w="80" w:type="dxa"/>
              <w:end w:w="120" w:type="dxa"/>
            </w:tcMar>
            <w:vAlign w:val="center"/>
          </w:tcPr>
          <w:p>
            <w:pPr>
              <w:pStyle w:val="TableHeader"/>
              <w:keepNext/>
            </w:pPr>
            <w:r>
              <w:t>Implemented evidence</w:t>
            </w:r>
          </w:p>
        </w:tc>
      </w:tr>
      <w:tr>
        <w:tc>
          <w:tcPr>
            <w:tcW w:type="dxa" w:w="2160"/>
            <w:tcMar>
              <w:top w:w="80" w:type="dxa"/>
              <w:start w:w="120" w:type="dxa"/>
              <w:bottom w:w="80" w:type="dxa"/>
              <w:end w:w="120" w:type="dxa"/>
            </w:tcMar>
            <w:vAlign w:val="center"/>
          </w:tcPr>
          <w:p>
            <w:pPr>
              <w:pStyle w:val="TableText"/>
            </w:pPr>
            <w:r>
              <w:t>Central visibility</w:t>
            </w:r>
          </w:p>
        </w:tc>
        <w:tc>
          <w:tcPr>
            <w:tcW w:type="dxa" w:w="3600"/>
            <w:tcMar>
              <w:top w:w="80" w:type="dxa"/>
              <w:start w:w="120" w:type="dxa"/>
              <w:bottom w:w="80" w:type="dxa"/>
              <w:end w:w="120" w:type="dxa"/>
            </w:tcMar>
            <w:vAlign w:val="center"/>
          </w:tcPr>
          <w:p>
            <w:pPr>
              <w:pStyle w:val="TableText"/>
            </w:pPr>
            <w:r>
              <w:t>One dashboard covers host, containers, services, application, and business signals.</w:t>
            </w:r>
          </w:p>
        </w:tc>
        <w:tc>
          <w:tcPr>
            <w:tcW w:type="dxa" w:w="3600"/>
            <w:tcMar>
              <w:top w:w="80" w:type="dxa"/>
              <w:start w:w="120" w:type="dxa"/>
              <w:bottom w:w="80" w:type="dxa"/>
              <w:end w:w="120" w:type="dxa"/>
            </w:tcMar>
            <w:vAlign w:val="center"/>
          </w:tcPr>
          <w:p>
            <w:pPr>
              <w:pStyle w:val="TableText"/>
            </w:pPr>
            <w:r>
              <w:t>Provisioned 12-panel Operations Overview dashboard.</w:t>
            </w:r>
          </w:p>
        </w:tc>
      </w:tr>
      <w:tr>
        <w:tc>
          <w:tcPr>
            <w:tcW w:type="dxa" w:w="2160"/>
            <w:tcMar>
              <w:top w:w="80" w:type="dxa"/>
              <w:start w:w="120" w:type="dxa"/>
              <w:bottom w:w="80" w:type="dxa"/>
              <w:end w:w="120" w:type="dxa"/>
            </w:tcMar>
            <w:vAlign w:val="center"/>
          </w:tcPr>
          <w:p>
            <w:pPr>
              <w:pStyle w:val="TableText"/>
            </w:pPr>
            <w:r>
              <w:t>Early detection</w:t>
            </w:r>
          </w:p>
        </w:tc>
        <w:tc>
          <w:tcPr>
            <w:tcW w:type="dxa" w:w="3600"/>
            <w:tcMar>
              <w:top w:w="80" w:type="dxa"/>
              <w:start w:w="120" w:type="dxa"/>
              <w:bottom w:w="80" w:type="dxa"/>
              <w:end w:w="120" w:type="dxa"/>
            </w:tcMar>
            <w:vAlign w:val="center"/>
          </w:tcPr>
          <w:p>
            <w:pPr>
              <w:pStyle w:val="TableText"/>
            </w:pPr>
            <w:r>
              <w:t>Availability and capacity issues create actionable pending/firing alerts.</w:t>
            </w:r>
          </w:p>
        </w:tc>
        <w:tc>
          <w:tcPr>
            <w:tcW w:type="dxa" w:w="3600"/>
            <w:tcMar>
              <w:top w:w="80" w:type="dxa"/>
              <w:start w:w="120" w:type="dxa"/>
              <w:bottom w:w="80" w:type="dxa"/>
              <w:end w:w="120" w:type="dxa"/>
            </w:tcMar>
            <w:vAlign w:val="center"/>
          </w:tcPr>
          <w:p>
            <w:pPr>
              <w:pStyle w:val="TableText"/>
            </w:pPr>
            <w:r>
              <w:t>Three rule groups with severity, team, description, and runbook annotations.</w:t>
            </w:r>
          </w:p>
        </w:tc>
      </w:tr>
      <w:tr>
        <w:tc>
          <w:tcPr>
            <w:tcW w:type="dxa" w:w="2160"/>
            <w:tcMar>
              <w:top w:w="80" w:type="dxa"/>
              <w:start w:w="120" w:type="dxa"/>
              <w:bottom w:w="80" w:type="dxa"/>
              <w:end w:w="120" w:type="dxa"/>
            </w:tcMar>
            <w:vAlign w:val="center"/>
          </w:tcPr>
          <w:p>
            <w:pPr>
              <w:pStyle w:val="TableText"/>
            </w:pPr>
            <w:r>
              <w:t>Repeatable deployment</w:t>
            </w:r>
          </w:p>
        </w:tc>
        <w:tc>
          <w:tcPr>
            <w:tcW w:type="dxa" w:w="3600"/>
            <w:tcMar>
              <w:top w:w="80" w:type="dxa"/>
              <w:start w:w="120" w:type="dxa"/>
              <w:bottom w:w="80" w:type="dxa"/>
              <w:end w:w="120" w:type="dxa"/>
            </w:tcMar>
            <w:vAlign w:val="center"/>
          </w:tcPr>
          <w:p>
            <w:pPr>
              <w:pStyle w:val="TableText"/>
            </w:pPr>
            <w:r>
              <w:t>Infrastructure and services can be recreated from source-controlled definitions.</w:t>
            </w:r>
          </w:p>
        </w:tc>
        <w:tc>
          <w:tcPr>
            <w:tcW w:type="dxa" w:w="3600"/>
            <w:tcMar>
              <w:top w:w="80" w:type="dxa"/>
              <w:start w:w="120" w:type="dxa"/>
              <w:bottom w:w="80" w:type="dxa"/>
              <w:end w:w="120" w:type="dxa"/>
            </w:tcMar>
            <w:vAlign w:val="center"/>
          </w:tcPr>
          <w:p>
            <w:pPr>
              <w:pStyle w:val="TableText"/>
            </w:pPr>
            <w:r>
              <w:t>Azure Terraform, cloud-init, Compose, and Bash deployment workflow.</w:t>
            </w:r>
          </w:p>
        </w:tc>
      </w:tr>
      <w:tr>
        <w:tc>
          <w:tcPr>
            <w:tcW w:type="dxa" w:w="2160"/>
            <w:tcMar>
              <w:top w:w="80" w:type="dxa"/>
              <w:start w:w="120" w:type="dxa"/>
              <w:bottom w:w="80" w:type="dxa"/>
              <w:end w:w="120" w:type="dxa"/>
            </w:tcMar>
            <w:vAlign w:val="center"/>
          </w:tcPr>
          <w:p>
            <w:pPr>
              <w:pStyle w:val="TableText"/>
            </w:pPr>
            <w:r>
              <w:t>Secure administration</w:t>
            </w:r>
          </w:p>
        </w:tc>
        <w:tc>
          <w:tcPr>
            <w:tcW w:type="dxa" w:w="3600"/>
            <w:tcMar>
              <w:top w:w="80" w:type="dxa"/>
              <w:start w:w="120" w:type="dxa"/>
              <w:bottom w:w="80" w:type="dxa"/>
              <w:end w:w="120" w:type="dxa"/>
            </w:tcMar>
            <w:vAlign w:val="center"/>
          </w:tcPr>
          <w:p>
            <w:pPr>
              <w:pStyle w:val="TableText"/>
            </w:pPr>
            <w:r>
              <w:t>Only approved administrators reach public management interfaces.</w:t>
            </w:r>
          </w:p>
        </w:tc>
        <w:tc>
          <w:tcPr>
            <w:tcW w:type="dxa" w:w="3600"/>
            <w:tcMar>
              <w:top w:w="80" w:type="dxa"/>
              <w:start w:w="120" w:type="dxa"/>
              <w:bottom w:w="80" w:type="dxa"/>
              <w:end w:w="120" w:type="dxa"/>
            </w:tcMar>
            <w:vAlign w:val="center"/>
          </w:tcPr>
          <w:p>
            <w:pPr>
              <w:pStyle w:val="TableText"/>
            </w:pPr>
            <w:r>
              <w:t>CIDR-restricted NSG; open CIDR rejected; SSH keys only; private metric UIs.</w:t>
            </w:r>
          </w:p>
        </w:tc>
      </w:tr>
      <w:tr>
        <w:tc>
          <w:tcPr>
            <w:tcW w:type="dxa" w:w="2160"/>
            <w:tcMar>
              <w:top w:w="80" w:type="dxa"/>
              <w:start w:w="120" w:type="dxa"/>
              <w:bottom w:w="80" w:type="dxa"/>
              <w:end w:w="120" w:type="dxa"/>
            </w:tcMar>
            <w:vAlign w:val="center"/>
          </w:tcPr>
          <w:p>
            <w:pPr>
              <w:pStyle w:val="TableText"/>
            </w:pPr>
            <w:r>
              <w:t>Operational continuity</w:t>
            </w:r>
          </w:p>
        </w:tc>
        <w:tc>
          <w:tcPr>
            <w:tcW w:type="dxa" w:w="3600"/>
            <w:tcMar>
              <w:top w:w="80" w:type="dxa"/>
              <w:start w:w="120" w:type="dxa"/>
              <w:bottom w:w="80" w:type="dxa"/>
              <w:end w:w="120" w:type="dxa"/>
            </w:tcMar>
            <w:vAlign w:val="center"/>
          </w:tcPr>
          <w:p>
            <w:pPr>
              <w:pStyle w:val="TableText"/>
            </w:pPr>
            <w:r>
              <w:t>Data persists across restarts and can be backed up.</w:t>
            </w:r>
          </w:p>
        </w:tc>
        <w:tc>
          <w:tcPr>
            <w:tcW w:type="dxa" w:w="3600"/>
            <w:tcMar>
              <w:top w:w="80" w:type="dxa"/>
              <w:start w:w="120" w:type="dxa"/>
              <w:bottom w:w="80" w:type="dxa"/>
              <w:end w:w="120" w:type="dxa"/>
            </w:tcMar>
            <w:vAlign w:val="center"/>
          </w:tcPr>
          <w:p>
            <w:pPr>
              <w:pStyle w:val="TableText"/>
            </w:pPr>
            <w:r>
              <w:t>Named volumes, restart policies, backup archives, and checksums.</w:t>
            </w:r>
          </w:p>
        </w:tc>
      </w:tr>
      <w:tr>
        <w:tc>
          <w:tcPr>
            <w:tcW w:type="dxa" w:w="2160"/>
            <w:tcMar>
              <w:top w:w="80" w:type="dxa"/>
              <w:start w:w="120" w:type="dxa"/>
              <w:bottom w:w="80" w:type="dxa"/>
              <w:end w:w="120" w:type="dxa"/>
            </w:tcMar>
            <w:vAlign w:val="center"/>
          </w:tcPr>
          <w:p>
            <w:pPr>
              <w:pStyle w:val="TableText"/>
            </w:pPr>
            <w:r>
              <w:t>Demonstrable outcome</w:t>
            </w:r>
          </w:p>
        </w:tc>
        <w:tc>
          <w:tcPr>
            <w:tcW w:type="dxa" w:w="3600"/>
            <w:tcMar>
              <w:top w:w="80" w:type="dxa"/>
              <w:start w:w="120" w:type="dxa"/>
              <w:bottom w:w="80" w:type="dxa"/>
              <w:end w:w="120" w:type="dxa"/>
            </w:tcMar>
            <w:vAlign w:val="center"/>
          </w:tcPr>
          <w:p>
            <w:pPr>
              <w:pStyle w:val="TableText"/>
            </w:pPr>
            <w:r>
              <w:t>A reviewer can generate normal and failure signals without an external application.</w:t>
            </w:r>
          </w:p>
        </w:tc>
        <w:tc>
          <w:tcPr>
            <w:tcW w:type="dxa" w:w="3600"/>
            <w:tcMar>
              <w:top w:w="80" w:type="dxa"/>
              <w:start w:w="120" w:type="dxa"/>
              <w:bottom w:w="80" w:type="dxa"/>
              <w:end w:w="120" w:type="dxa"/>
            </w:tcMar>
            <w:vAlign w:val="center"/>
          </w:tcPr>
          <w:p>
            <w:pPr>
              <w:pStyle w:val="TableText"/>
            </w:pPr>
            <w:r>
              <w:t>Dependency-free demo service with order, revenue, inventory, error, and alert metrics.</w:t>
            </w:r>
          </w:p>
        </w:tc>
      </w:tr>
    </w:tbl>
    <w:p>
      <w:pPr>
        <w:spacing w:before="0" w:after="80"/>
      </w:pPr>
    </w:p>
    <w:p>
      <w:pPr>
        <w:pStyle w:val="Heading2"/>
      </w:pPr>
      <w:r>
        <w:t>2.1 In Scope</w:t>
      </w:r>
    </w:p>
    <w:p>
      <w:pPr>
        <w:spacing w:after="160" w:line="280" w:lineRule="auto"/>
        <w:numPr>
          <w:ilvl w:val="0"/>
          <w:numId w:val="10"/>
        </w:numPr>
      </w:pPr>
      <w:r>
        <w:t>Azure networking, compute, security group rules, managed identity, boot diagnostics, and cost-control schedule.</w:t>
      </w:r>
    </w:p>
    <w:p>
      <w:pPr>
        <w:spacing w:after="160" w:line="280" w:lineRule="auto"/>
        <w:numPr>
          <w:ilvl w:val="0"/>
          <w:numId w:val="10"/>
        </w:numPr>
      </w:pPr>
      <w:r>
        <w:t>Containerized Prometheus, Alertmanager, Grafana, Node Exporter, cAdvisor, Blackbox Exporter, and demonstration application.</w:t>
      </w:r>
    </w:p>
    <w:p>
      <w:pPr>
        <w:spacing w:after="160" w:line="280" w:lineRule="auto"/>
        <w:numPr>
          <w:ilvl w:val="0"/>
          <w:numId w:val="10"/>
        </w:numPr>
      </w:pPr>
      <w:r>
        <w:t>Metric collection, recording rules, alerts, dashboard provisioning, health checks, backup, deployment, validation, and teardown automation.</w:t>
      </w:r>
    </w:p>
    <w:p>
      <w:pPr>
        <w:spacing w:after="160" w:line="280" w:lineRule="auto"/>
        <w:numPr>
          <w:ilvl w:val="0"/>
          <w:numId w:val="10"/>
        </w:numPr>
      </w:pPr>
      <w:r>
        <w:t>Architecture, security, operations, test, and project-report documentation.</w:t>
      </w:r>
    </w:p>
    <w:p>
      <w:pPr>
        <w:pStyle w:val="Heading2"/>
      </w:pPr>
      <w:r>
        <w:t>2.2 Deliberate Boundaries</w:t>
      </w:r>
    </w:p>
    <w:p>
      <w:pPr>
        <w:spacing w:after="160" w:line="280" w:lineRule="auto"/>
        <w:numPr>
          <w:ilvl w:val="0"/>
          <w:numId w:val="10"/>
        </w:numPr>
      </w:pPr>
      <w:r>
        <w:t>The reference build is a single-VM training or proof-of-concept architecture, not a highly available production service.</w:t>
      </w:r>
    </w:p>
    <w:p>
      <w:pPr>
        <w:spacing w:after="160" w:line="280" w:lineRule="auto"/>
        <w:numPr>
          <w:ilvl w:val="0"/>
          <w:numId w:val="10"/>
        </w:numPr>
      </w:pPr>
      <w:r>
        <w:t>External email, chat, or on-call credentials are not embedded; Alertmanager uses a local webhook to prove notification delivery safely.</w:t>
      </w:r>
    </w:p>
    <w:p>
      <w:pPr>
        <w:spacing w:after="160" w:line="280" w:lineRule="auto"/>
        <w:numPr>
          <w:ilvl w:val="0"/>
          <w:numId w:val="10"/>
        </w:numPr>
      </w:pPr>
      <w:r>
        <w:t>TLS and organizational single sign-on are production follow-ups because no domain, certificate, or identity tenant was supplied.</w:t>
      </w:r>
    </w:p>
    <w:p>
      <w:pPr>
        <w:spacing w:after="160" w:line="280" w:lineRule="auto"/>
        <w:numPr>
          <w:ilvl w:val="0"/>
          <w:numId w:val="10"/>
        </w:numPr>
      </w:pPr>
      <w:r>
        <w:t>Azure deployment evidence must be captured in the recipient's subscription to avoid creating resources or charges without authorization.</w:t>
      </w:r>
    </w:p>
    <w:p>
      <w:pPr>
        <w:pStyle w:val="Heading1"/>
      </w:pPr>
      <w:r>
        <w:t>3. Solution Architecture</w:t>
      </w:r>
    </w:p>
    <w:p>
      <w:pPr/>
      <w:r>
        <w:t>The architecture places the complete monitoring stack on an Azure Ubuntu 24.04 LTS virtual machine. The Azure network security group is the external control plane; the Docker bridge network is the internal service plane. Grafana is the only web interface published on the VM's public address, and even it is restricted to the trusted administrator CIDR. Prometheus and Alertmanager bind to loopback and are reached through SSH tunnels when direct administration is needed.</w:t>
      </w:r>
    </w:p>
    <w:p>
      <w:pPr>
        <w:pStyle w:val="Caption"/>
        <w:keepNext/>
      </w:pPr>
      <w:r>
        <w:t>Table 2. Architecture components and trust boundaries</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1500"/>
        <w:gridCol w:w="1880"/>
        <w:gridCol w:w="3340"/>
        <w:gridCol w:w="2640"/>
      </w:tblGrid>
      <w:tr>
        <w:trPr>
          <w:tblHeader w:val="true"/>
        </w:trPr>
        <w:tc>
          <w:tcPr>
            <w:tcW w:type="dxa" w:w="1500"/>
            <w:shd w:fill="F2F4F7"/>
            <w:tcMar>
              <w:top w:w="80" w:type="dxa"/>
              <w:start w:w="120" w:type="dxa"/>
              <w:bottom w:w="80" w:type="dxa"/>
              <w:end w:w="120" w:type="dxa"/>
            </w:tcMar>
            <w:vAlign w:val="center"/>
          </w:tcPr>
          <w:p>
            <w:pPr>
              <w:pStyle w:val="TableHeader"/>
              <w:keepNext/>
            </w:pPr>
            <w:r>
              <w:t>Layer</w:t>
            </w:r>
          </w:p>
        </w:tc>
        <w:tc>
          <w:tcPr>
            <w:tcW w:type="dxa" w:w="1880"/>
            <w:shd w:fill="F2F4F7"/>
            <w:tcMar>
              <w:top w:w="80" w:type="dxa"/>
              <w:start w:w="120" w:type="dxa"/>
              <w:bottom w:w="80" w:type="dxa"/>
              <w:end w:w="120" w:type="dxa"/>
            </w:tcMar>
            <w:vAlign w:val="center"/>
          </w:tcPr>
          <w:p>
            <w:pPr>
              <w:pStyle w:val="TableHeader"/>
              <w:keepNext/>
            </w:pPr>
            <w:r>
              <w:t>Component</w:t>
            </w:r>
          </w:p>
        </w:tc>
        <w:tc>
          <w:tcPr>
            <w:tcW w:type="dxa" w:w="3340"/>
            <w:shd w:fill="F2F4F7"/>
            <w:tcMar>
              <w:top w:w="80" w:type="dxa"/>
              <w:start w:w="120" w:type="dxa"/>
              <w:bottom w:w="80" w:type="dxa"/>
              <w:end w:w="120" w:type="dxa"/>
            </w:tcMar>
            <w:vAlign w:val="center"/>
          </w:tcPr>
          <w:p>
            <w:pPr>
              <w:pStyle w:val="TableHeader"/>
              <w:keepNext/>
            </w:pPr>
            <w:r>
              <w:t>Primary responsibility</w:t>
            </w:r>
          </w:p>
        </w:tc>
        <w:tc>
          <w:tcPr>
            <w:tcW w:type="dxa" w:w="2640"/>
            <w:shd w:fill="F2F4F7"/>
            <w:tcMar>
              <w:top w:w="80" w:type="dxa"/>
              <w:start w:w="120" w:type="dxa"/>
              <w:bottom w:w="80" w:type="dxa"/>
              <w:end w:w="120" w:type="dxa"/>
            </w:tcMar>
            <w:vAlign w:val="center"/>
          </w:tcPr>
          <w:p>
            <w:pPr>
              <w:pStyle w:val="TableHeader"/>
              <w:keepNext/>
            </w:pPr>
            <w:r>
              <w:t>Exposure</w:t>
            </w:r>
          </w:p>
        </w:tc>
      </w:tr>
      <w:tr>
        <w:tc>
          <w:tcPr>
            <w:tcW w:type="dxa" w:w="1500"/>
            <w:tcMar>
              <w:top w:w="80" w:type="dxa"/>
              <w:start w:w="120" w:type="dxa"/>
              <w:bottom w:w="80" w:type="dxa"/>
              <w:end w:w="120" w:type="dxa"/>
            </w:tcMar>
            <w:vAlign w:val="center"/>
          </w:tcPr>
          <w:p>
            <w:pPr>
              <w:pStyle w:val="TableText"/>
            </w:pPr>
            <w:r>
              <w:t>Azure</w:t>
            </w:r>
          </w:p>
        </w:tc>
        <w:tc>
          <w:tcPr>
            <w:tcW w:type="dxa" w:w="1880"/>
            <w:tcMar>
              <w:top w:w="80" w:type="dxa"/>
              <w:start w:w="120" w:type="dxa"/>
              <w:bottom w:w="80" w:type="dxa"/>
              <w:end w:w="120" w:type="dxa"/>
            </w:tcMar>
            <w:vAlign w:val="center"/>
          </w:tcPr>
          <w:p>
            <w:pPr>
              <w:pStyle w:val="TableText"/>
            </w:pPr>
            <w:r>
              <w:t>VNet, subnet, NSG, public IP</w:t>
            </w:r>
          </w:p>
        </w:tc>
        <w:tc>
          <w:tcPr>
            <w:tcW w:type="dxa" w:w="3340"/>
            <w:tcMar>
              <w:top w:w="80" w:type="dxa"/>
              <w:start w:w="120" w:type="dxa"/>
              <w:bottom w:w="80" w:type="dxa"/>
              <w:end w:w="120" w:type="dxa"/>
            </w:tcMar>
            <w:vAlign w:val="center"/>
          </w:tcPr>
          <w:p>
            <w:pPr>
              <w:pStyle w:val="TableText"/>
            </w:pPr>
            <w:r>
              <w:t>Isolation and approved ingress</w:t>
            </w:r>
          </w:p>
        </w:tc>
        <w:tc>
          <w:tcPr>
            <w:tcW w:type="dxa" w:w="2640"/>
            <w:tcMar>
              <w:top w:w="80" w:type="dxa"/>
              <w:start w:w="120" w:type="dxa"/>
              <w:bottom w:w="80" w:type="dxa"/>
              <w:end w:w="120" w:type="dxa"/>
            </w:tcMar>
            <w:vAlign w:val="center"/>
          </w:tcPr>
          <w:p>
            <w:pPr>
              <w:pStyle w:val="TableText"/>
            </w:pPr>
            <w:r>
              <w:t>SSH 22 and Grafana 3000 from trusted CIDR</w:t>
            </w:r>
          </w:p>
        </w:tc>
      </w:tr>
      <w:tr>
        <w:tc>
          <w:tcPr>
            <w:tcW w:type="dxa" w:w="1500"/>
            <w:tcMar>
              <w:top w:w="80" w:type="dxa"/>
              <w:start w:w="120" w:type="dxa"/>
              <w:bottom w:w="80" w:type="dxa"/>
              <w:end w:w="120" w:type="dxa"/>
            </w:tcMar>
            <w:vAlign w:val="center"/>
          </w:tcPr>
          <w:p>
            <w:pPr>
              <w:pStyle w:val="TableText"/>
            </w:pPr>
            <w:r>
              <w:t>Compute</w:t>
            </w:r>
          </w:p>
        </w:tc>
        <w:tc>
          <w:tcPr>
            <w:tcW w:type="dxa" w:w="1880"/>
            <w:tcMar>
              <w:top w:w="80" w:type="dxa"/>
              <w:start w:w="120" w:type="dxa"/>
              <w:bottom w:w="80" w:type="dxa"/>
              <w:end w:w="120" w:type="dxa"/>
            </w:tcMar>
            <w:vAlign w:val="center"/>
          </w:tcPr>
          <w:p>
            <w:pPr>
              <w:pStyle w:val="TableText"/>
            </w:pPr>
            <w:r>
              <w:t>Ubuntu VM</w:t>
            </w:r>
          </w:p>
        </w:tc>
        <w:tc>
          <w:tcPr>
            <w:tcW w:type="dxa" w:w="3340"/>
            <w:tcMar>
              <w:top w:w="80" w:type="dxa"/>
              <w:start w:w="120" w:type="dxa"/>
              <w:bottom w:w="80" w:type="dxa"/>
              <w:end w:w="120" w:type="dxa"/>
            </w:tcMar>
            <w:vAlign w:val="center"/>
          </w:tcPr>
          <w:p>
            <w:pPr>
              <w:pStyle w:val="TableText"/>
            </w:pPr>
            <w:r>
              <w:t>Docker host and persistent volumes</w:t>
            </w:r>
          </w:p>
        </w:tc>
        <w:tc>
          <w:tcPr>
            <w:tcW w:type="dxa" w:w="2640"/>
            <w:tcMar>
              <w:top w:w="80" w:type="dxa"/>
              <w:start w:w="120" w:type="dxa"/>
              <w:bottom w:w="80" w:type="dxa"/>
              <w:end w:w="120" w:type="dxa"/>
            </w:tcMar>
            <w:vAlign w:val="center"/>
          </w:tcPr>
          <w:p>
            <w:pPr>
              <w:pStyle w:val="TableText"/>
            </w:pPr>
            <w:r>
              <w:t>SSH key authentication only</w:t>
            </w:r>
          </w:p>
        </w:tc>
      </w:tr>
      <w:tr>
        <w:tc>
          <w:tcPr>
            <w:tcW w:type="dxa" w:w="1500"/>
            <w:tcMar>
              <w:top w:w="80" w:type="dxa"/>
              <w:start w:w="120" w:type="dxa"/>
              <w:bottom w:w="80" w:type="dxa"/>
              <w:end w:w="120" w:type="dxa"/>
            </w:tcMar>
            <w:vAlign w:val="center"/>
          </w:tcPr>
          <w:p>
            <w:pPr>
              <w:pStyle w:val="TableText"/>
            </w:pPr>
            <w:r>
              <w:t>Collection</w:t>
            </w:r>
          </w:p>
        </w:tc>
        <w:tc>
          <w:tcPr>
            <w:tcW w:type="dxa" w:w="1880"/>
            <w:tcMar>
              <w:top w:w="80" w:type="dxa"/>
              <w:start w:w="120" w:type="dxa"/>
              <w:bottom w:w="80" w:type="dxa"/>
              <w:end w:w="120" w:type="dxa"/>
            </w:tcMar>
            <w:vAlign w:val="center"/>
          </w:tcPr>
          <w:p>
            <w:pPr>
              <w:pStyle w:val="TableText"/>
            </w:pPr>
            <w:r>
              <w:t>Prometheus</w:t>
            </w:r>
          </w:p>
        </w:tc>
        <w:tc>
          <w:tcPr>
            <w:tcW w:type="dxa" w:w="3340"/>
            <w:tcMar>
              <w:top w:w="80" w:type="dxa"/>
              <w:start w:w="120" w:type="dxa"/>
              <w:bottom w:w="80" w:type="dxa"/>
              <w:end w:w="120" w:type="dxa"/>
            </w:tcMar>
            <w:vAlign w:val="center"/>
          </w:tcPr>
          <w:p>
            <w:pPr>
              <w:pStyle w:val="TableText"/>
            </w:pPr>
            <w:r>
              <w:t>Scrape, store, query, record, and evaluate</w:t>
            </w:r>
          </w:p>
        </w:tc>
        <w:tc>
          <w:tcPr>
            <w:tcW w:type="dxa" w:w="2640"/>
            <w:tcMar>
              <w:top w:w="80" w:type="dxa"/>
              <w:start w:w="120" w:type="dxa"/>
              <w:bottom w:w="80" w:type="dxa"/>
              <w:end w:w="120" w:type="dxa"/>
            </w:tcMar>
            <w:vAlign w:val="center"/>
          </w:tcPr>
          <w:p>
            <w:pPr>
              <w:pStyle w:val="TableText"/>
            </w:pPr>
            <w:r>
              <w:t>VM loopback 9090</w:t>
            </w:r>
          </w:p>
        </w:tc>
      </w:tr>
      <w:tr>
        <w:tc>
          <w:tcPr>
            <w:tcW w:type="dxa" w:w="1500"/>
            <w:tcMar>
              <w:top w:w="80" w:type="dxa"/>
              <w:start w:w="120" w:type="dxa"/>
              <w:bottom w:w="80" w:type="dxa"/>
              <w:end w:w="120" w:type="dxa"/>
            </w:tcMar>
            <w:vAlign w:val="center"/>
          </w:tcPr>
          <w:p>
            <w:pPr>
              <w:pStyle w:val="TableText"/>
            </w:pPr>
            <w:r>
              <w:t>Visualization</w:t>
            </w:r>
          </w:p>
        </w:tc>
        <w:tc>
          <w:tcPr>
            <w:tcW w:type="dxa" w:w="1880"/>
            <w:tcMar>
              <w:top w:w="80" w:type="dxa"/>
              <w:start w:w="120" w:type="dxa"/>
              <w:bottom w:w="80" w:type="dxa"/>
              <w:end w:w="120" w:type="dxa"/>
            </w:tcMar>
            <w:vAlign w:val="center"/>
          </w:tcPr>
          <w:p>
            <w:pPr>
              <w:pStyle w:val="TableText"/>
            </w:pPr>
            <w:r>
              <w:t>Grafana</w:t>
            </w:r>
          </w:p>
        </w:tc>
        <w:tc>
          <w:tcPr>
            <w:tcW w:type="dxa" w:w="3340"/>
            <w:tcMar>
              <w:top w:w="80" w:type="dxa"/>
              <w:start w:w="120" w:type="dxa"/>
              <w:bottom w:w="80" w:type="dxa"/>
              <w:end w:w="120" w:type="dxa"/>
            </w:tcMar>
            <w:vAlign w:val="center"/>
          </w:tcPr>
          <w:p>
            <w:pPr>
              <w:pStyle w:val="TableText"/>
            </w:pPr>
            <w:r>
              <w:t>Provisioned dashboards and exploration</w:t>
            </w:r>
          </w:p>
        </w:tc>
        <w:tc>
          <w:tcPr>
            <w:tcW w:type="dxa" w:w="2640"/>
            <w:tcMar>
              <w:top w:w="80" w:type="dxa"/>
              <w:start w:w="120" w:type="dxa"/>
              <w:bottom w:w="80" w:type="dxa"/>
              <w:end w:w="120" w:type="dxa"/>
            </w:tcMar>
            <w:vAlign w:val="center"/>
          </w:tcPr>
          <w:p>
            <w:pPr>
              <w:pStyle w:val="TableText"/>
            </w:pPr>
            <w:r>
              <w:t>Restricted public 3000</w:t>
            </w:r>
          </w:p>
        </w:tc>
      </w:tr>
      <w:tr>
        <w:tc>
          <w:tcPr>
            <w:tcW w:type="dxa" w:w="1500"/>
            <w:tcMar>
              <w:top w:w="80" w:type="dxa"/>
              <w:start w:w="120" w:type="dxa"/>
              <w:bottom w:w="80" w:type="dxa"/>
              <w:end w:w="120" w:type="dxa"/>
            </w:tcMar>
            <w:vAlign w:val="center"/>
          </w:tcPr>
          <w:p>
            <w:pPr>
              <w:pStyle w:val="TableText"/>
            </w:pPr>
            <w:r>
              <w:t>Notification</w:t>
            </w:r>
          </w:p>
        </w:tc>
        <w:tc>
          <w:tcPr>
            <w:tcW w:type="dxa" w:w="1880"/>
            <w:tcMar>
              <w:top w:w="80" w:type="dxa"/>
              <w:start w:w="120" w:type="dxa"/>
              <w:bottom w:w="80" w:type="dxa"/>
              <w:end w:w="120" w:type="dxa"/>
            </w:tcMar>
            <w:vAlign w:val="center"/>
          </w:tcPr>
          <w:p>
            <w:pPr>
              <w:pStyle w:val="TableText"/>
            </w:pPr>
            <w:r>
              <w:t>Alertmanager</w:t>
            </w:r>
          </w:p>
        </w:tc>
        <w:tc>
          <w:tcPr>
            <w:tcW w:type="dxa" w:w="3340"/>
            <w:tcMar>
              <w:top w:w="80" w:type="dxa"/>
              <w:start w:w="120" w:type="dxa"/>
              <w:bottom w:w="80" w:type="dxa"/>
              <w:end w:w="120" w:type="dxa"/>
            </w:tcMar>
            <w:vAlign w:val="center"/>
          </w:tcPr>
          <w:p>
            <w:pPr>
              <w:pStyle w:val="TableText"/>
            </w:pPr>
            <w:r>
              <w:t>Group, inhibit, route, and resolve</w:t>
            </w:r>
          </w:p>
        </w:tc>
        <w:tc>
          <w:tcPr>
            <w:tcW w:type="dxa" w:w="2640"/>
            <w:tcMar>
              <w:top w:w="80" w:type="dxa"/>
              <w:start w:w="120" w:type="dxa"/>
              <w:bottom w:w="80" w:type="dxa"/>
              <w:end w:w="120" w:type="dxa"/>
            </w:tcMar>
            <w:vAlign w:val="center"/>
          </w:tcPr>
          <w:p>
            <w:pPr>
              <w:pStyle w:val="TableText"/>
            </w:pPr>
            <w:r>
              <w:t>VM loopback 9093</w:t>
            </w:r>
          </w:p>
        </w:tc>
      </w:tr>
      <w:tr>
        <w:tc>
          <w:tcPr>
            <w:tcW w:type="dxa" w:w="1500"/>
            <w:tcMar>
              <w:top w:w="80" w:type="dxa"/>
              <w:start w:w="120" w:type="dxa"/>
              <w:bottom w:w="80" w:type="dxa"/>
              <w:end w:w="120" w:type="dxa"/>
            </w:tcMar>
            <w:vAlign w:val="center"/>
          </w:tcPr>
          <w:p>
            <w:pPr>
              <w:pStyle w:val="TableText"/>
            </w:pPr>
            <w:r>
              <w:t>Host metrics</w:t>
            </w:r>
          </w:p>
        </w:tc>
        <w:tc>
          <w:tcPr>
            <w:tcW w:type="dxa" w:w="1880"/>
            <w:tcMar>
              <w:top w:w="80" w:type="dxa"/>
              <w:start w:w="120" w:type="dxa"/>
              <w:bottom w:w="80" w:type="dxa"/>
              <w:end w:w="120" w:type="dxa"/>
            </w:tcMar>
            <w:vAlign w:val="center"/>
          </w:tcPr>
          <w:p>
            <w:pPr>
              <w:pStyle w:val="TableText"/>
            </w:pPr>
            <w:r>
              <w:t>Node Exporter</w:t>
            </w:r>
          </w:p>
        </w:tc>
        <w:tc>
          <w:tcPr>
            <w:tcW w:type="dxa" w:w="3340"/>
            <w:tcMar>
              <w:top w:w="80" w:type="dxa"/>
              <w:start w:w="120" w:type="dxa"/>
              <w:bottom w:w="80" w:type="dxa"/>
              <w:end w:w="120" w:type="dxa"/>
            </w:tcMar>
            <w:vAlign w:val="center"/>
          </w:tcPr>
          <w:p>
            <w:pPr>
              <w:pStyle w:val="TableText"/>
            </w:pPr>
            <w:r>
              <w:t>CPU, memory, filesystem, and OS</w:t>
            </w:r>
          </w:p>
        </w:tc>
        <w:tc>
          <w:tcPr>
            <w:tcW w:type="dxa" w:w="2640"/>
            <w:tcMar>
              <w:top w:w="80" w:type="dxa"/>
              <w:start w:w="120" w:type="dxa"/>
              <w:bottom w:w="80" w:type="dxa"/>
              <w:end w:w="120" w:type="dxa"/>
            </w:tcMar>
            <w:vAlign w:val="center"/>
          </w:tcPr>
          <w:p>
            <w:pPr>
              <w:pStyle w:val="TableText"/>
            </w:pPr>
            <w:r>
              <w:t>Docker network 9100</w:t>
            </w:r>
          </w:p>
        </w:tc>
      </w:tr>
      <w:tr>
        <w:tc>
          <w:tcPr>
            <w:tcW w:type="dxa" w:w="1500"/>
            <w:tcMar>
              <w:top w:w="80" w:type="dxa"/>
              <w:start w:w="120" w:type="dxa"/>
              <w:bottom w:w="80" w:type="dxa"/>
              <w:end w:w="120" w:type="dxa"/>
            </w:tcMar>
            <w:vAlign w:val="center"/>
          </w:tcPr>
          <w:p>
            <w:pPr>
              <w:pStyle w:val="TableText"/>
            </w:pPr>
            <w:r>
              <w:t>Container metrics</w:t>
            </w:r>
          </w:p>
        </w:tc>
        <w:tc>
          <w:tcPr>
            <w:tcW w:type="dxa" w:w="1880"/>
            <w:tcMar>
              <w:top w:w="80" w:type="dxa"/>
              <w:start w:w="120" w:type="dxa"/>
              <w:bottom w:w="80" w:type="dxa"/>
              <w:end w:w="120" w:type="dxa"/>
            </w:tcMar>
            <w:vAlign w:val="center"/>
          </w:tcPr>
          <w:p>
            <w:pPr>
              <w:pStyle w:val="TableText"/>
            </w:pPr>
            <w:r>
              <w:t>cAdvisor</w:t>
            </w:r>
          </w:p>
        </w:tc>
        <w:tc>
          <w:tcPr>
            <w:tcW w:type="dxa" w:w="3340"/>
            <w:tcMar>
              <w:top w:w="80" w:type="dxa"/>
              <w:start w:w="120" w:type="dxa"/>
              <w:bottom w:w="80" w:type="dxa"/>
              <w:end w:w="120" w:type="dxa"/>
            </w:tcMar>
            <w:vAlign w:val="center"/>
          </w:tcPr>
          <w:p>
            <w:pPr>
              <w:pStyle w:val="TableText"/>
            </w:pPr>
            <w:r>
              <w:t>Per-container resource telemetry</w:t>
            </w:r>
          </w:p>
        </w:tc>
        <w:tc>
          <w:tcPr>
            <w:tcW w:type="dxa" w:w="2640"/>
            <w:tcMar>
              <w:top w:w="80" w:type="dxa"/>
              <w:start w:w="120" w:type="dxa"/>
              <w:bottom w:w="80" w:type="dxa"/>
              <w:end w:w="120" w:type="dxa"/>
            </w:tcMar>
            <w:vAlign w:val="center"/>
          </w:tcPr>
          <w:p>
            <w:pPr>
              <w:pStyle w:val="TableText"/>
            </w:pPr>
            <w:r>
              <w:t>Docker network 8080</w:t>
            </w:r>
          </w:p>
        </w:tc>
      </w:tr>
      <w:tr>
        <w:tc>
          <w:tcPr>
            <w:tcW w:type="dxa" w:w="1500"/>
            <w:tcMar>
              <w:top w:w="80" w:type="dxa"/>
              <w:start w:w="120" w:type="dxa"/>
              <w:bottom w:w="80" w:type="dxa"/>
              <w:end w:w="120" w:type="dxa"/>
            </w:tcMar>
            <w:vAlign w:val="center"/>
          </w:tcPr>
          <w:p>
            <w:pPr>
              <w:pStyle w:val="TableText"/>
            </w:pPr>
            <w:r>
              <w:t>Availability</w:t>
            </w:r>
          </w:p>
        </w:tc>
        <w:tc>
          <w:tcPr>
            <w:tcW w:type="dxa" w:w="1880"/>
            <w:tcMar>
              <w:top w:w="80" w:type="dxa"/>
              <w:start w:w="120" w:type="dxa"/>
              <w:bottom w:w="80" w:type="dxa"/>
              <w:end w:w="120" w:type="dxa"/>
            </w:tcMar>
            <w:vAlign w:val="center"/>
          </w:tcPr>
          <w:p>
            <w:pPr>
              <w:pStyle w:val="TableText"/>
            </w:pPr>
            <w:r>
              <w:t>Blackbox Exporter</w:t>
            </w:r>
          </w:p>
        </w:tc>
        <w:tc>
          <w:tcPr>
            <w:tcW w:type="dxa" w:w="3340"/>
            <w:tcMar>
              <w:top w:w="80" w:type="dxa"/>
              <w:start w:w="120" w:type="dxa"/>
              <w:bottom w:w="80" w:type="dxa"/>
              <w:end w:w="120" w:type="dxa"/>
            </w:tcMar>
            <w:vAlign w:val="center"/>
          </w:tcPr>
          <w:p>
            <w:pPr>
              <w:pStyle w:val="TableText"/>
            </w:pPr>
            <w:r>
              <w:t>Independent HTTP probes</w:t>
            </w:r>
          </w:p>
        </w:tc>
        <w:tc>
          <w:tcPr>
            <w:tcW w:type="dxa" w:w="2640"/>
            <w:tcMar>
              <w:top w:w="80" w:type="dxa"/>
              <w:start w:w="120" w:type="dxa"/>
              <w:bottom w:w="80" w:type="dxa"/>
              <w:end w:w="120" w:type="dxa"/>
            </w:tcMar>
            <w:vAlign w:val="center"/>
          </w:tcPr>
          <w:p>
            <w:pPr>
              <w:pStyle w:val="TableText"/>
            </w:pPr>
            <w:r>
              <w:t>Docker network 9115</w:t>
            </w:r>
          </w:p>
        </w:tc>
      </w:tr>
      <w:tr>
        <w:tc>
          <w:tcPr>
            <w:tcW w:type="dxa" w:w="1500"/>
            <w:tcMar>
              <w:top w:w="80" w:type="dxa"/>
              <w:start w:w="120" w:type="dxa"/>
              <w:bottom w:w="80" w:type="dxa"/>
              <w:end w:w="120" w:type="dxa"/>
            </w:tcMar>
            <w:vAlign w:val="center"/>
          </w:tcPr>
          <w:p>
            <w:pPr>
              <w:pStyle w:val="TableText"/>
            </w:pPr>
            <w:r>
              <w:t>Workload</w:t>
            </w:r>
          </w:p>
        </w:tc>
        <w:tc>
          <w:tcPr>
            <w:tcW w:type="dxa" w:w="1880"/>
            <w:tcMar>
              <w:top w:w="80" w:type="dxa"/>
              <w:start w:w="120" w:type="dxa"/>
              <w:bottom w:w="80" w:type="dxa"/>
              <w:end w:w="120" w:type="dxa"/>
            </w:tcMar>
            <w:vAlign w:val="center"/>
          </w:tcPr>
          <w:p>
            <w:pPr>
              <w:pStyle w:val="TableText"/>
            </w:pPr>
            <w:r>
              <w:t>Demo application</w:t>
            </w:r>
          </w:p>
        </w:tc>
        <w:tc>
          <w:tcPr>
            <w:tcW w:type="dxa" w:w="3340"/>
            <w:tcMar>
              <w:top w:w="80" w:type="dxa"/>
              <w:start w:w="120" w:type="dxa"/>
              <w:bottom w:w="80" w:type="dxa"/>
              <w:end w:w="120" w:type="dxa"/>
            </w:tcMar>
            <w:vAlign w:val="center"/>
          </w:tcPr>
          <w:p>
            <w:pPr>
              <w:pStyle w:val="TableText"/>
            </w:pPr>
            <w:r>
              <w:t>Application and business metrics; alert webhook</w:t>
            </w:r>
          </w:p>
        </w:tc>
        <w:tc>
          <w:tcPr>
            <w:tcW w:type="dxa" w:w="2640"/>
            <w:tcMar>
              <w:top w:w="80" w:type="dxa"/>
              <w:start w:w="120" w:type="dxa"/>
              <w:bottom w:w="80" w:type="dxa"/>
              <w:end w:w="120" w:type="dxa"/>
            </w:tcMar>
            <w:vAlign w:val="center"/>
          </w:tcPr>
          <w:p>
            <w:pPr>
              <w:pStyle w:val="TableText"/>
            </w:pPr>
            <w:r>
              <w:t>VM loopback 8000</w:t>
            </w:r>
          </w:p>
        </w:tc>
      </w:tr>
    </w:tbl>
    <w:p>
      <w:pPr>
        <w:spacing w:before="0" w:after="80"/>
      </w:pPr>
    </w:p>
    <w:p>
      <w:pPr>
        <w:pStyle w:val="Heading2"/>
      </w:pPr>
      <w:r>
        <w:t>3.1 Data Flow</w:t>
      </w:r>
    </w:p>
    <w:p>
      <w:pPr>
        <w:spacing w:after="160" w:line="280" w:lineRule="auto"/>
        <w:numPr>
          <w:ilvl w:val="0"/>
          <w:numId w:val="11"/>
        </w:numPr>
      </w:pPr>
      <w:r>
        <w:t>Exporters and the demo service expose Prometheus-format metrics on the private Docker network.</w:t>
      </w:r>
    </w:p>
    <w:p>
      <w:pPr>
        <w:spacing w:after="160" w:line="280" w:lineRule="auto"/>
        <w:numPr>
          <w:ilvl w:val="0"/>
          <w:numId w:val="11"/>
        </w:numPr>
      </w:pPr>
      <w:r>
        <w:t>Prometheus scrapes six jobs every 15 seconds and writes time-series samples to a persistent volume.</w:t>
      </w:r>
    </w:p>
    <w:p>
      <w:pPr>
        <w:spacing w:after="160" w:line="280" w:lineRule="auto"/>
        <w:numPr>
          <w:ilvl w:val="0"/>
          <w:numId w:val="11"/>
        </w:numPr>
      </w:pPr>
      <w:r>
        <w:t>Recording rules precompute host utilization and application error ratios used repeatedly by dashboards and alerts.</w:t>
      </w:r>
    </w:p>
    <w:p>
      <w:pPr>
        <w:spacing w:after="160" w:line="280" w:lineRule="auto"/>
        <w:numPr>
          <w:ilvl w:val="0"/>
          <w:numId w:val="11"/>
        </w:numPr>
      </w:pPr>
      <w:r>
        <w:t>Alerting rules hold noisy conditions for defined durations before marking them firing.</w:t>
      </w:r>
    </w:p>
    <w:p>
      <w:pPr>
        <w:spacing w:after="160" w:line="280" w:lineRule="auto"/>
        <w:numPr>
          <w:ilvl w:val="0"/>
          <w:numId w:val="11"/>
        </w:numPr>
      </w:pPr>
      <w:r>
        <w:t>Prometheus sends firing and resolved alerts to Alertmanager, which groups and inhibits related notifications.</w:t>
      </w:r>
    </w:p>
    <w:p>
      <w:pPr>
        <w:spacing w:after="160" w:line="280" w:lineRule="auto"/>
        <w:numPr>
          <w:ilvl w:val="0"/>
          <w:numId w:val="11"/>
        </w:numPr>
      </w:pPr>
      <w:r>
        <w:t>Grafana queries Prometheus and renders the provisioned dashboard without manual data-source or panel creation.</w:t>
      </w:r>
    </w:p>
    <w:p>
      <w:pPr>
        <w:keepLines/>
        <w:spacing w:before="80" w:after="200" w:line="276" w:lineRule="auto"/>
        <w:ind w:left="216" w:right="144"/>
        <w:shd w:fill="F4F6F9"/>
        <w:pBdr>
          <w:left w:val="single" w:sz="18" w:space="8" w:color="2E74B5"/>
        </w:pBdr>
      </w:pPr>
      <w:r>
        <w:rPr>
          <w:rFonts w:ascii="Calibri" w:hAnsi="Calibri" w:eastAsia="Calibri"/>
          <w:b/>
          <w:color w:val="2E74B5"/>
        </w:rPr>
        <w:t xml:space="preserve">Key design choice: </w:t>
      </w:r>
      <w:r>
        <w:t>Prometheus is not exposed publicly by default. This reduces attack surface and makes SSH tunneling the explicit administrative path, while Grafana remains the normal operator interface.</w:t>
      </w:r>
    </w:p>
    <w:p>
      <w:pPr>
        <w:pStyle w:val="Heading1"/>
      </w:pPr>
      <w:r>
        <w:t>4. Infrastructure and Deployment Implementation</w:t>
      </w:r>
    </w:p>
    <w:p>
      <w:pPr>
        <w:pStyle w:val="Heading2"/>
      </w:pPr>
      <w:r>
        <w:t>4.1 Terraform on Azure</w:t>
      </w:r>
    </w:p>
    <w:p>
      <w:pPr/>
      <w:r>
        <w:t>The Terraform layer creates a resource group, virtual network, subnet, Standard static public IP, network security group, network interface, Ubuntu virtual machine, system-assigned identity, boot diagnostics, and optional daily shutdown schedule. Inputs cover region, environment, VM size, disk size, SSH key path, approved CIDR, tags, and whether Prometheus should receive a public rule. Version constraints require Terraform 1.8 or later and the AzureRM 4.76 provider line.</w:t>
      </w:r>
    </w:p>
    <w:p>
      <w:pPr>
        <w:spacing w:after="160" w:line="280" w:lineRule="auto"/>
        <w:numPr>
          <w:ilvl w:val="0"/>
          <w:numId w:val="10"/>
        </w:numPr>
      </w:pPr>
      <w:r>
        <w:t>The administrator CIDR is required and Terraform validation rejects the open range 0.0.0.0/0.</w:t>
      </w:r>
    </w:p>
    <w:p>
      <w:pPr>
        <w:spacing w:after="160" w:line="280" w:lineRule="auto"/>
        <w:numPr>
          <w:ilvl w:val="0"/>
          <w:numId w:val="10"/>
        </w:numPr>
      </w:pPr>
      <w:r>
        <w:t>Password authentication is disabled; the VM is created with the supplied SSH public key.</w:t>
      </w:r>
    </w:p>
    <w:p>
      <w:pPr>
        <w:spacing w:after="160" w:line="280" w:lineRule="auto"/>
        <w:numPr>
          <w:ilvl w:val="0"/>
          <w:numId w:val="10"/>
        </w:numPr>
      </w:pPr>
      <w:r>
        <w:t>Secure Boot, virtual TPM, platform patch assessment, managed identity, and boot diagnostics are enabled.</w:t>
      </w:r>
    </w:p>
    <w:p>
      <w:pPr>
        <w:spacing w:after="160" w:line="280" w:lineRule="auto"/>
        <w:numPr>
          <w:ilvl w:val="0"/>
          <w:numId w:val="10"/>
        </w:numPr>
      </w:pPr>
      <w:r>
        <w:t>The default Standard_B2s size and 64 GiB Standard SSD provide a modest demonstration baseline and remain configurable.</w:t>
      </w:r>
    </w:p>
    <w:p>
      <w:pPr>
        <w:pStyle w:val="Heading2"/>
      </w:pPr>
      <w:r>
        <w:t>4.2 Cloud Initialization and Automation</w:t>
      </w:r>
    </w:p>
    <w:p>
      <w:pPr/>
      <w:r>
        <w:t>Cloud-init installs Docker Engine and Compose from Docker's Ubuntu repository, enables unattended upgrades, configures bounded JSON-file logging, grants the default user Docker access, and creates the deployment directory. The Azure Bash workflow then validates and applies Terraform, waits for SSH and cloud-init, streams the stack to the VM, starts the services, and runs endpoint health checks. Destruction is separated into a script that refuses to act without an explicit confirmation variable.</w:t>
      </w:r>
    </w:p>
    <w:p>
      <w:pPr>
        <w:pStyle w:val="Heading2"/>
      </w:pPr>
      <w:r>
        <w:t>4.3 Container Platform</w:t>
      </w:r>
    </w:p>
    <w:p>
      <w:pPr>
        <w:pStyle w:val="Caption"/>
        <w:keepNext/>
      </w:pPr>
      <w:r>
        <w:t>Table 3. Container services and operational controls</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2160"/>
        <w:gridCol w:w="1500"/>
        <w:gridCol w:w="2700"/>
        <w:gridCol w:w="3000"/>
      </w:tblGrid>
      <w:tr>
        <w:trPr>
          <w:tblHeader w:val="true"/>
        </w:trPr>
        <w:tc>
          <w:tcPr>
            <w:tcW w:type="dxa" w:w="2160"/>
            <w:shd w:fill="F2F4F7"/>
            <w:tcMar>
              <w:top w:w="80" w:type="dxa"/>
              <w:start w:w="120" w:type="dxa"/>
              <w:bottom w:w="80" w:type="dxa"/>
              <w:end w:w="120" w:type="dxa"/>
            </w:tcMar>
            <w:vAlign w:val="center"/>
          </w:tcPr>
          <w:p>
            <w:pPr>
              <w:pStyle w:val="TableHeader"/>
              <w:keepNext/>
            </w:pPr>
            <w:r>
              <w:t>Service</w:t>
            </w:r>
          </w:p>
        </w:tc>
        <w:tc>
          <w:tcPr>
            <w:tcW w:type="dxa" w:w="1500"/>
            <w:shd w:fill="F2F4F7"/>
            <w:tcMar>
              <w:top w:w="80" w:type="dxa"/>
              <w:start w:w="120" w:type="dxa"/>
              <w:bottom w:w="80" w:type="dxa"/>
              <w:end w:w="120" w:type="dxa"/>
            </w:tcMar>
            <w:vAlign w:val="center"/>
          </w:tcPr>
          <w:p>
            <w:pPr>
              <w:pStyle w:val="TableHeader"/>
              <w:keepNext/>
            </w:pPr>
            <w:r>
              <w:t>Pinned version</w:t>
            </w:r>
          </w:p>
        </w:tc>
        <w:tc>
          <w:tcPr>
            <w:tcW w:type="dxa" w:w="2700"/>
            <w:shd w:fill="F2F4F7"/>
            <w:tcMar>
              <w:top w:w="80" w:type="dxa"/>
              <w:start w:w="120" w:type="dxa"/>
              <w:bottom w:w="80" w:type="dxa"/>
              <w:end w:w="120" w:type="dxa"/>
            </w:tcMar>
            <w:vAlign w:val="center"/>
          </w:tcPr>
          <w:p>
            <w:pPr>
              <w:pStyle w:val="TableHeader"/>
              <w:keepNext/>
            </w:pPr>
            <w:r>
              <w:t>Persistence</w:t>
            </w:r>
          </w:p>
        </w:tc>
        <w:tc>
          <w:tcPr>
            <w:tcW w:type="dxa" w:w="3000"/>
            <w:shd w:fill="F2F4F7"/>
            <w:tcMar>
              <w:top w:w="80" w:type="dxa"/>
              <w:start w:w="120" w:type="dxa"/>
              <w:bottom w:w="80" w:type="dxa"/>
              <w:end w:w="120" w:type="dxa"/>
            </w:tcMar>
            <w:vAlign w:val="center"/>
          </w:tcPr>
          <w:p>
            <w:pPr>
              <w:pStyle w:val="TableHeader"/>
              <w:keepNext/>
            </w:pPr>
            <w:r>
              <w:t>Restart / hardening</w:t>
            </w:r>
          </w:p>
        </w:tc>
      </w:tr>
      <w:tr>
        <w:tc>
          <w:tcPr>
            <w:tcW w:type="dxa" w:w="2160"/>
            <w:tcMar>
              <w:top w:w="80" w:type="dxa"/>
              <w:start w:w="120" w:type="dxa"/>
              <w:bottom w:w="80" w:type="dxa"/>
              <w:end w:w="120" w:type="dxa"/>
            </w:tcMar>
            <w:vAlign w:val="center"/>
          </w:tcPr>
          <w:p>
            <w:pPr>
              <w:pStyle w:val="TableText"/>
            </w:pPr>
            <w:r>
              <w:t>Prometheus</w:t>
            </w:r>
          </w:p>
        </w:tc>
        <w:tc>
          <w:tcPr>
            <w:tcW w:type="dxa" w:w="1500"/>
            <w:tcMar>
              <w:top w:w="80" w:type="dxa"/>
              <w:start w:w="120" w:type="dxa"/>
              <w:bottom w:w="80" w:type="dxa"/>
              <w:end w:w="120" w:type="dxa"/>
            </w:tcMar>
            <w:vAlign w:val="center"/>
          </w:tcPr>
          <w:p>
            <w:pPr>
              <w:pStyle w:val="TableText"/>
            </w:pPr>
            <w:r>
              <w:t>3.13.1 LTS</w:t>
            </w:r>
          </w:p>
        </w:tc>
        <w:tc>
          <w:tcPr>
            <w:tcW w:type="dxa" w:w="2700"/>
            <w:tcMar>
              <w:top w:w="80" w:type="dxa"/>
              <w:start w:w="120" w:type="dxa"/>
              <w:bottom w:w="80" w:type="dxa"/>
              <w:end w:w="120" w:type="dxa"/>
            </w:tcMar>
            <w:vAlign w:val="center"/>
          </w:tcPr>
          <w:p>
            <w:pPr>
              <w:pStyle w:val="TableText"/>
            </w:pPr>
            <w:r>
              <w:t>Named metric volume</w:t>
            </w:r>
          </w:p>
        </w:tc>
        <w:tc>
          <w:tcPr>
            <w:tcW w:type="dxa" w:w="3000"/>
            <w:tcMar>
              <w:top w:w="80" w:type="dxa"/>
              <w:start w:w="120" w:type="dxa"/>
              <w:bottom w:w="80" w:type="dxa"/>
              <w:end w:w="120" w:type="dxa"/>
            </w:tcMar>
            <w:vAlign w:val="center"/>
          </w:tcPr>
          <w:p>
            <w:pPr>
              <w:pStyle w:val="TableText"/>
            </w:pPr>
            <w:r>
              <w:t>Unless-stopped; no-new-privileges</w:t>
            </w:r>
          </w:p>
        </w:tc>
      </w:tr>
      <w:tr>
        <w:tc>
          <w:tcPr>
            <w:tcW w:type="dxa" w:w="2160"/>
            <w:tcMar>
              <w:top w:w="80" w:type="dxa"/>
              <w:start w:w="120" w:type="dxa"/>
              <w:bottom w:w="80" w:type="dxa"/>
              <w:end w:w="120" w:type="dxa"/>
            </w:tcMar>
            <w:vAlign w:val="center"/>
          </w:tcPr>
          <w:p>
            <w:pPr>
              <w:pStyle w:val="TableText"/>
            </w:pPr>
            <w:r>
              <w:t>Alertmanager</w:t>
            </w:r>
          </w:p>
        </w:tc>
        <w:tc>
          <w:tcPr>
            <w:tcW w:type="dxa" w:w="1500"/>
            <w:tcMar>
              <w:top w:w="80" w:type="dxa"/>
              <w:start w:w="120" w:type="dxa"/>
              <w:bottom w:w="80" w:type="dxa"/>
              <w:end w:w="120" w:type="dxa"/>
            </w:tcMar>
            <w:vAlign w:val="center"/>
          </w:tcPr>
          <w:p>
            <w:pPr>
              <w:pStyle w:val="TableText"/>
            </w:pPr>
            <w:r>
              <w:t>0.33.1</w:t>
            </w:r>
          </w:p>
        </w:tc>
        <w:tc>
          <w:tcPr>
            <w:tcW w:type="dxa" w:w="2700"/>
            <w:tcMar>
              <w:top w:w="80" w:type="dxa"/>
              <w:start w:w="120" w:type="dxa"/>
              <w:bottom w:w="80" w:type="dxa"/>
              <w:end w:w="120" w:type="dxa"/>
            </w:tcMar>
            <w:vAlign w:val="center"/>
          </w:tcPr>
          <w:p>
            <w:pPr>
              <w:pStyle w:val="TableText"/>
            </w:pPr>
            <w:r>
              <w:t>Named alert state volume</w:t>
            </w:r>
          </w:p>
        </w:tc>
        <w:tc>
          <w:tcPr>
            <w:tcW w:type="dxa" w:w="3000"/>
            <w:tcMar>
              <w:top w:w="80" w:type="dxa"/>
              <w:start w:w="120" w:type="dxa"/>
              <w:bottom w:w="80" w:type="dxa"/>
              <w:end w:w="120" w:type="dxa"/>
            </w:tcMar>
            <w:vAlign w:val="center"/>
          </w:tcPr>
          <w:p>
            <w:pPr>
              <w:pStyle w:val="TableText"/>
            </w:pPr>
            <w:r>
              <w:t>Unless-stopped; no-new-privileges</w:t>
            </w:r>
          </w:p>
        </w:tc>
      </w:tr>
      <w:tr>
        <w:tc>
          <w:tcPr>
            <w:tcW w:type="dxa" w:w="2160"/>
            <w:tcMar>
              <w:top w:w="80" w:type="dxa"/>
              <w:start w:w="120" w:type="dxa"/>
              <w:bottom w:w="80" w:type="dxa"/>
              <w:end w:w="120" w:type="dxa"/>
            </w:tcMar>
            <w:vAlign w:val="center"/>
          </w:tcPr>
          <w:p>
            <w:pPr>
              <w:pStyle w:val="TableText"/>
            </w:pPr>
            <w:r>
              <w:t>Grafana OSS</w:t>
            </w:r>
          </w:p>
        </w:tc>
        <w:tc>
          <w:tcPr>
            <w:tcW w:type="dxa" w:w="1500"/>
            <w:tcMar>
              <w:top w:w="80" w:type="dxa"/>
              <w:start w:w="120" w:type="dxa"/>
              <w:bottom w:w="80" w:type="dxa"/>
              <w:end w:w="120" w:type="dxa"/>
            </w:tcMar>
            <w:vAlign w:val="center"/>
          </w:tcPr>
          <w:p>
            <w:pPr>
              <w:pStyle w:val="TableText"/>
            </w:pPr>
            <w:r>
              <w:t>13.1.0</w:t>
            </w:r>
          </w:p>
        </w:tc>
        <w:tc>
          <w:tcPr>
            <w:tcW w:type="dxa" w:w="2700"/>
            <w:tcMar>
              <w:top w:w="80" w:type="dxa"/>
              <w:start w:w="120" w:type="dxa"/>
              <w:bottom w:w="80" w:type="dxa"/>
              <w:end w:w="120" w:type="dxa"/>
            </w:tcMar>
            <w:vAlign w:val="center"/>
          </w:tcPr>
          <w:p>
            <w:pPr>
              <w:pStyle w:val="TableText"/>
            </w:pPr>
            <w:r>
              <w:t>Named Grafana volume</w:t>
            </w:r>
          </w:p>
        </w:tc>
        <w:tc>
          <w:tcPr>
            <w:tcW w:type="dxa" w:w="3000"/>
            <w:tcMar>
              <w:top w:w="80" w:type="dxa"/>
              <w:start w:w="120" w:type="dxa"/>
              <w:bottom w:w="80" w:type="dxa"/>
              <w:end w:w="120" w:type="dxa"/>
            </w:tcMar>
            <w:vAlign w:val="center"/>
          </w:tcPr>
          <w:p>
            <w:pPr>
              <w:pStyle w:val="TableText"/>
            </w:pPr>
            <w:r>
              <w:t>Health check; secret file; no anonymous signup</w:t>
            </w:r>
          </w:p>
        </w:tc>
      </w:tr>
      <w:tr>
        <w:tc>
          <w:tcPr>
            <w:tcW w:type="dxa" w:w="2160"/>
            <w:tcMar>
              <w:top w:w="80" w:type="dxa"/>
              <w:start w:w="120" w:type="dxa"/>
              <w:bottom w:w="80" w:type="dxa"/>
              <w:end w:w="120" w:type="dxa"/>
            </w:tcMar>
            <w:vAlign w:val="center"/>
          </w:tcPr>
          <w:p>
            <w:pPr>
              <w:pStyle w:val="TableText"/>
            </w:pPr>
            <w:r>
              <w:t>Node Exporter</w:t>
            </w:r>
          </w:p>
        </w:tc>
        <w:tc>
          <w:tcPr>
            <w:tcW w:type="dxa" w:w="1500"/>
            <w:tcMar>
              <w:top w:w="80" w:type="dxa"/>
              <w:start w:w="120" w:type="dxa"/>
              <w:bottom w:w="80" w:type="dxa"/>
              <w:end w:w="120" w:type="dxa"/>
            </w:tcMar>
            <w:vAlign w:val="center"/>
          </w:tcPr>
          <w:p>
            <w:pPr>
              <w:pStyle w:val="TableText"/>
            </w:pPr>
            <w:r>
              <w:t>1.12.1</w:t>
            </w:r>
          </w:p>
        </w:tc>
        <w:tc>
          <w:tcPr>
            <w:tcW w:type="dxa" w:w="2700"/>
            <w:tcMar>
              <w:top w:w="80" w:type="dxa"/>
              <w:start w:w="120" w:type="dxa"/>
              <w:bottom w:w="80" w:type="dxa"/>
              <w:end w:w="120" w:type="dxa"/>
            </w:tcMar>
            <w:vAlign w:val="center"/>
          </w:tcPr>
          <w:p>
            <w:pPr>
              <w:pStyle w:val="TableText"/>
            </w:pPr>
            <w:r>
              <w:t>None</w:t>
            </w:r>
          </w:p>
        </w:tc>
        <w:tc>
          <w:tcPr>
            <w:tcW w:type="dxa" w:w="3000"/>
            <w:tcMar>
              <w:top w:w="80" w:type="dxa"/>
              <w:start w:w="120" w:type="dxa"/>
              <w:bottom w:w="80" w:type="dxa"/>
              <w:end w:w="120" w:type="dxa"/>
            </w:tcMar>
            <w:vAlign w:val="center"/>
          </w:tcPr>
          <w:p>
            <w:pPr>
              <w:pStyle w:val="TableText"/>
            </w:pPr>
            <w:r>
              <w:t>Read-only host root; no-new-privileges</w:t>
            </w:r>
          </w:p>
        </w:tc>
      </w:tr>
      <w:tr>
        <w:tc>
          <w:tcPr>
            <w:tcW w:type="dxa" w:w="2160"/>
            <w:tcMar>
              <w:top w:w="80" w:type="dxa"/>
              <w:start w:w="120" w:type="dxa"/>
              <w:bottom w:w="80" w:type="dxa"/>
              <w:end w:w="120" w:type="dxa"/>
            </w:tcMar>
            <w:vAlign w:val="center"/>
          </w:tcPr>
          <w:p>
            <w:pPr>
              <w:pStyle w:val="TableText"/>
            </w:pPr>
            <w:r>
              <w:t>cAdvisor</w:t>
            </w:r>
          </w:p>
        </w:tc>
        <w:tc>
          <w:tcPr>
            <w:tcW w:type="dxa" w:w="1500"/>
            <w:tcMar>
              <w:top w:w="80" w:type="dxa"/>
              <w:start w:w="120" w:type="dxa"/>
              <w:bottom w:w="80" w:type="dxa"/>
              <w:end w:w="120" w:type="dxa"/>
            </w:tcMar>
            <w:vAlign w:val="center"/>
          </w:tcPr>
          <w:p>
            <w:pPr>
              <w:pStyle w:val="TableText"/>
            </w:pPr>
            <w:r>
              <w:t>0.60.5</w:t>
            </w:r>
          </w:p>
        </w:tc>
        <w:tc>
          <w:tcPr>
            <w:tcW w:type="dxa" w:w="2700"/>
            <w:tcMar>
              <w:top w:w="80" w:type="dxa"/>
              <w:start w:w="120" w:type="dxa"/>
              <w:bottom w:w="80" w:type="dxa"/>
              <w:end w:w="120" w:type="dxa"/>
            </w:tcMar>
            <w:vAlign w:val="center"/>
          </w:tcPr>
          <w:p>
            <w:pPr>
              <w:pStyle w:val="TableText"/>
            </w:pPr>
            <w:r>
              <w:t>None</w:t>
            </w:r>
          </w:p>
        </w:tc>
        <w:tc>
          <w:tcPr>
            <w:tcW w:type="dxa" w:w="3000"/>
            <w:tcMar>
              <w:top w:w="80" w:type="dxa"/>
              <w:start w:w="120" w:type="dxa"/>
              <w:bottom w:w="80" w:type="dxa"/>
              <w:end w:w="120" w:type="dxa"/>
            </w:tcMar>
            <w:vAlign w:val="center"/>
          </w:tcPr>
          <w:p>
            <w:pPr>
              <w:pStyle w:val="TableText"/>
            </w:pPr>
            <w:r>
              <w:t>Privileged host collector; documented exception</w:t>
            </w:r>
          </w:p>
        </w:tc>
      </w:tr>
      <w:tr>
        <w:tc>
          <w:tcPr>
            <w:tcW w:type="dxa" w:w="2160"/>
            <w:tcMar>
              <w:top w:w="80" w:type="dxa"/>
              <w:start w:w="120" w:type="dxa"/>
              <w:bottom w:w="80" w:type="dxa"/>
              <w:end w:w="120" w:type="dxa"/>
            </w:tcMar>
            <w:vAlign w:val="center"/>
          </w:tcPr>
          <w:p>
            <w:pPr>
              <w:pStyle w:val="TableText"/>
            </w:pPr>
            <w:r>
              <w:t>Blackbox Exporter</w:t>
            </w:r>
          </w:p>
        </w:tc>
        <w:tc>
          <w:tcPr>
            <w:tcW w:type="dxa" w:w="1500"/>
            <w:tcMar>
              <w:top w:w="80" w:type="dxa"/>
              <w:start w:w="120" w:type="dxa"/>
              <w:bottom w:w="80" w:type="dxa"/>
              <w:end w:w="120" w:type="dxa"/>
            </w:tcMar>
            <w:vAlign w:val="center"/>
          </w:tcPr>
          <w:p>
            <w:pPr>
              <w:pStyle w:val="TableText"/>
            </w:pPr>
            <w:r>
              <w:t>0.28.0</w:t>
            </w:r>
          </w:p>
        </w:tc>
        <w:tc>
          <w:tcPr>
            <w:tcW w:type="dxa" w:w="2700"/>
            <w:tcMar>
              <w:top w:w="80" w:type="dxa"/>
              <w:start w:w="120" w:type="dxa"/>
              <w:bottom w:w="80" w:type="dxa"/>
              <w:end w:w="120" w:type="dxa"/>
            </w:tcMar>
            <w:vAlign w:val="center"/>
          </w:tcPr>
          <w:p>
            <w:pPr>
              <w:pStyle w:val="TableText"/>
            </w:pPr>
            <w:r>
              <w:t>None</w:t>
            </w:r>
          </w:p>
        </w:tc>
        <w:tc>
          <w:tcPr>
            <w:tcW w:type="dxa" w:w="3000"/>
            <w:tcMar>
              <w:top w:w="80" w:type="dxa"/>
              <w:start w:w="120" w:type="dxa"/>
              <w:bottom w:w="80" w:type="dxa"/>
              <w:end w:w="120" w:type="dxa"/>
            </w:tcMar>
            <w:vAlign w:val="center"/>
          </w:tcPr>
          <w:p>
            <w:pPr>
              <w:pStyle w:val="TableText"/>
            </w:pPr>
            <w:r>
              <w:t>Read-only root; tmpfs; no-new-privileges</w:t>
            </w:r>
          </w:p>
        </w:tc>
      </w:tr>
      <w:tr>
        <w:tc>
          <w:tcPr>
            <w:tcW w:type="dxa" w:w="2160"/>
            <w:tcMar>
              <w:top w:w="80" w:type="dxa"/>
              <w:start w:w="120" w:type="dxa"/>
              <w:bottom w:w="80" w:type="dxa"/>
              <w:end w:w="120" w:type="dxa"/>
            </w:tcMar>
            <w:vAlign w:val="center"/>
          </w:tcPr>
          <w:p>
            <w:pPr>
              <w:pStyle w:val="TableText"/>
            </w:pPr>
            <w:r>
              <w:t>Demo application</w:t>
            </w:r>
          </w:p>
        </w:tc>
        <w:tc>
          <w:tcPr>
            <w:tcW w:type="dxa" w:w="1500"/>
            <w:tcMar>
              <w:top w:w="80" w:type="dxa"/>
              <w:start w:w="120" w:type="dxa"/>
              <w:bottom w:w="80" w:type="dxa"/>
              <w:end w:w="120" w:type="dxa"/>
            </w:tcMar>
            <w:vAlign w:val="center"/>
          </w:tcPr>
          <w:p>
            <w:pPr>
              <w:pStyle w:val="TableText"/>
            </w:pPr>
            <w:r>
              <w:t>Python 3.13 base</w:t>
            </w:r>
          </w:p>
        </w:tc>
        <w:tc>
          <w:tcPr>
            <w:tcW w:type="dxa" w:w="2700"/>
            <w:tcMar>
              <w:top w:w="80" w:type="dxa"/>
              <w:start w:w="120" w:type="dxa"/>
              <w:bottom w:w="80" w:type="dxa"/>
              <w:end w:w="120" w:type="dxa"/>
            </w:tcMar>
            <w:vAlign w:val="center"/>
          </w:tcPr>
          <w:p>
            <w:pPr>
              <w:pStyle w:val="TableText"/>
            </w:pPr>
            <w:r>
              <w:t>Metrics derived from memory</w:t>
            </w:r>
          </w:p>
        </w:tc>
        <w:tc>
          <w:tcPr>
            <w:tcW w:type="dxa" w:w="3000"/>
            <w:tcMar>
              <w:top w:w="80" w:type="dxa"/>
              <w:start w:w="120" w:type="dxa"/>
              <w:bottom w:w="80" w:type="dxa"/>
              <w:end w:w="120" w:type="dxa"/>
            </w:tcMar>
            <w:vAlign w:val="center"/>
          </w:tcPr>
          <w:p>
            <w:pPr>
              <w:pStyle w:val="TableText"/>
            </w:pPr>
            <w:r>
              <w:t>Non-root; read-only root; health check</w:t>
            </w:r>
          </w:p>
        </w:tc>
      </w:tr>
    </w:tbl>
    <w:p>
      <w:pPr>
        <w:spacing w:before="0" w:after="80"/>
      </w:pPr>
    </w:p>
    <w:p>
      <w:pPr>
        <w:pStyle w:val="TableCitation"/>
      </w:pPr>
      <w:r>
        <w:t>Version source: official Prometheus, Grafana, cAdvisor, and Terraform release channels checked 23 August 2026.</w:t>
      </w:r>
    </w:p>
    <w:p>
      <w:pPr>
        <w:pStyle w:val="Heading1"/>
      </w:pPr>
      <w:r>
        <w:t>5. Monitoring, Dashboards, and Alerts</w:t>
      </w:r>
    </w:p>
    <w:p>
      <w:pPr>
        <w:pStyle w:val="Heading2"/>
      </w:pPr>
      <w:r>
        <w:t>5.1 Metric Coverage</w:t>
      </w:r>
    </w:p>
    <w:p>
      <w:pPr>
        <w:pStyle w:val="Caption"/>
        <w:keepNext/>
      </w:pPr>
      <w:r>
        <w:t>Table 4. Observability signal model</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1900"/>
        <w:gridCol w:w="4660"/>
        <w:gridCol w:w="2800"/>
      </w:tblGrid>
      <w:tr>
        <w:trPr>
          <w:tblHeader w:val="true"/>
        </w:trPr>
        <w:tc>
          <w:tcPr>
            <w:tcW w:type="dxa" w:w="1900"/>
            <w:shd w:fill="F2F4F7"/>
            <w:tcMar>
              <w:top w:w="80" w:type="dxa"/>
              <w:start w:w="120" w:type="dxa"/>
              <w:bottom w:w="80" w:type="dxa"/>
              <w:end w:w="120" w:type="dxa"/>
            </w:tcMar>
            <w:vAlign w:val="center"/>
          </w:tcPr>
          <w:p>
            <w:pPr>
              <w:pStyle w:val="TableHeader"/>
              <w:keepNext/>
            </w:pPr>
            <w:r>
              <w:t>Signal class</w:t>
            </w:r>
          </w:p>
        </w:tc>
        <w:tc>
          <w:tcPr>
            <w:tcW w:type="dxa" w:w="4660"/>
            <w:shd w:fill="F2F4F7"/>
            <w:tcMar>
              <w:top w:w="80" w:type="dxa"/>
              <w:start w:w="120" w:type="dxa"/>
              <w:bottom w:w="80" w:type="dxa"/>
              <w:end w:w="120" w:type="dxa"/>
            </w:tcMar>
            <w:vAlign w:val="center"/>
          </w:tcPr>
          <w:p>
            <w:pPr>
              <w:pStyle w:val="TableHeader"/>
              <w:keepNext/>
            </w:pPr>
            <w:r>
              <w:t>Representative measurements</w:t>
            </w:r>
          </w:p>
        </w:tc>
        <w:tc>
          <w:tcPr>
            <w:tcW w:type="dxa" w:w="2800"/>
            <w:shd w:fill="F2F4F7"/>
            <w:tcMar>
              <w:top w:w="80" w:type="dxa"/>
              <w:start w:w="120" w:type="dxa"/>
              <w:bottom w:w="80" w:type="dxa"/>
              <w:end w:w="120" w:type="dxa"/>
            </w:tcMar>
            <w:vAlign w:val="center"/>
          </w:tcPr>
          <w:p>
            <w:pPr>
              <w:pStyle w:val="TableHeader"/>
              <w:keepNext/>
            </w:pPr>
            <w:r>
              <w:t>Collector</w:t>
            </w:r>
          </w:p>
        </w:tc>
      </w:tr>
      <w:tr>
        <w:tc>
          <w:tcPr>
            <w:tcW w:type="dxa" w:w="1900"/>
            <w:tcMar>
              <w:top w:w="80" w:type="dxa"/>
              <w:start w:w="120" w:type="dxa"/>
              <w:bottom w:w="80" w:type="dxa"/>
              <w:end w:w="120" w:type="dxa"/>
            </w:tcMar>
            <w:vAlign w:val="center"/>
          </w:tcPr>
          <w:p>
            <w:pPr>
              <w:pStyle w:val="TableText"/>
            </w:pPr>
            <w:r>
              <w:t>Infrastructure</w:t>
            </w:r>
          </w:p>
        </w:tc>
        <w:tc>
          <w:tcPr>
            <w:tcW w:type="dxa" w:w="4660"/>
            <w:tcMar>
              <w:top w:w="80" w:type="dxa"/>
              <w:start w:w="120" w:type="dxa"/>
              <w:bottom w:w="80" w:type="dxa"/>
              <w:end w:w="120" w:type="dxa"/>
            </w:tcMar>
            <w:vAlign w:val="center"/>
          </w:tcPr>
          <w:p>
            <w:pPr>
              <w:pStyle w:val="TableText"/>
            </w:pPr>
            <w:r>
              <w:t>CPU idle/utilization, memory available, filesystem capacity</w:t>
            </w:r>
          </w:p>
        </w:tc>
        <w:tc>
          <w:tcPr>
            <w:tcW w:type="dxa" w:w="2800"/>
            <w:tcMar>
              <w:top w:w="80" w:type="dxa"/>
              <w:start w:w="120" w:type="dxa"/>
              <w:bottom w:w="80" w:type="dxa"/>
              <w:end w:w="120" w:type="dxa"/>
            </w:tcMar>
            <w:vAlign w:val="center"/>
          </w:tcPr>
          <w:p>
            <w:pPr>
              <w:pStyle w:val="TableText"/>
            </w:pPr>
            <w:r>
              <w:t>Node Exporter</w:t>
            </w:r>
          </w:p>
        </w:tc>
      </w:tr>
      <w:tr>
        <w:tc>
          <w:tcPr>
            <w:tcW w:type="dxa" w:w="1900"/>
            <w:tcMar>
              <w:top w:w="80" w:type="dxa"/>
              <w:start w:w="120" w:type="dxa"/>
              <w:bottom w:w="80" w:type="dxa"/>
              <w:end w:w="120" w:type="dxa"/>
            </w:tcMar>
            <w:vAlign w:val="center"/>
          </w:tcPr>
          <w:p>
            <w:pPr>
              <w:pStyle w:val="TableText"/>
            </w:pPr>
            <w:r>
              <w:t>Containers</w:t>
            </w:r>
          </w:p>
        </w:tc>
        <w:tc>
          <w:tcPr>
            <w:tcW w:type="dxa" w:w="4660"/>
            <w:tcMar>
              <w:top w:w="80" w:type="dxa"/>
              <w:start w:w="120" w:type="dxa"/>
              <w:bottom w:w="80" w:type="dxa"/>
              <w:end w:w="120" w:type="dxa"/>
            </w:tcMar>
            <w:vAlign w:val="center"/>
          </w:tcPr>
          <w:p>
            <w:pPr>
              <w:pStyle w:val="TableText"/>
            </w:pPr>
            <w:r>
              <w:t>CPU seconds, memory, filesystem, network, container identity</w:t>
            </w:r>
          </w:p>
        </w:tc>
        <w:tc>
          <w:tcPr>
            <w:tcW w:type="dxa" w:w="2800"/>
            <w:tcMar>
              <w:top w:w="80" w:type="dxa"/>
              <w:start w:w="120" w:type="dxa"/>
              <w:bottom w:w="80" w:type="dxa"/>
              <w:end w:w="120" w:type="dxa"/>
            </w:tcMar>
            <w:vAlign w:val="center"/>
          </w:tcPr>
          <w:p>
            <w:pPr>
              <w:pStyle w:val="TableText"/>
            </w:pPr>
            <w:r>
              <w:t>cAdvisor</w:t>
            </w:r>
          </w:p>
        </w:tc>
      </w:tr>
      <w:tr>
        <w:tc>
          <w:tcPr>
            <w:tcW w:type="dxa" w:w="1900"/>
            <w:tcMar>
              <w:top w:w="80" w:type="dxa"/>
              <w:start w:w="120" w:type="dxa"/>
              <w:bottom w:w="80" w:type="dxa"/>
              <w:end w:w="120" w:type="dxa"/>
            </w:tcMar>
            <w:vAlign w:val="center"/>
          </w:tcPr>
          <w:p>
            <w:pPr>
              <w:pStyle w:val="TableText"/>
            </w:pPr>
            <w:r>
              <w:t>Platform</w:t>
            </w:r>
          </w:p>
        </w:tc>
        <w:tc>
          <w:tcPr>
            <w:tcW w:type="dxa" w:w="4660"/>
            <w:tcMar>
              <w:top w:w="80" w:type="dxa"/>
              <w:start w:w="120" w:type="dxa"/>
              <w:bottom w:w="80" w:type="dxa"/>
              <w:end w:w="120" w:type="dxa"/>
            </w:tcMar>
            <w:vAlign w:val="center"/>
          </w:tcPr>
          <w:p>
            <w:pPr>
              <w:pStyle w:val="TableText"/>
            </w:pPr>
            <w:r>
              <w:t>Prometheus scrape and rule health; exporter availability</w:t>
            </w:r>
          </w:p>
        </w:tc>
        <w:tc>
          <w:tcPr>
            <w:tcW w:type="dxa" w:w="2800"/>
            <w:tcMar>
              <w:top w:w="80" w:type="dxa"/>
              <w:start w:w="120" w:type="dxa"/>
              <w:bottom w:w="80" w:type="dxa"/>
              <w:end w:w="120" w:type="dxa"/>
            </w:tcMar>
            <w:vAlign w:val="center"/>
          </w:tcPr>
          <w:p>
            <w:pPr>
              <w:pStyle w:val="TableText"/>
            </w:pPr>
            <w:r>
              <w:t>Prometheus self-scrape</w:t>
            </w:r>
          </w:p>
        </w:tc>
      </w:tr>
      <w:tr>
        <w:tc>
          <w:tcPr>
            <w:tcW w:type="dxa" w:w="1900"/>
            <w:tcMar>
              <w:top w:w="80" w:type="dxa"/>
              <w:start w:w="120" w:type="dxa"/>
              <w:bottom w:w="80" w:type="dxa"/>
              <w:end w:w="120" w:type="dxa"/>
            </w:tcMar>
            <w:vAlign w:val="center"/>
          </w:tcPr>
          <w:p>
            <w:pPr>
              <w:pStyle w:val="TableText"/>
            </w:pPr>
            <w:r>
              <w:t>Uptime</w:t>
            </w:r>
          </w:p>
        </w:tc>
        <w:tc>
          <w:tcPr>
            <w:tcW w:type="dxa" w:w="4660"/>
            <w:tcMar>
              <w:top w:w="80" w:type="dxa"/>
              <w:start w:w="120" w:type="dxa"/>
              <w:bottom w:w="80" w:type="dxa"/>
              <w:end w:w="120" w:type="dxa"/>
            </w:tcMar>
            <w:vAlign w:val="center"/>
          </w:tcPr>
          <w:p>
            <w:pPr>
              <w:pStyle w:val="TableText"/>
            </w:pPr>
            <w:r>
              <w:t>HTTP success, latency, DNS, and probe failure</w:t>
            </w:r>
          </w:p>
        </w:tc>
        <w:tc>
          <w:tcPr>
            <w:tcW w:type="dxa" w:w="2800"/>
            <w:tcMar>
              <w:top w:w="80" w:type="dxa"/>
              <w:start w:w="120" w:type="dxa"/>
              <w:bottom w:w="80" w:type="dxa"/>
              <w:end w:w="120" w:type="dxa"/>
            </w:tcMar>
            <w:vAlign w:val="center"/>
          </w:tcPr>
          <w:p>
            <w:pPr>
              <w:pStyle w:val="TableText"/>
            </w:pPr>
            <w:r>
              <w:t>Blackbox Exporter</w:t>
            </w:r>
          </w:p>
        </w:tc>
      </w:tr>
      <w:tr>
        <w:tc>
          <w:tcPr>
            <w:tcW w:type="dxa" w:w="1900"/>
            <w:tcMar>
              <w:top w:w="80" w:type="dxa"/>
              <w:start w:w="120" w:type="dxa"/>
              <w:bottom w:w="80" w:type="dxa"/>
              <w:end w:w="120" w:type="dxa"/>
            </w:tcMar>
            <w:vAlign w:val="center"/>
          </w:tcPr>
          <w:p>
            <w:pPr>
              <w:pStyle w:val="TableText"/>
            </w:pPr>
            <w:r>
              <w:t>Application</w:t>
            </w:r>
          </w:p>
        </w:tc>
        <w:tc>
          <w:tcPr>
            <w:tcW w:type="dxa" w:w="4660"/>
            <w:tcMar>
              <w:top w:w="80" w:type="dxa"/>
              <w:start w:w="120" w:type="dxa"/>
              <w:bottom w:w="80" w:type="dxa"/>
              <w:end w:w="120" w:type="dxa"/>
            </w:tcMar>
            <w:vAlign w:val="center"/>
          </w:tcPr>
          <w:p>
            <w:pPr>
              <w:pStyle w:val="TableText"/>
            </w:pPr>
            <w:r>
              <w:t>HTTP requests by method/path/status, uptime, application errors</w:t>
            </w:r>
          </w:p>
        </w:tc>
        <w:tc>
          <w:tcPr>
            <w:tcW w:type="dxa" w:w="2800"/>
            <w:tcMar>
              <w:top w:w="80" w:type="dxa"/>
              <w:start w:w="120" w:type="dxa"/>
              <w:bottom w:w="80" w:type="dxa"/>
              <w:end w:w="120" w:type="dxa"/>
            </w:tcMar>
            <w:vAlign w:val="center"/>
          </w:tcPr>
          <w:p>
            <w:pPr>
              <w:pStyle w:val="TableText"/>
            </w:pPr>
            <w:r>
              <w:t>Demo application</w:t>
            </w:r>
          </w:p>
        </w:tc>
      </w:tr>
      <w:tr>
        <w:tc>
          <w:tcPr>
            <w:tcW w:type="dxa" w:w="1900"/>
            <w:tcMar>
              <w:top w:w="80" w:type="dxa"/>
              <w:start w:w="120" w:type="dxa"/>
              <w:bottom w:w="80" w:type="dxa"/>
              <w:end w:w="120" w:type="dxa"/>
            </w:tcMar>
            <w:vAlign w:val="center"/>
          </w:tcPr>
          <w:p>
            <w:pPr>
              <w:pStyle w:val="TableText"/>
            </w:pPr>
            <w:r>
              <w:t>Business</w:t>
            </w:r>
          </w:p>
        </w:tc>
        <w:tc>
          <w:tcPr>
            <w:tcW w:type="dxa" w:w="4660"/>
            <w:tcMar>
              <w:top w:w="80" w:type="dxa"/>
              <w:start w:w="120" w:type="dxa"/>
              <w:bottom w:w="80" w:type="dxa"/>
              <w:end w:w="120" w:type="dxa"/>
            </w:tcMar>
            <w:vAlign w:val="center"/>
          </w:tcPr>
          <w:p>
            <w:pPr>
              <w:pStyle w:val="TableText"/>
            </w:pPr>
            <w:r>
              <w:t>Orders, revenue, inventory, and delivered alert notifications</w:t>
            </w:r>
          </w:p>
        </w:tc>
        <w:tc>
          <w:tcPr>
            <w:tcW w:type="dxa" w:w="2800"/>
            <w:tcMar>
              <w:top w:w="80" w:type="dxa"/>
              <w:start w:w="120" w:type="dxa"/>
              <w:bottom w:w="80" w:type="dxa"/>
              <w:end w:w="120" w:type="dxa"/>
            </w:tcMar>
            <w:vAlign w:val="center"/>
          </w:tcPr>
          <w:p>
            <w:pPr>
              <w:pStyle w:val="TableText"/>
            </w:pPr>
            <w:r>
              <w:t>Demo application</w:t>
            </w:r>
          </w:p>
        </w:tc>
      </w:tr>
    </w:tbl>
    <w:p>
      <w:pPr>
        <w:spacing w:before="0" w:after="80"/>
      </w:pPr>
    </w:p>
    <w:p>
      <w:pPr>
        <w:pStyle w:val="Heading2"/>
      </w:pPr>
      <w:r>
        <w:t>5.2 Provisioned Grafana Experience</w:t>
      </w:r>
    </w:p>
    <w:p>
      <w:pPr/>
      <w:r>
        <w:t>Grafana reads its Prometheus data-source manifest and dashboard provider at startup. The 12-panel Operations Overview combines immediate stat panels with trend charts and status tables. It covers service availability, host CPU, memory, disk, order count, revenue, HTTP status rate, host trends, top container CPU, business activity, endpoint state, and firing alerts. The dashboard refreshes every 30 seconds and defaults to a six-hour window.</w:t>
      </w:r>
    </w:p>
    <w:p>
      <w:pPr>
        <w:pStyle w:val="Heading2"/>
      </w:pPr>
      <w:r>
        <w:t>5.3 Alert Strategy</w:t>
      </w:r>
    </w:p>
    <w:p>
      <w:pPr/>
      <w:r>
        <w:t>Alerts are deliberately symptom-oriented and use hold durations so momentary blips do not immediately page an operator. Every rule supplies a severity, owning team, summary, description, and runbook anchor. Alertmanager groups by alert name and instance and inhibits warning notifications when a matching critical condition is active.</w:t>
      </w:r>
    </w:p>
    <w:p>
      <w:pPr>
        <w:pStyle w:val="Caption"/>
        <w:keepNext/>
      </w:pPr>
      <w:r>
        <w:t>Table 5. Alert catalogue</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3000"/>
        <w:gridCol w:w="3720"/>
        <w:gridCol w:w="1200"/>
        <w:gridCol w:w="1440"/>
      </w:tblGrid>
      <w:tr>
        <w:trPr>
          <w:tblHeader w:val="true"/>
        </w:trPr>
        <w:tc>
          <w:tcPr>
            <w:tcW w:type="dxa" w:w="3000"/>
            <w:shd w:fill="F2F4F7"/>
            <w:tcMar>
              <w:top w:w="80" w:type="dxa"/>
              <w:start w:w="120" w:type="dxa"/>
              <w:bottom w:w="80" w:type="dxa"/>
              <w:end w:w="120" w:type="dxa"/>
            </w:tcMar>
            <w:vAlign w:val="center"/>
          </w:tcPr>
          <w:p>
            <w:pPr>
              <w:pStyle w:val="TableHeader"/>
              <w:keepNext/>
            </w:pPr>
            <w:r>
              <w:t>Alert</w:t>
            </w:r>
          </w:p>
        </w:tc>
        <w:tc>
          <w:tcPr>
            <w:tcW w:type="dxa" w:w="3720"/>
            <w:shd w:fill="F2F4F7"/>
            <w:tcMar>
              <w:top w:w="80" w:type="dxa"/>
              <w:start w:w="120" w:type="dxa"/>
              <w:bottom w:w="80" w:type="dxa"/>
              <w:end w:w="120" w:type="dxa"/>
            </w:tcMar>
            <w:vAlign w:val="center"/>
          </w:tcPr>
          <w:p>
            <w:pPr>
              <w:pStyle w:val="TableHeader"/>
              <w:keepNext/>
            </w:pPr>
            <w:r>
              <w:t>Condition</w:t>
            </w:r>
          </w:p>
        </w:tc>
        <w:tc>
          <w:tcPr>
            <w:tcW w:type="dxa" w:w="1200"/>
            <w:shd w:fill="F2F4F7"/>
            <w:tcMar>
              <w:top w:w="80" w:type="dxa"/>
              <w:start w:w="120" w:type="dxa"/>
              <w:bottom w:w="80" w:type="dxa"/>
              <w:end w:w="120" w:type="dxa"/>
            </w:tcMar>
            <w:vAlign w:val="center"/>
          </w:tcPr>
          <w:p>
            <w:pPr>
              <w:pStyle w:val="TableHeader"/>
              <w:keepNext/>
            </w:pPr>
            <w:r>
              <w:t>Hold</w:t>
            </w:r>
          </w:p>
        </w:tc>
        <w:tc>
          <w:tcPr>
            <w:tcW w:type="dxa" w:w="1440"/>
            <w:shd w:fill="F2F4F7"/>
            <w:tcMar>
              <w:top w:w="80" w:type="dxa"/>
              <w:start w:w="120" w:type="dxa"/>
              <w:bottom w:w="80" w:type="dxa"/>
              <w:end w:w="120" w:type="dxa"/>
            </w:tcMar>
            <w:vAlign w:val="center"/>
          </w:tcPr>
          <w:p>
            <w:pPr>
              <w:pStyle w:val="TableHeader"/>
              <w:keepNext/>
            </w:pPr>
            <w:r>
              <w:t>Severity</w:t>
            </w:r>
          </w:p>
        </w:tc>
      </w:tr>
      <w:tr>
        <w:tc>
          <w:tcPr>
            <w:tcW w:type="dxa" w:w="3000"/>
            <w:tcMar>
              <w:top w:w="80" w:type="dxa"/>
              <w:start w:w="120" w:type="dxa"/>
              <w:bottom w:w="80" w:type="dxa"/>
              <w:end w:w="120" w:type="dxa"/>
            </w:tcMar>
            <w:vAlign w:val="center"/>
          </w:tcPr>
          <w:p>
            <w:pPr>
              <w:pStyle w:val="TableText"/>
            </w:pPr>
            <w:r>
              <w:t>PrometheusTargetDown</w:t>
            </w:r>
          </w:p>
        </w:tc>
        <w:tc>
          <w:tcPr>
            <w:tcW w:type="dxa" w:w="3720"/>
            <w:tcMar>
              <w:top w:w="80" w:type="dxa"/>
              <w:start w:w="120" w:type="dxa"/>
              <w:bottom w:w="80" w:type="dxa"/>
              <w:end w:w="120" w:type="dxa"/>
            </w:tcMar>
            <w:vAlign w:val="center"/>
          </w:tcPr>
          <w:p>
            <w:pPr>
              <w:pStyle w:val="TableText"/>
            </w:pPr>
            <w:r>
              <w:t>Any scrape target reports up = 0</w:t>
            </w:r>
          </w:p>
        </w:tc>
        <w:tc>
          <w:tcPr>
            <w:tcW w:type="dxa" w:w="1200"/>
            <w:tcMar>
              <w:top w:w="80" w:type="dxa"/>
              <w:start w:w="120" w:type="dxa"/>
              <w:bottom w:w="80" w:type="dxa"/>
              <w:end w:w="120" w:type="dxa"/>
            </w:tcMar>
            <w:vAlign w:val="center"/>
          </w:tcPr>
          <w:p>
            <w:pPr>
              <w:pStyle w:val="TableText"/>
            </w:pPr>
            <w:r>
              <w:t>2 min</w:t>
            </w:r>
          </w:p>
        </w:tc>
        <w:tc>
          <w:tcPr>
            <w:tcW w:type="dxa" w:w="1440"/>
            <w:tcMar>
              <w:top w:w="80" w:type="dxa"/>
              <w:start w:w="120" w:type="dxa"/>
              <w:bottom w:w="80" w:type="dxa"/>
              <w:end w:w="120" w:type="dxa"/>
            </w:tcMar>
            <w:vAlign w:val="center"/>
          </w:tcPr>
          <w:p>
            <w:pPr>
              <w:pStyle w:val="TableText"/>
            </w:pPr>
            <w:r>
              <w:t>Critical</w:t>
            </w:r>
          </w:p>
        </w:tc>
      </w:tr>
      <w:tr>
        <w:tc>
          <w:tcPr>
            <w:tcW w:type="dxa" w:w="3000"/>
            <w:tcMar>
              <w:top w:w="80" w:type="dxa"/>
              <w:start w:w="120" w:type="dxa"/>
              <w:bottom w:w="80" w:type="dxa"/>
              <w:end w:w="120" w:type="dxa"/>
            </w:tcMar>
            <w:vAlign w:val="center"/>
          </w:tcPr>
          <w:p>
            <w:pPr>
              <w:pStyle w:val="TableText"/>
            </w:pPr>
            <w:r>
              <w:t>MonitoredEndpointDown</w:t>
            </w:r>
          </w:p>
        </w:tc>
        <w:tc>
          <w:tcPr>
            <w:tcW w:type="dxa" w:w="3720"/>
            <w:tcMar>
              <w:top w:w="80" w:type="dxa"/>
              <w:start w:w="120" w:type="dxa"/>
              <w:bottom w:w="80" w:type="dxa"/>
              <w:end w:w="120" w:type="dxa"/>
            </w:tcMar>
            <w:vAlign w:val="center"/>
          </w:tcPr>
          <w:p>
            <w:pPr>
              <w:pStyle w:val="TableText"/>
            </w:pPr>
            <w:r>
              <w:t>HTTP probe success = 0</w:t>
            </w:r>
          </w:p>
        </w:tc>
        <w:tc>
          <w:tcPr>
            <w:tcW w:type="dxa" w:w="1200"/>
            <w:tcMar>
              <w:top w:w="80" w:type="dxa"/>
              <w:start w:w="120" w:type="dxa"/>
              <w:bottom w:w="80" w:type="dxa"/>
              <w:end w:w="120" w:type="dxa"/>
            </w:tcMar>
            <w:vAlign w:val="center"/>
          </w:tcPr>
          <w:p>
            <w:pPr>
              <w:pStyle w:val="TableText"/>
            </w:pPr>
            <w:r>
              <w:t>2 min</w:t>
            </w:r>
          </w:p>
        </w:tc>
        <w:tc>
          <w:tcPr>
            <w:tcW w:type="dxa" w:w="1440"/>
            <w:tcMar>
              <w:top w:w="80" w:type="dxa"/>
              <w:start w:w="120" w:type="dxa"/>
              <w:bottom w:w="80" w:type="dxa"/>
              <w:end w:w="120" w:type="dxa"/>
            </w:tcMar>
            <w:vAlign w:val="center"/>
          </w:tcPr>
          <w:p>
            <w:pPr>
              <w:pStyle w:val="TableText"/>
            </w:pPr>
            <w:r>
              <w:t>Critical</w:t>
            </w:r>
          </w:p>
        </w:tc>
      </w:tr>
      <w:tr>
        <w:tc>
          <w:tcPr>
            <w:tcW w:type="dxa" w:w="3000"/>
            <w:tcMar>
              <w:top w:w="80" w:type="dxa"/>
              <w:start w:w="120" w:type="dxa"/>
              <w:bottom w:w="80" w:type="dxa"/>
              <w:end w:w="120" w:type="dxa"/>
            </w:tcMar>
            <w:vAlign w:val="center"/>
          </w:tcPr>
          <w:p>
            <w:pPr>
              <w:pStyle w:val="TableText"/>
            </w:pPr>
            <w:r>
              <w:t>HostHighCPU</w:t>
            </w:r>
          </w:p>
        </w:tc>
        <w:tc>
          <w:tcPr>
            <w:tcW w:type="dxa" w:w="3720"/>
            <w:tcMar>
              <w:top w:w="80" w:type="dxa"/>
              <w:start w:w="120" w:type="dxa"/>
              <w:bottom w:w="80" w:type="dxa"/>
              <w:end w:w="120" w:type="dxa"/>
            </w:tcMar>
            <w:vAlign w:val="center"/>
          </w:tcPr>
          <w:p>
            <w:pPr>
              <w:pStyle w:val="TableText"/>
            </w:pPr>
            <w:r>
              <w:t>Host CPU utilization &gt; 85%</w:t>
            </w:r>
          </w:p>
        </w:tc>
        <w:tc>
          <w:tcPr>
            <w:tcW w:type="dxa" w:w="1200"/>
            <w:tcMar>
              <w:top w:w="80" w:type="dxa"/>
              <w:start w:w="120" w:type="dxa"/>
              <w:bottom w:w="80" w:type="dxa"/>
              <w:end w:w="120" w:type="dxa"/>
            </w:tcMar>
            <w:vAlign w:val="center"/>
          </w:tcPr>
          <w:p>
            <w:pPr>
              <w:pStyle w:val="TableText"/>
            </w:pPr>
            <w:r>
              <w:t>10 min</w:t>
            </w:r>
          </w:p>
        </w:tc>
        <w:tc>
          <w:tcPr>
            <w:tcW w:type="dxa" w:w="1440"/>
            <w:tcMar>
              <w:top w:w="80" w:type="dxa"/>
              <w:start w:w="120" w:type="dxa"/>
              <w:bottom w:w="80" w:type="dxa"/>
              <w:end w:w="120" w:type="dxa"/>
            </w:tcMar>
            <w:vAlign w:val="center"/>
          </w:tcPr>
          <w:p>
            <w:pPr>
              <w:pStyle w:val="TableText"/>
            </w:pPr>
            <w:r>
              <w:t>Warning</w:t>
            </w:r>
          </w:p>
        </w:tc>
      </w:tr>
      <w:tr>
        <w:tc>
          <w:tcPr>
            <w:tcW w:type="dxa" w:w="3000"/>
            <w:tcMar>
              <w:top w:w="80" w:type="dxa"/>
              <w:start w:w="120" w:type="dxa"/>
              <w:bottom w:w="80" w:type="dxa"/>
              <w:end w:w="120" w:type="dxa"/>
            </w:tcMar>
            <w:vAlign w:val="center"/>
          </w:tcPr>
          <w:p>
            <w:pPr>
              <w:pStyle w:val="TableText"/>
            </w:pPr>
            <w:r>
              <w:t>HostHighMemory</w:t>
            </w:r>
          </w:p>
        </w:tc>
        <w:tc>
          <w:tcPr>
            <w:tcW w:type="dxa" w:w="3720"/>
            <w:tcMar>
              <w:top w:w="80" w:type="dxa"/>
              <w:start w:w="120" w:type="dxa"/>
              <w:bottom w:w="80" w:type="dxa"/>
              <w:end w:w="120" w:type="dxa"/>
            </w:tcMar>
            <w:vAlign w:val="center"/>
          </w:tcPr>
          <w:p>
            <w:pPr>
              <w:pStyle w:val="TableText"/>
            </w:pPr>
            <w:r>
              <w:t>Host memory utilization &gt; 90%</w:t>
            </w:r>
          </w:p>
        </w:tc>
        <w:tc>
          <w:tcPr>
            <w:tcW w:type="dxa" w:w="1200"/>
            <w:tcMar>
              <w:top w:w="80" w:type="dxa"/>
              <w:start w:w="120" w:type="dxa"/>
              <w:bottom w:w="80" w:type="dxa"/>
              <w:end w:w="120" w:type="dxa"/>
            </w:tcMar>
            <w:vAlign w:val="center"/>
          </w:tcPr>
          <w:p>
            <w:pPr>
              <w:pStyle w:val="TableText"/>
            </w:pPr>
            <w:r>
              <w:t>10 min</w:t>
            </w:r>
          </w:p>
        </w:tc>
        <w:tc>
          <w:tcPr>
            <w:tcW w:type="dxa" w:w="1440"/>
            <w:tcMar>
              <w:top w:w="80" w:type="dxa"/>
              <w:start w:w="120" w:type="dxa"/>
              <w:bottom w:w="80" w:type="dxa"/>
              <w:end w:w="120" w:type="dxa"/>
            </w:tcMar>
            <w:vAlign w:val="center"/>
          </w:tcPr>
          <w:p>
            <w:pPr>
              <w:pStyle w:val="TableText"/>
            </w:pPr>
            <w:r>
              <w:t>Warning</w:t>
            </w:r>
          </w:p>
        </w:tc>
      </w:tr>
      <w:tr>
        <w:tc>
          <w:tcPr>
            <w:tcW w:type="dxa" w:w="3000"/>
            <w:tcMar>
              <w:top w:w="80" w:type="dxa"/>
              <w:start w:w="120" w:type="dxa"/>
              <w:bottom w:w="80" w:type="dxa"/>
              <w:end w:w="120" w:type="dxa"/>
            </w:tcMar>
            <w:vAlign w:val="center"/>
          </w:tcPr>
          <w:p>
            <w:pPr>
              <w:pStyle w:val="TableText"/>
            </w:pPr>
            <w:r>
              <w:t>HostFilesystemLowSpace</w:t>
            </w:r>
          </w:p>
        </w:tc>
        <w:tc>
          <w:tcPr>
            <w:tcW w:type="dxa" w:w="3720"/>
            <w:tcMar>
              <w:top w:w="80" w:type="dxa"/>
              <w:start w:w="120" w:type="dxa"/>
              <w:bottom w:w="80" w:type="dxa"/>
              <w:end w:w="120" w:type="dxa"/>
            </w:tcMar>
            <w:vAlign w:val="center"/>
          </w:tcPr>
          <w:p>
            <w:pPr>
              <w:pStyle w:val="TableText"/>
            </w:pPr>
            <w:r>
              <w:t>Root filesystem utilization &gt; 85%</w:t>
            </w:r>
          </w:p>
        </w:tc>
        <w:tc>
          <w:tcPr>
            <w:tcW w:type="dxa" w:w="1200"/>
            <w:tcMar>
              <w:top w:w="80" w:type="dxa"/>
              <w:start w:w="120" w:type="dxa"/>
              <w:bottom w:w="80" w:type="dxa"/>
              <w:end w:w="120" w:type="dxa"/>
            </w:tcMar>
            <w:vAlign w:val="center"/>
          </w:tcPr>
          <w:p>
            <w:pPr>
              <w:pStyle w:val="TableText"/>
            </w:pPr>
            <w:r>
              <w:t>15 min</w:t>
            </w:r>
          </w:p>
        </w:tc>
        <w:tc>
          <w:tcPr>
            <w:tcW w:type="dxa" w:w="1440"/>
            <w:tcMar>
              <w:top w:w="80" w:type="dxa"/>
              <w:start w:w="120" w:type="dxa"/>
              <w:bottom w:w="80" w:type="dxa"/>
              <w:end w:w="120" w:type="dxa"/>
            </w:tcMar>
            <w:vAlign w:val="center"/>
          </w:tcPr>
          <w:p>
            <w:pPr>
              <w:pStyle w:val="TableText"/>
            </w:pPr>
            <w:r>
              <w:t>Warning</w:t>
            </w:r>
          </w:p>
        </w:tc>
      </w:tr>
      <w:tr>
        <w:tc>
          <w:tcPr>
            <w:tcW w:type="dxa" w:w="3000"/>
            <w:tcMar>
              <w:top w:w="80" w:type="dxa"/>
              <w:start w:w="120" w:type="dxa"/>
              <w:bottom w:w="80" w:type="dxa"/>
              <w:end w:w="120" w:type="dxa"/>
            </w:tcMar>
            <w:vAlign w:val="center"/>
          </w:tcPr>
          <w:p>
            <w:pPr>
              <w:pStyle w:val="TableText"/>
            </w:pPr>
            <w:r>
              <w:t>ContainerHighCPU</w:t>
            </w:r>
          </w:p>
        </w:tc>
        <w:tc>
          <w:tcPr>
            <w:tcW w:type="dxa" w:w="3720"/>
            <w:tcMar>
              <w:top w:w="80" w:type="dxa"/>
              <w:start w:w="120" w:type="dxa"/>
              <w:bottom w:w="80" w:type="dxa"/>
              <w:end w:w="120" w:type="dxa"/>
            </w:tcMar>
            <w:vAlign w:val="center"/>
          </w:tcPr>
          <w:p>
            <w:pPr>
              <w:pStyle w:val="TableText"/>
            </w:pPr>
            <w:r>
              <w:t>Container uses &gt; 0.8 CPU cores</w:t>
            </w:r>
          </w:p>
        </w:tc>
        <w:tc>
          <w:tcPr>
            <w:tcW w:type="dxa" w:w="1200"/>
            <w:tcMar>
              <w:top w:w="80" w:type="dxa"/>
              <w:start w:w="120" w:type="dxa"/>
              <w:bottom w:w="80" w:type="dxa"/>
              <w:end w:w="120" w:type="dxa"/>
            </w:tcMar>
            <w:vAlign w:val="center"/>
          </w:tcPr>
          <w:p>
            <w:pPr>
              <w:pStyle w:val="TableText"/>
            </w:pPr>
            <w:r>
              <w:t>10 min</w:t>
            </w:r>
          </w:p>
        </w:tc>
        <w:tc>
          <w:tcPr>
            <w:tcW w:type="dxa" w:w="1440"/>
            <w:tcMar>
              <w:top w:w="80" w:type="dxa"/>
              <w:start w:w="120" w:type="dxa"/>
              <w:bottom w:w="80" w:type="dxa"/>
              <w:end w:w="120" w:type="dxa"/>
            </w:tcMar>
            <w:vAlign w:val="center"/>
          </w:tcPr>
          <w:p>
            <w:pPr>
              <w:pStyle w:val="TableText"/>
            </w:pPr>
            <w:r>
              <w:t>Warning</w:t>
            </w:r>
          </w:p>
        </w:tc>
      </w:tr>
      <w:tr>
        <w:tc>
          <w:tcPr>
            <w:tcW w:type="dxa" w:w="3000"/>
            <w:tcMar>
              <w:top w:w="80" w:type="dxa"/>
              <w:start w:w="120" w:type="dxa"/>
              <w:bottom w:w="80" w:type="dxa"/>
              <w:end w:w="120" w:type="dxa"/>
            </w:tcMar>
            <w:vAlign w:val="center"/>
          </w:tcPr>
          <w:p>
            <w:pPr>
              <w:pStyle w:val="TableText"/>
            </w:pPr>
            <w:r>
              <w:t>DemoApplicationHighErrorRate</w:t>
            </w:r>
          </w:p>
        </w:tc>
        <w:tc>
          <w:tcPr>
            <w:tcW w:type="dxa" w:w="3720"/>
            <w:tcMar>
              <w:top w:w="80" w:type="dxa"/>
              <w:start w:w="120" w:type="dxa"/>
              <w:bottom w:w="80" w:type="dxa"/>
              <w:end w:w="120" w:type="dxa"/>
            </w:tcMar>
            <w:vAlign w:val="center"/>
          </w:tcPr>
          <w:p>
            <w:pPr>
              <w:pStyle w:val="TableText"/>
            </w:pPr>
            <w:r>
              <w:t>Five-minute HTTP error ratio &gt; 5%</w:t>
            </w:r>
          </w:p>
        </w:tc>
        <w:tc>
          <w:tcPr>
            <w:tcW w:type="dxa" w:w="1200"/>
            <w:tcMar>
              <w:top w:w="80" w:type="dxa"/>
              <w:start w:w="120" w:type="dxa"/>
              <w:bottom w:w="80" w:type="dxa"/>
              <w:end w:w="120" w:type="dxa"/>
            </w:tcMar>
            <w:vAlign w:val="center"/>
          </w:tcPr>
          <w:p>
            <w:pPr>
              <w:pStyle w:val="TableText"/>
            </w:pPr>
            <w:r>
              <w:t>5 min</w:t>
            </w:r>
          </w:p>
        </w:tc>
        <w:tc>
          <w:tcPr>
            <w:tcW w:type="dxa" w:w="1440"/>
            <w:tcMar>
              <w:top w:w="80" w:type="dxa"/>
              <w:start w:w="120" w:type="dxa"/>
              <w:bottom w:w="80" w:type="dxa"/>
              <w:end w:w="120" w:type="dxa"/>
            </w:tcMar>
            <w:vAlign w:val="center"/>
          </w:tcPr>
          <w:p>
            <w:pPr>
              <w:pStyle w:val="TableText"/>
            </w:pPr>
            <w:r>
              <w:t>Critical</w:t>
            </w:r>
          </w:p>
        </w:tc>
      </w:tr>
      <w:tr>
        <w:tc>
          <w:tcPr>
            <w:tcW w:type="dxa" w:w="3000"/>
            <w:tcMar>
              <w:top w:w="80" w:type="dxa"/>
              <w:start w:w="120" w:type="dxa"/>
              <w:bottom w:w="80" w:type="dxa"/>
              <w:end w:w="120" w:type="dxa"/>
            </w:tcMar>
            <w:vAlign w:val="center"/>
          </w:tcPr>
          <w:p>
            <w:pPr>
              <w:pStyle w:val="TableText"/>
            </w:pPr>
            <w:r>
              <w:t>DemoInventoryLow</w:t>
            </w:r>
          </w:p>
        </w:tc>
        <w:tc>
          <w:tcPr>
            <w:tcW w:type="dxa" w:w="3720"/>
            <w:tcMar>
              <w:top w:w="80" w:type="dxa"/>
              <w:start w:w="120" w:type="dxa"/>
              <w:bottom w:w="80" w:type="dxa"/>
              <w:end w:w="120" w:type="dxa"/>
            </w:tcMar>
            <w:vAlign w:val="center"/>
          </w:tcPr>
          <w:p>
            <w:pPr>
              <w:pStyle w:val="TableText"/>
            </w:pPr>
            <w:r>
              <w:t>Inventory below 20 units</w:t>
            </w:r>
          </w:p>
        </w:tc>
        <w:tc>
          <w:tcPr>
            <w:tcW w:type="dxa" w:w="1200"/>
            <w:tcMar>
              <w:top w:w="80" w:type="dxa"/>
              <w:start w:w="120" w:type="dxa"/>
              <w:bottom w:w="80" w:type="dxa"/>
              <w:end w:w="120" w:type="dxa"/>
            </w:tcMar>
            <w:vAlign w:val="center"/>
          </w:tcPr>
          <w:p>
            <w:pPr>
              <w:pStyle w:val="TableText"/>
            </w:pPr>
            <w:r>
              <w:t>2 min</w:t>
            </w:r>
          </w:p>
        </w:tc>
        <w:tc>
          <w:tcPr>
            <w:tcW w:type="dxa" w:w="1440"/>
            <w:tcMar>
              <w:top w:w="80" w:type="dxa"/>
              <w:start w:w="120" w:type="dxa"/>
              <w:bottom w:w="80" w:type="dxa"/>
              <w:end w:w="120" w:type="dxa"/>
            </w:tcMar>
            <w:vAlign w:val="center"/>
          </w:tcPr>
          <w:p>
            <w:pPr>
              <w:pStyle w:val="TableText"/>
            </w:pPr>
            <w:r>
              <w:t>Warning</w:t>
            </w:r>
          </w:p>
        </w:tc>
      </w:tr>
      <w:tr>
        <w:tc>
          <w:tcPr>
            <w:tcW w:type="dxa" w:w="3000"/>
            <w:tcMar>
              <w:top w:w="80" w:type="dxa"/>
              <w:start w:w="120" w:type="dxa"/>
              <w:bottom w:w="80" w:type="dxa"/>
              <w:end w:w="120" w:type="dxa"/>
            </w:tcMar>
            <w:vAlign w:val="center"/>
          </w:tcPr>
          <w:p>
            <w:pPr>
              <w:pStyle w:val="TableText"/>
            </w:pPr>
            <w:r>
              <w:t>DemoNoRecentOrders</w:t>
            </w:r>
          </w:p>
        </w:tc>
        <w:tc>
          <w:tcPr>
            <w:tcW w:type="dxa" w:w="3720"/>
            <w:tcMar>
              <w:top w:w="80" w:type="dxa"/>
              <w:start w:w="120" w:type="dxa"/>
              <w:bottom w:w="80" w:type="dxa"/>
              <w:end w:w="120" w:type="dxa"/>
            </w:tcMar>
            <w:vAlign w:val="center"/>
          </w:tcPr>
          <w:p>
            <w:pPr>
              <w:pStyle w:val="TableText"/>
            </w:pPr>
            <w:r>
              <w:t>No order increase in 30 minutes</w:t>
            </w:r>
          </w:p>
        </w:tc>
        <w:tc>
          <w:tcPr>
            <w:tcW w:type="dxa" w:w="1200"/>
            <w:tcMar>
              <w:top w:w="80" w:type="dxa"/>
              <w:start w:w="120" w:type="dxa"/>
              <w:bottom w:w="80" w:type="dxa"/>
              <w:end w:w="120" w:type="dxa"/>
            </w:tcMar>
            <w:vAlign w:val="center"/>
          </w:tcPr>
          <w:p>
            <w:pPr>
              <w:pStyle w:val="TableText"/>
            </w:pPr>
            <w:r>
              <w:t>30 min</w:t>
            </w:r>
          </w:p>
        </w:tc>
        <w:tc>
          <w:tcPr>
            <w:tcW w:type="dxa" w:w="1440"/>
            <w:tcMar>
              <w:top w:w="80" w:type="dxa"/>
              <w:start w:w="120" w:type="dxa"/>
              <w:bottom w:w="80" w:type="dxa"/>
              <w:end w:w="120" w:type="dxa"/>
            </w:tcMar>
            <w:vAlign w:val="center"/>
          </w:tcPr>
          <w:p>
            <w:pPr>
              <w:pStyle w:val="TableText"/>
            </w:pPr>
            <w:r>
              <w:t>Information</w:t>
            </w:r>
          </w:p>
        </w:tc>
      </w:tr>
    </w:tbl>
    <w:p>
      <w:pPr>
        <w:spacing w:before="0" w:after="80"/>
      </w:pPr>
    </w:p>
    <w:p>
      <w:pPr>
        <w:pStyle w:val="Heading1"/>
      </w:pPr>
      <w:r>
        <w:t>6. Security, Reliability, and Cost Controls</w:t>
      </w:r>
    </w:p>
    <w:p>
      <w:pPr>
        <w:pStyle w:val="Heading2"/>
      </w:pPr>
      <w:r>
        <w:t>6.1 Security Controls</w:t>
      </w:r>
    </w:p>
    <w:p>
      <w:pPr>
        <w:spacing w:after="160" w:line="280" w:lineRule="auto"/>
        <w:numPr>
          <w:ilvl w:val="0"/>
          <w:numId w:val="10"/>
        </w:numPr>
      </w:pPr>
      <w:r>
        <w:t>Restricted Azure ingress, SSH keys, private metric interfaces, disabled anonymous Grafana access, and generated high-entropy credentials.</w:t>
      </w:r>
    </w:p>
    <w:p>
      <w:pPr>
        <w:spacing w:after="160" w:line="280" w:lineRule="auto"/>
        <w:numPr>
          <w:ilvl w:val="0"/>
          <w:numId w:val="10"/>
        </w:numPr>
      </w:pPr>
      <w:r>
        <w:t>Read-only configuration mounts, read-only filesystems where practical, no-new-privileges, non-root demo process, and explicit persistent volumes.</w:t>
      </w:r>
    </w:p>
    <w:p>
      <w:pPr>
        <w:spacing w:after="160" w:line="280" w:lineRule="auto"/>
        <w:numPr>
          <w:ilvl w:val="0"/>
          <w:numId w:val="10"/>
        </w:numPr>
      </w:pPr>
      <w:r>
        <w:t>No cloud credential, private key, Terraform state, live webhook token, or default password is included in the submission.</w:t>
      </w:r>
    </w:p>
    <w:p>
      <w:pPr>
        <w:spacing w:after="160" w:line="280" w:lineRule="auto"/>
        <w:numPr>
          <w:ilvl w:val="0"/>
          <w:numId w:val="10"/>
        </w:numPr>
      </w:pPr>
      <w:r>
        <w:t>The cAdvisor privileged mode is a documented telemetry exception because it requires host container visibility.</w:t>
      </w:r>
    </w:p>
    <w:p>
      <w:pPr>
        <w:pStyle w:val="Heading2"/>
      </w:pPr>
      <w:r>
        <w:t>6.2 Reliability and Recovery</w:t>
      </w:r>
    </w:p>
    <w:p>
      <w:pPr/>
      <w:r>
        <w:t>Restart policies recover individual containers after routine host or process failures, while named volumes preserve Prometheus, Grafana, and Alertmanager data across Compose restarts. The health script verifies readiness endpoints, and the backup workflow writes timestamped archives plus SHA-256 checksums. Docker log rotation limits local growth. For this reference build, backup archives remain on the VM; the runbook requires encrypted off-VM storage for production.</w:t>
      </w:r>
    </w:p>
    <w:p>
      <w:pPr>
        <w:pStyle w:val="Heading2"/>
      </w:pPr>
      <w:r>
        <w:t>6.3 Cost Controls</w:t>
      </w:r>
    </w:p>
    <w:p>
      <w:pPr/>
      <w:r>
        <w:t>The configurable B-series VM and Standard SSD are appropriate starting points for a small demonstration. Terraform enables a daily 23:00 Asia/Riyadh shutdown schedule by default. Tags identify ownership, environment, management method, and cost center. Exact cost is intentionally not stated because Azure pricing varies by region, currency, commitment, taxes, and time; the deployment should be priced in Azure Calculator immediately before approval.</w:t>
      </w:r>
    </w:p>
    <w:p>
      <w:pPr>
        <w:pStyle w:val="Heading1"/>
      </w:pPr>
      <w:r>
        <w:t>7. Deployment and Operations</w:t>
      </w:r>
    </w:p>
    <w:p>
      <w:pPr>
        <w:pStyle w:val="Heading2"/>
      </w:pPr>
      <w:r>
        <w:t>7.1 Deployment Sequence</w:t>
      </w:r>
    </w:p>
    <w:p>
      <w:pPr>
        <w:spacing w:after="160" w:line="280" w:lineRule="auto"/>
        <w:numPr>
          <w:ilvl w:val="0"/>
          <w:numId w:val="11"/>
        </w:numPr>
      </w:pPr>
      <w:r>
        <w:t>Authenticate Azure CLI and select the intended subscription.</w:t>
      </w:r>
    </w:p>
    <w:p>
      <w:pPr>
        <w:spacing w:after="160" w:line="280" w:lineRule="auto"/>
        <w:numPr>
          <w:ilvl w:val="0"/>
          <w:numId w:val="11"/>
        </w:numPr>
      </w:pPr>
      <w:r>
        <w:t>Copy terraform.tfvars.example, set the trusted public IPv4 /32, verify the region and SSH key, and review cost-sensitive variables.</w:t>
      </w:r>
    </w:p>
    <w:p>
      <w:pPr>
        <w:spacing w:after="160" w:line="280" w:lineRule="auto"/>
        <w:numPr>
          <w:ilvl w:val="0"/>
          <w:numId w:val="11"/>
        </w:numPr>
      </w:pPr>
      <w:r>
        <w:t>Run the Azure deployment script, inspect the Terraform plan, and approve only the expected resources.</w:t>
      </w:r>
    </w:p>
    <w:p>
      <w:pPr>
        <w:spacing w:after="160" w:line="280" w:lineRule="auto"/>
        <w:numPr>
          <w:ilvl w:val="0"/>
          <w:numId w:val="11"/>
        </w:numPr>
      </w:pPr>
      <w:r>
        <w:t>Allow the script to wait for cloud-init, transfer the stack, generate the Grafana secret, and start services.</w:t>
      </w:r>
    </w:p>
    <w:p>
      <w:pPr>
        <w:spacing w:after="160" w:line="280" w:lineRule="auto"/>
        <w:numPr>
          <w:ilvl w:val="0"/>
          <w:numId w:val="11"/>
        </w:numPr>
      </w:pPr>
      <w:r>
        <w:t>Open Grafana from the trusted network and use SSH tunnels for Prometheus or Alertmanager administration.</w:t>
      </w:r>
    </w:p>
    <w:p>
      <w:pPr>
        <w:spacing w:after="160" w:line="280" w:lineRule="auto"/>
        <w:numPr>
          <w:ilvl w:val="0"/>
          <w:numId w:val="11"/>
        </w:numPr>
      </w:pPr>
      <w:r>
        <w:t>Execute the acceptance plan, capture non-sensitive evidence, and destroy the environment when it is no longer required.</w:t>
      </w:r>
    </w:p>
    <w:p>
      <w:pPr>
        <w:pStyle w:val="Heading2"/>
      </w:pPr>
      <w:r>
        <w:t>7.2 Demonstration Workflow</w:t>
      </w:r>
    </w:p>
    <w:p>
      <w:pPr/>
      <w:r>
        <w:t>The demo application makes the platform reviewable without an external dependency. An operator can submit an order, restock inventory, or trigger a controlled HTTP 500. The dashboard then shows order and revenue changes, inventory movement, status-specific request rates, and any resulting alerts. Alertmanager posts notification payloads to the application's webhook, which increments a delivery counter and logs the received payload.</w:t>
      </w:r>
    </w:p>
    <w:p>
      <w:r>
        <w:br w:type="page"/>
      </w:r>
    </w:p>
    <w:p>
      <w:pPr>
        <w:pStyle w:val="Heading1"/>
      </w:pPr>
      <w:r>
        <w:t>8. Verification and Quality Evidence</w:t>
      </w:r>
    </w:p>
    <w:p>
      <w:pPr/>
      <w:r>
        <w:t>Verification was performed in layers so the report does not imply cloud execution that did not occur. The local workspace had no Terraform CLI, Docker Engine, Azure CLI, or LibreOffice installation. Therefore, configuration and component behavior were tested with dedicated parsers, linting, structural assertions, and a live Python service; subscriber-level Azure and Docker acceptance remains a documented final step.</w:t>
      </w:r>
    </w:p>
    <w:p>
      <w:pPr>
        <w:pStyle w:val="Caption"/>
        <w:keepNext/>
      </w:pPr>
      <w:r>
        <w:t>Table 6. Completed validation evidence</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3180"/>
        <w:gridCol w:w="1020"/>
        <w:gridCol w:w="5160"/>
      </w:tblGrid>
      <w:tr>
        <w:trPr>
          <w:tblHeader w:val="true"/>
        </w:trPr>
        <w:tc>
          <w:tcPr>
            <w:tcW w:type="dxa" w:w="3180"/>
            <w:shd w:fill="F2F4F7"/>
            <w:tcMar>
              <w:top w:w="80" w:type="dxa"/>
              <w:start w:w="120" w:type="dxa"/>
              <w:bottom w:w="80" w:type="dxa"/>
              <w:end w:w="120" w:type="dxa"/>
            </w:tcMar>
            <w:vAlign w:val="center"/>
          </w:tcPr>
          <w:p>
            <w:pPr>
              <w:pStyle w:val="TableHeader"/>
              <w:keepNext/>
            </w:pPr>
            <w:r>
              <w:t>Check</w:t>
            </w:r>
          </w:p>
        </w:tc>
        <w:tc>
          <w:tcPr>
            <w:tcW w:type="dxa" w:w="1020"/>
            <w:shd w:fill="F2F4F7"/>
            <w:tcMar>
              <w:top w:w="80" w:type="dxa"/>
              <w:start w:w="120" w:type="dxa"/>
              <w:bottom w:w="80" w:type="dxa"/>
              <w:end w:w="120" w:type="dxa"/>
            </w:tcMar>
            <w:vAlign w:val="center"/>
          </w:tcPr>
          <w:p>
            <w:pPr>
              <w:pStyle w:val="TableHeader"/>
              <w:keepNext/>
            </w:pPr>
            <w:r>
              <w:t>Result</w:t>
            </w:r>
          </w:p>
        </w:tc>
        <w:tc>
          <w:tcPr>
            <w:tcW w:type="dxa" w:w="5160"/>
            <w:shd w:fill="F2F4F7"/>
            <w:tcMar>
              <w:top w:w="80" w:type="dxa"/>
              <w:start w:w="120" w:type="dxa"/>
              <w:bottom w:w="80" w:type="dxa"/>
              <w:end w:w="120" w:type="dxa"/>
            </w:tcMar>
            <w:vAlign w:val="center"/>
          </w:tcPr>
          <w:p>
            <w:pPr>
              <w:pStyle w:val="TableHeader"/>
              <w:keepNext/>
            </w:pPr>
            <w:r>
              <w:t>Coverage</w:t>
            </w:r>
          </w:p>
        </w:tc>
      </w:tr>
      <w:tr>
        <w:tc>
          <w:tcPr>
            <w:tcW w:type="dxa" w:w="3180"/>
            <w:tcMar>
              <w:top w:w="80" w:type="dxa"/>
              <w:start w:w="120" w:type="dxa"/>
              <w:bottom w:w="80" w:type="dxa"/>
              <w:end w:w="120" w:type="dxa"/>
            </w:tcMar>
            <w:vAlign w:val="center"/>
          </w:tcPr>
          <w:p>
            <w:pPr>
              <w:pStyle w:val="TableText"/>
            </w:pPr>
            <w:r>
              <w:t>Python abstract syntax and live service test</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Health, order, revenue, inventory, error, alert webhook, and metric output</w:t>
            </w:r>
          </w:p>
        </w:tc>
      </w:tr>
      <w:tr>
        <w:tc>
          <w:tcPr>
            <w:tcW w:type="dxa" w:w="3180"/>
            <w:tcMar>
              <w:top w:w="80" w:type="dxa"/>
              <w:start w:w="120" w:type="dxa"/>
              <w:bottom w:w="80" w:type="dxa"/>
              <w:end w:w="120" w:type="dxa"/>
            </w:tcMar>
            <w:vAlign w:val="center"/>
          </w:tcPr>
          <w:p>
            <w:pPr>
              <w:pStyle w:val="TableText"/>
            </w:pPr>
            <w:r>
              <w:t>ShellCheck 0.10</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All seven Bash automation files at warning severity</w:t>
            </w:r>
          </w:p>
        </w:tc>
      </w:tr>
      <w:tr>
        <w:tc>
          <w:tcPr>
            <w:tcW w:type="dxa" w:w="3180"/>
            <w:tcMar>
              <w:top w:w="80" w:type="dxa"/>
              <w:start w:w="120" w:type="dxa"/>
              <w:bottom w:w="80" w:type="dxa"/>
              <w:end w:w="120" w:type="dxa"/>
            </w:tcMar>
            <w:vAlign w:val="center"/>
          </w:tcPr>
          <w:p>
            <w:pPr>
              <w:pStyle w:val="TableText"/>
            </w:pPr>
            <w:r>
              <w:t>YAML parsing</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Nine Compose, Prometheus, Alertmanager, Blackbox, Grafana, and cloud-init files</w:t>
            </w:r>
          </w:p>
        </w:tc>
      </w:tr>
      <w:tr>
        <w:tc>
          <w:tcPr>
            <w:tcW w:type="dxa" w:w="3180"/>
            <w:tcMar>
              <w:top w:w="80" w:type="dxa"/>
              <w:start w:w="120" w:type="dxa"/>
              <w:bottom w:w="80" w:type="dxa"/>
              <w:end w:w="120" w:type="dxa"/>
            </w:tcMar>
            <w:vAlign w:val="center"/>
          </w:tcPr>
          <w:p>
            <w:pPr>
              <w:pStyle w:val="TableText"/>
            </w:pPr>
            <w:r>
              <w:t>HCL parsing</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Five active Terraform files</w:t>
            </w:r>
          </w:p>
        </w:tc>
      </w:tr>
      <w:tr>
        <w:tc>
          <w:tcPr>
            <w:tcW w:type="dxa" w:w="3180"/>
            <w:tcMar>
              <w:top w:w="80" w:type="dxa"/>
              <w:start w:w="120" w:type="dxa"/>
              <w:bottom w:w="80" w:type="dxa"/>
              <w:end w:w="120" w:type="dxa"/>
            </w:tcMar>
            <w:vAlign w:val="center"/>
          </w:tcPr>
          <w:p>
            <w:pPr>
              <w:pStyle w:val="TableText"/>
            </w:pPr>
            <w:r>
              <w:t>PromQL parsing</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All recording rules, alert expressions, and Grafana queries</w:t>
            </w:r>
          </w:p>
        </w:tc>
      </w:tr>
      <w:tr>
        <w:tc>
          <w:tcPr>
            <w:tcW w:type="dxa" w:w="3180"/>
            <w:tcMar>
              <w:top w:w="80" w:type="dxa"/>
              <w:start w:w="120" w:type="dxa"/>
              <w:bottom w:w="80" w:type="dxa"/>
              <w:end w:w="120" w:type="dxa"/>
            </w:tcMar>
            <w:vAlign w:val="center"/>
          </w:tcPr>
          <w:p>
            <w:pPr>
              <w:pStyle w:val="TableText"/>
            </w:pPr>
            <w:r>
              <w:t>Grafana structural audit</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Unique IDs, valid 24-column geometry, and no panel overlap</w:t>
            </w:r>
          </w:p>
        </w:tc>
      </w:tr>
      <w:tr>
        <w:tc>
          <w:tcPr>
            <w:tcW w:type="dxa" w:w="3180"/>
            <w:tcMar>
              <w:top w:w="80" w:type="dxa"/>
              <w:start w:w="120" w:type="dxa"/>
              <w:bottom w:w="80" w:type="dxa"/>
              <w:end w:w="120" w:type="dxa"/>
            </w:tcMar>
            <w:vAlign w:val="center"/>
          </w:tcPr>
          <w:p>
            <w:pPr>
              <w:pStyle w:val="TableText"/>
            </w:pPr>
            <w:r>
              <w:t>Security assertions</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Loopback-only private services, CIDR rejection, and gated Prometheus rule</w:t>
            </w:r>
          </w:p>
        </w:tc>
      </w:tr>
      <w:tr>
        <w:tc>
          <w:tcPr>
            <w:tcW w:type="dxa" w:w="3180"/>
            <w:tcMar>
              <w:top w:w="80" w:type="dxa"/>
              <w:start w:w="120" w:type="dxa"/>
              <w:bottom w:w="80" w:type="dxa"/>
              <w:end w:w="120" w:type="dxa"/>
            </w:tcMar>
            <w:vAlign w:val="center"/>
          </w:tcPr>
          <w:p>
            <w:pPr>
              <w:pStyle w:val="TableText"/>
            </w:pPr>
            <w:r>
              <w:t>Documentation link audit</w:t>
            </w:r>
          </w:p>
        </w:tc>
        <w:tc>
          <w:tcPr>
            <w:tcW w:type="dxa" w:w="1020"/>
            <w:tcMar>
              <w:top w:w="80" w:type="dxa"/>
              <w:start w:w="120" w:type="dxa"/>
              <w:bottom w:w="80" w:type="dxa"/>
              <w:end w:w="120" w:type="dxa"/>
            </w:tcMar>
            <w:vAlign w:val="center"/>
          </w:tcPr>
          <w:p>
            <w:pPr>
              <w:pStyle w:val="TableText"/>
            </w:pPr>
            <w:r>
              <w:t>PASS</w:t>
            </w:r>
          </w:p>
        </w:tc>
        <w:tc>
          <w:tcPr>
            <w:tcW w:type="dxa" w:w="5160"/>
            <w:tcMar>
              <w:top w:w="80" w:type="dxa"/>
              <w:start w:w="120" w:type="dxa"/>
              <w:bottom w:w="80" w:type="dxa"/>
              <w:end w:w="120" w:type="dxa"/>
            </w:tcMar>
            <w:vAlign w:val="center"/>
          </w:tcPr>
          <w:p>
            <w:pPr>
              <w:pStyle w:val="TableText"/>
            </w:pPr>
            <w:r>
              <w:t>All relative links across six Markdown documents</w:t>
            </w:r>
          </w:p>
        </w:tc>
      </w:tr>
    </w:tbl>
    <w:p>
      <w:pPr>
        <w:spacing w:before="0" w:after="80"/>
      </w:pPr>
    </w:p>
    <w:p>
      <w:pPr>
        <w:keepLines/>
        <w:spacing w:before="80" w:after="200" w:line="276" w:lineRule="auto"/>
        <w:ind w:left="216" w:right="144"/>
        <w:shd w:fill="F4F6F9"/>
        <w:pBdr>
          <w:left w:val="single" w:sz="18" w:space="8" w:color="7A5A00"/>
        </w:pBdr>
      </w:pPr>
      <w:r>
        <w:rPr>
          <w:rFonts w:ascii="Calibri" w:hAnsi="Calibri" w:eastAsia="Calibri"/>
          <w:b/>
          <w:color w:val="7A5A00"/>
        </w:rPr>
        <w:t xml:space="preserve">Remaining acceptance: </w:t>
      </w:r>
      <w:r>
        <w:t>Terraform init/validate/plan/apply, Docker Compose model/startup, Prometheus target status, Grafana rendering, firing/resolved alert behavior, Azure NSG inspection, persistence, backup, and teardown must be executed in the authorized Azure/Linux environment using docs/TEST_PLAN.md.</w:t>
      </w:r>
    </w:p>
    <w:p>
      <w:pPr>
        <w:pStyle w:val="Heading1"/>
      </w:pPr>
      <w:r>
        <w:t>9. Limitations and Production Roadmap</w:t>
      </w:r>
    </w:p>
    <w:p>
      <w:pPr>
        <w:pStyle w:val="Caption"/>
        <w:keepNext/>
      </w:pPr>
      <w:r>
        <w:t>Table 7. Production roadmap</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4000"/>
        <w:gridCol w:w="5360"/>
      </w:tblGrid>
      <w:tr>
        <w:trPr>
          <w:tblHeader w:val="true"/>
        </w:trPr>
        <w:tc>
          <w:tcPr>
            <w:tcW w:type="dxa" w:w="4000"/>
            <w:shd w:fill="F2F4F7"/>
            <w:tcMar>
              <w:top w:w="80" w:type="dxa"/>
              <w:start w:w="120" w:type="dxa"/>
              <w:bottom w:w="80" w:type="dxa"/>
              <w:end w:w="120" w:type="dxa"/>
            </w:tcMar>
            <w:vAlign w:val="center"/>
          </w:tcPr>
          <w:p>
            <w:pPr>
              <w:pStyle w:val="TableHeader"/>
              <w:keepNext/>
            </w:pPr>
            <w:r>
              <w:t>Current boundary</w:t>
            </w:r>
          </w:p>
        </w:tc>
        <w:tc>
          <w:tcPr>
            <w:tcW w:type="dxa" w:w="5360"/>
            <w:shd w:fill="F2F4F7"/>
            <w:tcMar>
              <w:top w:w="80" w:type="dxa"/>
              <w:start w:w="120" w:type="dxa"/>
              <w:bottom w:w="80" w:type="dxa"/>
              <w:end w:w="120" w:type="dxa"/>
            </w:tcMar>
            <w:vAlign w:val="center"/>
          </w:tcPr>
          <w:p>
            <w:pPr>
              <w:pStyle w:val="TableHeader"/>
              <w:keepNext/>
            </w:pPr>
            <w:r>
              <w:t>Production evolution</w:t>
            </w:r>
          </w:p>
        </w:tc>
      </w:tr>
      <w:tr>
        <w:tc>
          <w:tcPr>
            <w:tcW w:type="dxa" w:w="4000"/>
            <w:tcMar>
              <w:top w:w="80" w:type="dxa"/>
              <w:start w:w="120" w:type="dxa"/>
              <w:bottom w:w="80" w:type="dxa"/>
              <w:end w:w="120" w:type="dxa"/>
            </w:tcMar>
            <w:vAlign w:val="center"/>
          </w:tcPr>
          <w:p>
            <w:pPr>
              <w:pStyle w:val="TableText"/>
            </w:pPr>
            <w:r>
              <w:t>Single Azure VM and local Prometheus storage</w:t>
            </w:r>
          </w:p>
        </w:tc>
        <w:tc>
          <w:tcPr>
            <w:tcW w:type="dxa" w:w="5360"/>
            <w:tcMar>
              <w:top w:w="80" w:type="dxa"/>
              <w:start w:w="120" w:type="dxa"/>
              <w:bottom w:w="80" w:type="dxa"/>
              <w:end w:w="120" w:type="dxa"/>
            </w:tcMar>
            <w:vAlign w:val="center"/>
          </w:tcPr>
          <w:p>
            <w:pPr>
              <w:pStyle w:val="TableText"/>
            </w:pPr>
            <w:r>
              <w:t>Add multiple failure domains, redundant collectors, and durable long-term metric storage.</w:t>
            </w:r>
          </w:p>
        </w:tc>
      </w:tr>
      <w:tr>
        <w:tc>
          <w:tcPr>
            <w:tcW w:type="dxa" w:w="4000"/>
            <w:tcMar>
              <w:top w:w="80" w:type="dxa"/>
              <w:start w:w="120" w:type="dxa"/>
              <w:bottom w:w="80" w:type="dxa"/>
              <w:end w:w="120" w:type="dxa"/>
            </w:tcMar>
            <w:vAlign w:val="center"/>
          </w:tcPr>
          <w:p>
            <w:pPr>
              <w:pStyle w:val="TableText"/>
            </w:pPr>
            <w:r>
              <w:t>Restricted HTTP Grafana endpoint</w:t>
            </w:r>
          </w:p>
        </w:tc>
        <w:tc>
          <w:tcPr>
            <w:tcW w:type="dxa" w:w="5360"/>
            <w:tcMar>
              <w:top w:w="80" w:type="dxa"/>
              <w:start w:w="120" w:type="dxa"/>
              <w:bottom w:w="80" w:type="dxa"/>
              <w:end w:w="120" w:type="dxa"/>
            </w:tcMar>
            <w:vAlign w:val="center"/>
          </w:tcPr>
          <w:p>
            <w:pPr>
              <w:pStyle w:val="TableText"/>
            </w:pPr>
            <w:r>
              <w:t>Place Grafana behind TLS, private access or an application gateway, and organizational SSO.</w:t>
            </w:r>
          </w:p>
        </w:tc>
      </w:tr>
      <w:tr>
        <w:tc>
          <w:tcPr>
            <w:tcW w:type="dxa" w:w="4000"/>
            <w:tcMar>
              <w:top w:w="80" w:type="dxa"/>
              <w:start w:w="120" w:type="dxa"/>
              <w:bottom w:w="80" w:type="dxa"/>
              <w:end w:w="120" w:type="dxa"/>
            </w:tcMar>
            <w:vAlign w:val="center"/>
          </w:tcPr>
          <w:p>
            <w:pPr>
              <w:pStyle w:val="TableText"/>
            </w:pPr>
            <w:r>
              <w:t>Local generated secret file</w:t>
            </w:r>
          </w:p>
        </w:tc>
        <w:tc>
          <w:tcPr>
            <w:tcW w:type="dxa" w:w="5360"/>
            <w:tcMar>
              <w:top w:w="80" w:type="dxa"/>
              <w:start w:w="120" w:type="dxa"/>
              <w:bottom w:w="80" w:type="dxa"/>
              <w:end w:w="120" w:type="dxa"/>
            </w:tcMar>
            <w:vAlign w:val="center"/>
          </w:tcPr>
          <w:p>
            <w:pPr>
              <w:pStyle w:val="TableText"/>
            </w:pPr>
            <w:r>
              <w:t>Integrate Azure Key Vault, rotation, and audited secret retrieval.</w:t>
            </w:r>
          </w:p>
        </w:tc>
      </w:tr>
      <w:tr>
        <w:tc>
          <w:tcPr>
            <w:tcW w:type="dxa" w:w="4000"/>
            <w:tcMar>
              <w:top w:w="80" w:type="dxa"/>
              <w:start w:w="120" w:type="dxa"/>
              <w:bottom w:w="80" w:type="dxa"/>
              <w:end w:w="120" w:type="dxa"/>
            </w:tcMar>
            <w:vAlign w:val="center"/>
          </w:tcPr>
          <w:p>
            <w:pPr>
              <w:pStyle w:val="TableText"/>
            </w:pPr>
            <w:r>
              <w:t>Local Terraform state by default</w:t>
            </w:r>
          </w:p>
        </w:tc>
        <w:tc>
          <w:tcPr>
            <w:tcW w:type="dxa" w:w="5360"/>
            <w:tcMar>
              <w:top w:w="80" w:type="dxa"/>
              <w:start w:w="120" w:type="dxa"/>
              <w:bottom w:w="80" w:type="dxa"/>
              <w:end w:w="120" w:type="dxa"/>
            </w:tcMar>
            <w:vAlign w:val="center"/>
          </w:tcPr>
          <w:p>
            <w:pPr>
              <w:pStyle w:val="TableText"/>
            </w:pPr>
            <w:r>
              <w:t>Use encrypted remote state with locking, least privilege, and recovery procedures.</w:t>
            </w:r>
          </w:p>
        </w:tc>
      </w:tr>
      <w:tr>
        <w:tc>
          <w:tcPr>
            <w:tcW w:type="dxa" w:w="4000"/>
            <w:tcMar>
              <w:top w:w="80" w:type="dxa"/>
              <w:start w:w="120" w:type="dxa"/>
              <w:bottom w:w="80" w:type="dxa"/>
              <w:end w:w="120" w:type="dxa"/>
            </w:tcMar>
            <w:vAlign w:val="center"/>
          </w:tcPr>
          <w:p>
            <w:pPr>
              <w:pStyle w:val="TableText"/>
            </w:pPr>
            <w:r>
              <w:t>Local backup archives</w:t>
            </w:r>
          </w:p>
        </w:tc>
        <w:tc>
          <w:tcPr>
            <w:tcW w:type="dxa" w:w="5360"/>
            <w:tcMar>
              <w:top w:w="80" w:type="dxa"/>
              <w:start w:w="120" w:type="dxa"/>
              <w:bottom w:w="80" w:type="dxa"/>
              <w:end w:w="120" w:type="dxa"/>
            </w:tcMar>
            <w:vAlign w:val="center"/>
          </w:tcPr>
          <w:p>
            <w:pPr>
              <w:pStyle w:val="TableText"/>
            </w:pPr>
            <w:r>
              <w:t>Schedule encrypted off-VM transfer, retention, integrity checks, and restoration exercises.</w:t>
            </w:r>
          </w:p>
        </w:tc>
      </w:tr>
      <w:tr>
        <w:tc>
          <w:tcPr>
            <w:tcW w:type="dxa" w:w="4000"/>
            <w:tcMar>
              <w:top w:w="80" w:type="dxa"/>
              <w:start w:w="120" w:type="dxa"/>
              <w:bottom w:w="80" w:type="dxa"/>
              <w:end w:w="120" w:type="dxa"/>
            </w:tcMar>
            <w:vAlign w:val="center"/>
          </w:tcPr>
          <w:p>
            <w:pPr>
              <w:pStyle w:val="TableText"/>
            </w:pPr>
            <w:r>
              <w:t>Version pins without image digests</w:t>
            </w:r>
          </w:p>
        </w:tc>
        <w:tc>
          <w:tcPr>
            <w:tcW w:type="dxa" w:w="5360"/>
            <w:tcMar>
              <w:top w:w="80" w:type="dxa"/>
              <w:start w:w="120" w:type="dxa"/>
              <w:bottom w:w="80" w:type="dxa"/>
              <w:end w:w="120" w:type="dxa"/>
            </w:tcMar>
            <w:vAlign w:val="center"/>
          </w:tcPr>
          <w:p>
            <w:pPr>
              <w:pStyle w:val="TableText"/>
            </w:pPr>
            <w:r>
              <w:t>Add CI vulnerability checks, provenance verification, and digest pinning.</w:t>
            </w:r>
          </w:p>
        </w:tc>
      </w:tr>
      <w:tr>
        <w:tc>
          <w:tcPr>
            <w:tcW w:type="dxa" w:w="4000"/>
            <w:tcMar>
              <w:top w:w="80" w:type="dxa"/>
              <w:start w:w="120" w:type="dxa"/>
              <w:bottom w:w="80" w:type="dxa"/>
              <w:end w:w="120" w:type="dxa"/>
            </w:tcMar>
            <w:vAlign w:val="center"/>
          </w:tcPr>
          <w:p>
            <w:pPr>
              <w:pStyle w:val="TableText"/>
            </w:pPr>
            <w:r>
              <w:t>Demonstration notification webhook</w:t>
            </w:r>
          </w:p>
        </w:tc>
        <w:tc>
          <w:tcPr>
            <w:tcW w:type="dxa" w:w="5360"/>
            <w:tcMar>
              <w:top w:w="80" w:type="dxa"/>
              <w:start w:w="120" w:type="dxa"/>
              <w:bottom w:w="80" w:type="dxa"/>
              <w:end w:w="120" w:type="dxa"/>
            </w:tcMar>
            <w:vAlign w:val="center"/>
          </w:tcPr>
          <w:p>
            <w:pPr>
              <w:pStyle w:val="TableText"/>
            </w:pPr>
            <w:r>
              <w:t>Configure an approved email, chat, or on-call receiver using managed credentials.</w:t>
            </w:r>
          </w:p>
        </w:tc>
      </w:tr>
    </w:tbl>
    <w:p>
      <w:pPr>
        <w:spacing w:before="0" w:after="80"/>
      </w:pPr>
    </w:p>
    <w:p>
      <w:pPr>
        <w:pStyle w:val="Heading1"/>
      </w:pPr>
      <w:r>
        <w:t>10. Conclusion</w:t>
      </w:r>
    </w:p>
    <w:p>
      <w:pPr/>
      <w:r>
        <w:t>The completed project meets the brief's technical intent and extends it into a coherent operational package. Azure infrastructure is reproducible, deployment is automated, monitoring configuration is version controlled, dashboards are provisioned automatically, alerts link to runbooks, and a built-in workload demonstrates the entire telemetry path. The result is suitable for submission and for controlled deployment as a training or proof-of-concept platform, with a transparent roadmap for production security, identity, scale, and resilience.</w:t>
      </w:r>
    </w:p>
    <w:p>
      <w:pPr>
        <w:pStyle w:val="Heading1"/>
      </w:pPr>
      <w:r>
        <w:t>Appendix A. Deliverable Inventory</w:t>
      </w:r>
    </w:p>
    <w:p>
      <w:pPr>
        <w:pStyle w:val="Caption"/>
        <w:keepNext/>
      </w:pPr>
      <w:r>
        <w:t>Table 8. Project file inventory</w:t>
      </w:r>
    </w:p>
    <w:tbl>
      <w:tblPr>
        <w:tblStyle w:val="TableGrid"/>
        <w:jc w:val="left"/>
        <w:tblLook w:firstColumn="1" w:firstRow="1" w:lastColumn="0" w:lastRow="0" w:noHBand="0" w:noVBand="1" w:val="04A0"/>
        <w:tblW w:w="9360" w:type="dxa"/>
        <w:tblInd w:w="120" w:type="dxa"/>
        <w:tblLayout w:type="fixed"/>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3000"/>
        <w:gridCol w:w="6360"/>
      </w:tblGrid>
      <w:tr>
        <w:trPr>
          <w:tblHeader w:val="true"/>
        </w:trPr>
        <w:tc>
          <w:tcPr>
            <w:tcW w:type="dxa" w:w="3000"/>
            <w:shd w:fill="F2F4F7"/>
            <w:tcMar>
              <w:top w:w="80" w:type="dxa"/>
              <w:start w:w="120" w:type="dxa"/>
              <w:bottom w:w="80" w:type="dxa"/>
              <w:end w:w="120" w:type="dxa"/>
            </w:tcMar>
            <w:vAlign w:val="center"/>
          </w:tcPr>
          <w:p>
            <w:pPr>
              <w:pStyle w:val="TableHeader"/>
              <w:keepNext/>
            </w:pPr>
            <w:r>
              <w:t>Path</w:t>
            </w:r>
          </w:p>
        </w:tc>
        <w:tc>
          <w:tcPr>
            <w:tcW w:type="dxa" w:w="6360"/>
            <w:shd w:fill="F2F4F7"/>
            <w:tcMar>
              <w:top w:w="80" w:type="dxa"/>
              <w:start w:w="120" w:type="dxa"/>
              <w:bottom w:w="80" w:type="dxa"/>
              <w:end w:w="120" w:type="dxa"/>
            </w:tcMar>
            <w:vAlign w:val="center"/>
          </w:tcPr>
          <w:p>
            <w:pPr>
              <w:pStyle w:val="TableHeader"/>
              <w:keepNext/>
            </w:pPr>
            <w:r>
              <w:t>Purpose</w:t>
            </w:r>
          </w:p>
        </w:tc>
      </w:tr>
      <w:tr>
        <w:tc>
          <w:tcPr>
            <w:tcW w:type="dxa" w:w="3000"/>
            <w:tcMar>
              <w:top w:w="80" w:type="dxa"/>
              <w:start w:w="120" w:type="dxa"/>
              <w:bottom w:w="80" w:type="dxa"/>
              <w:end w:w="120" w:type="dxa"/>
            </w:tcMar>
            <w:vAlign w:val="center"/>
          </w:tcPr>
          <w:p>
            <w:pPr>
              <w:pStyle w:val="TableText"/>
            </w:pPr>
            <w:r>
              <w:t>terraform/</w:t>
            </w:r>
          </w:p>
        </w:tc>
        <w:tc>
          <w:tcPr>
            <w:tcW w:type="dxa" w:w="6360"/>
            <w:tcMar>
              <w:top w:w="80" w:type="dxa"/>
              <w:start w:w="120" w:type="dxa"/>
              <w:bottom w:w="80" w:type="dxa"/>
              <w:end w:w="120" w:type="dxa"/>
            </w:tcMar>
            <w:vAlign w:val="center"/>
          </w:tcPr>
          <w:p>
            <w:pPr>
              <w:pStyle w:val="TableText"/>
            </w:pPr>
            <w:r>
              <w:t>Azure resources, variables, outputs, cloud-init, and optional remote-state example</w:t>
            </w:r>
          </w:p>
        </w:tc>
      </w:tr>
      <w:tr>
        <w:tc>
          <w:tcPr>
            <w:tcW w:type="dxa" w:w="3000"/>
            <w:tcMar>
              <w:top w:w="80" w:type="dxa"/>
              <w:start w:w="120" w:type="dxa"/>
              <w:bottom w:w="80" w:type="dxa"/>
              <w:end w:w="120" w:type="dxa"/>
            </w:tcMar>
            <w:vAlign w:val="center"/>
          </w:tcPr>
          <w:p>
            <w:pPr>
              <w:pStyle w:val="TableText"/>
            </w:pPr>
            <w:r>
              <w:t>scripts/</w:t>
            </w:r>
          </w:p>
        </w:tc>
        <w:tc>
          <w:tcPr>
            <w:tcW w:type="dxa" w:w="6360"/>
            <w:tcMar>
              <w:top w:w="80" w:type="dxa"/>
              <w:start w:w="120" w:type="dxa"/>
              <w:bottom w:w="80" w:type="dxa"/>
              <w:end w:w="120" w:type="dxa"/>
            </w:tcMar>
            <w:vAlign w:val="center"/>
          </w:tcPr>
          <w:p>
            <w:pPr>
              <w:pStyle w:val="TableText"/>
            </w:pPr>
            <w:r>
              <w:t>Azure deploy, static validation, and confirmation-gated teardown</w:t>
            </w:r>
          </w:p>
        </w:tc>
      </w:tr>
      <w:tr>
        <w:tc>
          <w:tcPr>
            <w:tcW w:type="dxa" w:w="3000"/>
            <w:tcMar>
              <w:top w:w="80" w:type="dxa"/>
              <w:start w:w="120" w:type="dxa"/>
              <w:bottom w:w="80" w:type="dxa"/>
              <w:end w:w="120" w:type="dxa"/>
            </w:tcMar>
            <w:vAlign w:val="center"/>
          </w:tcPr>
          <w:p>
            <w:pPr>
              <w:pStyle w:val="TableText"/>
            </w:pPr>
            <w:r>
              <w:t>stack/compose.yaml</w:t>
            </w:r>
          </w:p>
        </w:tc>
        <w:tc>
          <w:tcPr>
            <w:tcW w:type="dxa" w:w="6360"/>
            <w:tcMar>
              <w:top w:w="80" w:type="dxa"/>
              <w:start w:w="120" w:type="dxa"/>
              <w:bottom w:w="80" w:type="dxa"/>
              <w:end w:w="120" w:type="dxa"/>
            </w:tcMar>
            <w:vAlign w:val="center"/>
          </w:tcPr>
          <w:p>
            <w:pPr>
              <w:pStyle w:val="TableText"/>
            </w:pPr>
            <w:r>
              <w:t>Complete monitoring service model, network, volumes, and secret mapping</w:t>
            </w:r>
          </w:p>
        </w:tc>
      </w:tr>
      <w:tr>
        <w:tc>
          <w:tcPr>
            <w:tcW w:type="dxa" w:w="3000"/>
            <w:tcMar>
              <w:top w:w="80" w:type="dxa"/>
              <w:start w:w="120" w:type="dxa"/>
              <w:bottom w:w="80" w:type="dxa"/>
              <w:end w:w="120" w:type="dxa"/>
            </w:tcMar>
            <w:vAlign w:val="center"/>
          </w:tcPr>
          <w:p>
            <w:pPr>
              <w:pStyle w:val="TableText"/>
            </w:pPr>
            <w:r>
              <w:t>stack/prometheus/</w:t>
            </w:r>
          </w:p>
        </w:tc>
        <w:tc>
          <w:tcPr>
            <w:tcW w:type="dxa" w:w="6360"/>
            <w:tcMar>
              <w:top w:w="80" w:type="dxa"/>
              <w:start w:w="120" w:type="dxa"/>
              <w:bottom w:w="80" w:type="dxa"/>
              <w:end w:w="120" w:type="dxa"/>
            </w:tcMar>
            <w:vAlign w:val="center"/>
          </w:tcPr>
          <w:p>
            <w:pPr>
              <w:pStyle w:val="TableText"/>
            </w:pPr>
            <w:r>
              <w:t>Scrape configuration, recording rules, and alert catalogue</w:t>
            </w:r>
          </w:p>
        </w:tc>
      </w:tr>
      <w:tr>
        <w:tc>
          <w:tcPr>
            <w:tcW w:type="dxa" w:w="3000"/>
            <w:tcMar>
              <w:top w:w="80" w:type="dxa"/>
              <w:start w:w="120" w:type="dxa"/>
              <w:bottom w:w="80" w:type="dxa"/>
              <w:end w:w="120" w:type="dxa"/>
            </w:tcMar>
            <w:vAlign w:val="center"/>
          </w:tcPr>
          <w:p>
            <w:pPr>
              <w:pStyle w:val="TableText"/>
            </w:pPr>
            <w:r>
              <w:t>stack/grafana/</w:t>
            </w:r>
          </w:p>
        </w:tc>
        <w:tc>
          <w:tcPr>
            <w:tcW w:type="dxa" w:w="6360"/>
            <w:tcMar>
              <w:top w:w="80" w:type="dxa"/>
              <w:start w:w="120" w:type="dxa"/>
              <w:bottom w:w="80" w:type="dxa"/>
              <w:end w:w="120" w:type="dxa"/>
            </w:tcMar>
            <w:vAlign w:val="center"/>
          </w:tcPr>
          <w:p>
            <w:pPr>
              <w:pStyle w:val="TableText"/>
            </w:pPr>
            <w:r>
              <w:t>Provisioned Prometheus data source and 12-panel dashboard</w:t>
            </w:r>
          </w:p>
        </w:tc>
      </w:tr>
      <w:tr>
        <w:tc>
          <w:tcPr>
            <w:tcW w:type="dxa" w:w="3000"/>
            <w:tcMar>
              <w:top w:w="80" w:type="dxa"/>
              <w:start w:w="120" w:type="dxa"/>
              <w:bottom w:w="80" w:type="dxa"/>
              <w:end w:w="120" w:type="dxa"/>
            </w:tcMar>
            <w:vAlign w:val="center"/>
          </w:tcPr>
          <w:p>
            <w:pPr>
              <w:pStyle w:val="TableText"/>
            </w:pPr>
            <w:r>
              <w:t>stack/alertmanager/</w:t>
            </w:r>
          </w:p>
        </w:tc>
        <w:tc>
          <w:tcPr>
            <w:tcW w:type="dxa" w:w="6360"/>
            <w:tcMar>
              <w:top w:w="80" w:type="dxa"/>
              <w:start w:w="120" w:type="dxa"/>
              <w:bottom w:w="80" w:type="dxa"/>
              <w:end w:w="120" w:type="dxa"/>
            </w:tcMar>
            <w:vAlign w:val="center"/>
          </w:tcPr>
          <w:p>
            <w:pPr>
              <w:pStyle w:val="TableText"/>
            </w:pPr>
            <w:r>
              <w:t>Grouping, inhibition, and webhook routing</w:t>
            </w:r>
          </w:p>
        </w:tc>
      </w:tr>
      <w:tr>
        <w:tc>
          <w:tcPr>
            <w:tcW w:type="dxa" w:w="3000"/>
            <w:tcMar>
              <w:top w:w="80" w:type="dxa"/>
              <w:start w:w="120" w:type="dxa"/>
              <w:bottom w:w="80" w:type="dxa"/>
              <w:end w:w="120" w:type="dxa"/>
            </w:tcMar>
            <w:vAlign w:val="center"/>
          </w:tcPr>
          <w:p>
            <w:pPr>
              <w:pStyle w:val="TableText"/>
            </w:pPr>
            <w:r>
              <w:t>stack/blackbox/</w:t>
            </w:r>
          </w:p>
        </w:tc>
        <w:tc>
          <w:tcPr>
            <w:tcW w:type="dxa" w:w="6360"/>
            <w:tcMar>
              <w:top w:w="80" w:type="dxa"/>
              <w:start w:w="120" w:type="dxa"/>
              <w:bottom w:w="80" w:type="dxa"/>
              <w:end w:w="120" w:type="dxa"/>
            </w:tcMar>
            <w:vAlign w:val="center"/>
          </w:tcPr>
          <w:p>
            <w:pPr>
              <w:pStyle w:val="TableText"/>
            </w:pPr>
            <w:r>
              <w:t>HTTP availability probe module</w:t>
            </w:r>
          </w:p>
        </w:tc>
      </w:tr>
      <w:tr>
        <w:tc>
          <w:tcPr>
            <w:tcW w:type="dxa" w:w="3000"/>
            <w:tcMar>
              <w:top w:w="80" w:type="dxa"/>
              <w:start w:w="120" w:type="dxa"/>
              <w:bottom w:w="80" w:type="dxa"/>
              <w:end w:w="120" w:type="dxa"/>
            </w:tcMar>
            <w:vAlign w:val="center"/>
          </w:tcPr>
          <w:p>
            <w:pPr>
              <w:pStyle w:val="TableText"/>
            </w:pPr>
            <w:r>
              <w:t>stack/demo-app/</w:t>
            </w:r>
          </w:p>
        </w:tc>
        <w:tc>
          <w:tcPr>
            <w:tcW w:type="dxa" w:w="6360"/>
            <w:tcMar>
              <w:top w:w="80" w:type="dxa"/>
              <w:start w:w="120" w:type="dxa"/>
              <w:bottom w:w="80" w:type="dxa"/>
              <w:end w:w="120" w:type="dxa"/>
            </w:tcMar>
            <w:vAlign w:val="center"/>
          </w:tcPr>
          <w:p>
            <w:pPr>
              <w:pStyle w:val="TableText"/>
            </w:pPr>
            <w:r>
              <w:t>Dependency-free application and business metric workload</w:t>
            </w:r>
          </w:p>
        </w:tc>
      </w:tr>
      <w:tr>
        <w:tc>
          <w:tcPr>
            <w:tcW w:type="dxa" w:w="3000"/>
            <w:tcMar>
              <w:top w:w="80" w:type="dxa"/>
              <w:start w:w="120" w:type="dxa"/>
              <w:bottom w:w="80" w:type="dxa"/>
              <w:end w:w="120" w:type="dxa"/>
            </w:tcMar>
            <w:vAlign w:val="center"/>
          </w:tcPr>
          <w:p>
            <w:pPr>
              <w:pStyle w:val="TableText"/>
            </w:pPr>
            <w:r>
              <w:t>stack/scripts/</w:t>
            </w:r>
          </w:p>
        </w:tc>
        <w:tc>
          <w:tcPr>
            <w:tcW w:type="dxa" w:w="6360"/>
            <w:tcMar>
              <w:top w:w="80" w:type="dxa"/>
              <w:start w:w="120" w:type="dxa"/>
              <w:bottom w:w="80" w:type="dxa"/>
              <w:end w:w="120" w:type="dxa"/>
            </w:tcMar>
            <w:vAlign w:val="center"/>
          </w:tcPr>
          <w:p>
            <w:pPr>
              <w:pStyle w:val="TableText"/>
            </w:pPr>
            <w:r>
              <w:t>Secret generation, local deployment, health verification, and backup</w:t>
            </w:r>
          </w:p>
        </w:tc>
      </w:tr>
      <w:tr>
        <w:tc>
          <w:tcPr>
            <w:tcW w:type="dxa" w:w="3000"/>
            <w:tcMar>
              <w:top w:w="80" w:type="dxa"/>
              <w:start w:w="120" w:type="dxa"/>
              <w:bottom w:w="80" w:type="dxa"/>
              <w:end w:w="120" w:type="dxa"/>
            </w:tcMar>
            <w:vAlign w:val="center"/>
          </w:tcPr>
          <w:p>
            <w:pPr>
              <w:pStyle w:val="TableText"/>
            </w:pPr>
            <w:r>
              <w:t>docs/</w:t>
            </w:r>
          </w:p>
        </w:tc>
        <w:tc>
          <w:tcPr>
            <w:tcW w:type="dxa" w:w="6360"/>
            <w:tcMar>
              <w:top w:w="80" w:type="dxa"/>
              <w:start w:w="120" w:type="dxa"/>
              <w:bottom w:w="80" w:type="dxa"/>
              <w:end w:w="120" w:type="dxa"/>
            </w:tcMar>
            <w:vAlign w:val="center"/>
          </w:tcPr>
          <w:p>
            <w:pPr>
              <w:pStyle w:val="TableText"/>
            </w:pPr>
            <w:r>
              <w:t>Architecture, security, operations runbook, test plan, and this report</w:t>
            </w:r>
          </w:p>
        </w:tc>
      </w:tr>
    </w:tbl>
    <w:p>
      <w:pPr>
        <w:spacing w:before="0" w:after="80"/>
      </w:pPr>
    </w:p>
    <w:p>
      <w:pPr>
        <w:pStyle w:val="Heading1"/>
      </w:pPr>
      <w:r>
        <w:t>References</w:t>
      </w:r>
    </w:p>
    <w:p>
      <w:pPr>
        <w:pStyle w:val="Reference"/>
      </w:pPr>
      <w:r>
        <w:rPr>
          <w:rFonts w:ascii="Calibri" w:hAnsi="Calibri" w:eastAsia="Calibri"/>
          <w:b/>
          <w:color w:val="0B2545"/>
          <w:sz w:val="18"/>
        </w:rPr>
        <w:t xml:space="preserve">[1] Microsoft Learn - Quickstart: Use Terraform to create a Linux VM. </w:t>
      </w:r>
      <w:r>
        <w:t xml:space="preserve">Azure networking and Linux VM Terraform pattern. </w:t>
      </w:r>
      <w:hyperlink r:id="rId13">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[2] Terraform Registry - AzureRM Linux Virtual Machine. </w:t>
      </w:r>
      <w:r>
        <w:t xml:space="preserve">Official AzureRM resource schema and provider release. </w:t>
      </w:r>
      <w:hyperlink r:id="rId14">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[3] HashiCorp Developer - Azure Terraform tutorials. </w:t>
      </w:r>
      <w:r>
        <w:t xml:space="preserve">Terraform plan, apply, and Azure workflow guidance. </w:t>
      </w:r>
      <w:hyperlink r:id="rId15">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[4] Prometheus - Installation. </w:t>
      </w:r>
      <w:r>
        <w:t xml:space="preserve">Official Docker images, configuration mounts, and persistent storage guidance. </w:t>
      </w:r>
      <w:hyperlink r:id="rId16">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[5] Prometheus - Configuration. </w:t>
      </w:r>
      <w:r>
        <w:t xml:space="preserve">Scrape, target, rule-file, and runtime configuration model. </w:t>
      </w:r>
      <w:hyperlink r:id="rId17">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[6] Prometheus - Recording rules. </w:t>
      </w:r>
      <w:r>
        <w:t xml:space="preserve">Recording and alerting rule structure and promtool guidance. </w:t>
      </w:r>
      <w:hyperlink r:id="rId18">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[7] Prometheus - Alerting overview. </w:t>
      </w:r>
      <w:r>
        <w:t xml:space="preserve">Prometheus and Alertmanager separation of responsibilities. </w:t>
      </w:r>
      <w:hyperlink r:id="rId19">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[8] Grafana - Provisioning. </w:t>
      </w:r>
      <w:r>
        <w:t xml:space="preserve">File-based data-source and dashboard provisioning. </w:t>
      </w:r>
      <w:hyperlink r:id="rId20">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[9] Docker - Compose file reference. </w:t>
      </w:r>
      <w:r>
        <w:t xml:space="preserve">Current Compose Specification for services, networks, volumes, and health checks. </w:t>
      </w:r>
      <w:hyperlink r:id="rId21">
        <w:r>
          <w:rPr>
            <w:rFonts w:ascii="Calibri" w:hAnsi="Calibri"/>
            <w:color w:val="2E74B5"/>
            <w:u w:val="single"/>
            <w:sz w:val="18"/>
          </w:rPr>
          <w:t>Official documentation</w:t>
        </w:r>
      </w:hyperlink>
    </w:p>
    <w:p>
      <w:pPr>
        <w:pStyle w:val="Reference"/>
      </w:pPr>
      <w:r>
        <w:rPr>
          <w:rFonts w:ascii="Calibri" w:hAnsi="Calibri" w:eastAsia="Calibri"/>
          <w:b/>
          <w:color w:val="0B2545"/>
          <w:sz w:val="18"/>
        </w:rPr>
        <w:t xml:space="preserve">[10] Docker - Manage secrets securely in Compose. </w:t>
      </w:r>
      <w:r>
        <w:t xml:space="preserve">Per-service file-mounted secret workflow. </w:t>
      </w:r>
      <w:hyperlink r:id="rId22">
        <w:r>
          <w:rPr>
            <w:rFonts w:ascii="Calibri" w:hAnsi="Calibri"/>
            <w:color w:val="2E74B5"/>
            <w:u w:val="single"/>
            <w:sz w:val="18"/>
          </w:rPr>
          <w:t>Official documentation</w:t>
        </w:r>
      </w:hyperlink>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pPr>
    <w:r>
      <w:rPr>
        <w:rFonts w:ascii="Calibri" w:hAnsi="Calibri" w:eastAsia="Calibri"/>
        <w:color w:val="6B7280"/>
        <w:sz w:val="17"/>
      </w:rPr>
      <w:t>Internal Monitoring and Observability Platform</w:t>
    </w:r>
    <w:r>
      <w:rPr>
        <w:rFonts w:ascii="Calibri" w:hAnsi="Calibri" w:eastAsia="Calibri"/>
        <w:color w:val="6B7280"/>
        <w:sz w:val="17"/>
      </w:rPr>
      <w:tab/>
      <w:t xml:space="preserve">Page </w:t>
    </w:r>
    <w:r>
      <w:rPr>
        <w:rFonts w:ascii="Calibri" w:hAnsi="Calibri" w:eastAsia="Calibri"/>
        <w:color w:val="6B7280"/>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Calibri"/>
        <w:b/>
        <w:color w:val="6B7280"/>
        <w:sz w:val="17"/>
      </w:rPr>
      <w:t>PROJECT REPORT  |  23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6B7280"/>
        <w:sz w:val="17"/>
      </w:rPr>
      <w:t>PROJECT REPORT</w:t>
    </w:r>
    <w:r>
      <w:rPr>
        <w:rFonts w:ascii="Calibri" w:hAnsi="Calibri" w:eastAsia="Calibri"/>
        <w:color w:val="6B7280"/>
        <w:sz w:val="17"/>
      </w:rPr>
      <w:tab/>
      <w:t>RCP #13 | AZURE OBSERVABILITY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rPr>
        <w:rFonts w:ascii="Calibri" w:hAnsi="Calibri"/>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jc w:val="center"/>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40" w:lineRule="auto" w:before="0" w:after="80"/>
    </w:pPr>
    <w:rPr>
      <w:rFonts w:ascii="Calibri" w:hAnsi="Calibri"/>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keepNext/>
      <w:widowControl/>
      <w:spacing w:before="0" w:after="360" w:line="240" w:lineRule="auto"/>
      <w:jc w:val="center"/>
    </w:pPr>
    <w:rPr>
      <w:rFonts w:ascii="Calibri" w:hAnsi="Calibri"/>
      <w:b/>
      <w:i w:val="0"/>
      <w:color w:val="7A5A00"/>
      <w:sz w:val="20"/>
    </w:rPr>
  </w:style>
  <w:style w:type="paragraph" w:customStyle="1" w:styleId="Lead">
    <w:name w:val="Lead"/>
    <w:pPr>
      <w:keepLines/>
      <w:widowControl/>
      <w:spacing w:before="0" w:after="200" w:line="288" w:lineRule="auto"/>
    </w:pPr>
    <w:rPr>
      <w:rFonts w:ascii="Calibri" w:hAnsi="Calibri"/>
      <w:b w:val="0"/>
      <w:i w:val="0"/>
      <w:color w:val="0B2545"/>
      <w:sz w:val="24"/>
    </w:rPr>
  </w:style>
  <w:style w:type="paragraph" w:customStyle="1" w:styleId="TableText">
    <w:name w:val="Table Text"/>
    <w:pPr>
      <w:widowControl/>
      <w:spacing w:before="0" w:after="0" w:line="252" w:lineRule="auto"/>
    </w:pPr>
    <w:rPr>
      <w:rFonts w:ascii="Calibri" w:hAnsi="Calibri"/>
      <w:b w:val="0"/>
      <w:i w:val="0"/>
      <w:color w:val="222222"/>
      <w:sz w:val="19"/>
    </w:rPr>
  </w:style>
  <w:style w:type="paragraph" w:customStyle="1" w:styleId="TableHeader">
    <w:name w:val="Table Header"/>
    <w:pPr>
      <w:widowControl/>
      <w:spacing w:before="0" w:after="0" w:line="240" w:lineRule="auto"/>
    </w:pPr>
    <w:rPr>
      <w:rFonts w:ascii="Calibri" w:hAnsi="Calibri"/>
      <w:b/>
      <w:i w:val="0"/>
      <w:color w:val="0B2545"/>
      <w:sz w:val="19"/>
    </w:rPr>
  </w:style>
  <w:style w:type="paragraph" w:customStyle="1" w:styleId="TableCitation">
    <w:name w:val="Table Citation"/>
    <w:pPr>
      <w:widowControl/>
      <w:spacing w:before="0" w:after="80" w:line="240" w:lineRule="auto"/>
    </w:pPr>
    <w:rPr>
      <w:rFonts w:ascii="Calibri" w:hAnsi="Calibri"/>
      <w:b w:val="0"/>
      <w:i/>
      <w:color w:val="555555"/>
      <w:sz w:val="18"/>
    </w:rPr>
  </w:style>
  <w:style w:type="paragraph" w:customStyle="1" w:styleId="Reference">
    <w:name w:val="Reference"/>
    <w:pPr>
      <w:widowControl/>
      <w:spacing w:before="0" w:after="80" w:line="264" w:lineRule="auto"/>
      <w:ind w:left="360" w:hanging="360"/>
    </w:pPr>
    <w:rPr>
      <w:rFonts w:ascii="Calibri" w:hAnsi="Calibri"/>
      <w:b w:val="0"/>
      <w:i w:val="0"/>
      <w:color w:val="5555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learn.microsoft.com/en-us/azure/virtual-machines/linux/quick-create-terraform" TargetMode="External"/><Relationship Id="rId14" Type="http://schemas.openxmlformats.org/officeDocument/2006/relationships/hyperlink" Target="https://registry.terraform.io/providers/hashicorp/azurerm/latest/docs/resources/linux_virtual_machine" TargetMode="External"/><Relationship Id="rId15" Type="http://schemas.openxmlformats.org/officeDocument/2006/relationships/hyperlink" Target="https://developer.hashicorp.com/terraform/tutorials/azure-get-started" TargetMode="External"/><Relationship Id="rId16" Type="http://schemas.openxmlformats.org/officeDocument/2006/relationships/hyperlink" Target="https://prometheus.io/docs/prometheus/latest/installation/" TargetMode="External"/><Relationship Id="rId17" Type="http://schemas.openxmlformats.org/officeDocument/2006/relationships/hyperlink" Target="https://prometheus.io/docs/prometheus/latest/configuration/configuration/" TargetMode="External"/><Relationship Id="rId18" Type="http://schemas.openxmlformats.org/officeDocument/2006/relationships/hyperlink" Target="https://prometheus.io/docs/prometheus/latest/configuration/recording_rules/" TargetMode="External"/><Relationship Id="rId19" Type="http://schemas.openxmlformats.org/officeDocument/2006/relationships/hyperlink" Target="https://prometheus.io/docs/alerting/latest/overview/" TargetMode="External"/><Relationship Id="rId20" Type="http://schemas.openxmlformats.org/officeDocument/2006/relationships/hyperlink" Target="https://grafana.com/docs/grafana/latest/administration/provisioning/" TargetMode="External"/><Relationship Id="rId21" Type="http://schemas.openxmlformats.org/officeDocument/2006/relationships/hyperlink" Target="https://docs.docker.com/compose/compose-file/" TargetMode="External"/><Relationship Id="rId22" Type="http://schemas.openxmlformats.org/officeDocument/2006/relationships/hyperlink" Target="https://docs.docker.com/compose/how-tos/use-secr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Monitoring and Observability Platform</dc:title>
  <dc:subject>Prometheus and Grafana on Microsoft Azure</dc:subject>
  <dc:creator>Cloud Project Submission</dc:creator>
  <cp:keywords>Azure, Terraform, Prometheus, Grafana, Docker Compose, Observability</cp:keywords>
  <dc:description>Submission-ready technical project report</dc:description>
  <cp:lastModifiedBy/>
  <cp:revision>1</cp:revision>
  <dcterms:created xsi:type="dcterms:W3CDTF">2013-12-23T23:15:00Z</dcterms:created>
  <dcterms:modified xsi:type="dcterms:W3CDTF">2013-12-23T23:15:00Z</dcterms:modified>
  <cp:category/>
</cp:coreProperties>
</file>