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jc w:val="right"/>
      </w:pPr>
      <w:r>
        <w:rPr>
          <w:rFonts w:ascii="Arial" w:hAnsi="Arial"/>
          <w:b/>
          <w:color w:val="0F172A"/>
          <w:sz w:val="40"/>
          <w:rFonts w:ascii="Arial" w:hAnsi="Arial" w:cs="Arial"/>
          <w:szCs w:val="40"/>
          <w:rtl w:val="1"/>
        </w:rPr>
        <w:t>الدليل الشامل لإدارة نافذة السياق وترشيد التوكنز في Antigravity</w:t>
      </w:r>
    </w:p>
    <w:p>
      <w:pPr>
        <w:bidi w:val="1"/>
        <w:spacing w:after="200"/>
        <w:jc w:val="right"/>
      </w:pPr>
      <w:r>
        <w:rPr>
          <w:rFonts w:ascii="Arial" w:hAnsi="Arial"/>
          <w:b w:val="0"/>
          <w:color w:val="2563EB"/>
          <w:sz w:val="24"/>
          <w:rFonts w:ascii="Arial" w:hAnsi="Arial" w:cs="Arial"/>
          <w:szCs w:val="24"/>
          <w:rtl w:val="1"/>
        </w:rPr>
        <w:t>الدليل العملي لحوكمة الجلسات، كبح تدهور التركيز، وخفض خط الأساس في بيئة Antigravity IDE و CLI</w:t>
      </w:r>
    </w:p>
    <w:tbl>
      <w:tblPr>
        <w:tblW w:type="auto" w:w="0"/>
        <w:jc w:val="center"/>
        <w:tblLook w:firstColumn="1" w:firstRow="1" w:lastColumn="0" w:lastRow="0" w:noHBand="0" w:noVBand="1" w:val="04A0"/>
        <w:bidiVisual w:val="1"/>
      </w:tblPr>
      <w:tblGrid>
        <w:gridCol w:w="9936"/>
      </w:tblGrid>
      <w:tr>
        <w:tc>
          <w:tcPr>
            <w:tcW w:type="dxa" w:w="9936"/>
            <w:shd w:fill="F8FAFC"/>
            <w:tcMar>
              <w:top w:w="160" w:type="dxa"/>
              <w:bottom w:w="160" w:type="dxa"/>
              <w:left w:w="200" w:type="dxa"/>
              <w:right w:w="200" w:type="dxa"/>
            </w:tcMar>
            <w:tcBorders>
              <w:top w:val="none"/>
              <w:left w:val="none"/>
              <w:bottom w:val="none"/>
              <w:right w:val="single" w:sz="36" w:space="0" w:color="2563EB"/>
            </w:tcBorders>
          </w:tcPr>
          <w:p>
            <w:pPr>
              <w:bidi w:val="1"/>
              <w:spacing w:after="40" w:line="288" w:lineRule="auto"/>
              <w:jc w:val="right"/>
            </w:pPr>
            <w:r>
              <w:rPr>
                <w:rFonts w:ascii="Arial" w:hAnsi="Arial"/>
                <w:b/>
                <w:color w:val="1E3A8A"/>
                <w:sz w:val="22"/>
                <w:rFonts w:ascii="Arial" w:hAnsi="Arial" w:cs="Arial"/>
                <w:szCs w:val="22"/>
                <w:rtl w:val="1"/>
              </w:rPr>
              <w:t>📌 الخلاصة التنفيذية والهدف المعماري</w:t>
              <w:br/>
            </w:r>
            <w:r>
              <w:rPr>
                <w:rFonts w:ascii="Arial" w:hAnsi="Arial"/>
                <w:b w:val="0"/>
                <w:color w:val="1F2937"/>
                <w:sz w:val="20"/>
                <w:rFonts w:ascii="Arial" w:hAnsi="Arial" w:cs="Arial"/>
                <w:szCs w:val="20"/>
                <w:rtl w:val="1"/>
              </w:rPr>
              <w:t>يقدم هذا المستند استراتيجية هندسية متكاملة لإدارة نافذة السياق (Context Window) في Antigravity IDE والأداة الطرفية agcli، مع تصحيح المفاهيم الخاطئة حول 'أمان المليون توكن'، وتوضيح الركائز الأربع لحماية الذاكرة ومنع تشتت النماذج وتسريع الأداء البرمجي.</w:t>
            </w:r>
          </w:p>
        </w:tc>
      </w:tr>
    </w:tbl>
    <w:p>
      <w:pPr>
        <w:bidi w:val="1"/>
        <w:spacing w:after="80"/>
        <w:jc w:val="right"/>
      </w:pPr>
    </w:p>
    <w:p>
      <w:pPr>
        <w:keepNext/>
        <w:bidi w:val="1"/>
        <w:spacing w:before="200" w:after="80"/>
        <w:jc w:val="right"/>
      </w:pPr>
      <w:r>
        <w:rPr>
          <w:rFonts w:ascii="Arial" w:hAnsi="Arial"/>
          <w:b/>
          <w:color w:val="1E3A8A"/>
          <w:sz w:val="28"/>
          <w:rFonts w:ascii="Arial" w:hAnsi="Arial" w:cs="Arial"/>
          <w:szCs w:val="28"/>
          <w:rtl w:val="1"/>
        </w:rPr>
        <w:t>أولاً: تشريح المشكلة — وهم الأمان في 'المليون توكن' (The 1M Illusion)</w:t>
      </w:r>
    </w:p>
    <w:p>
      <w:pPr>
        <w:bidi w:val="1"/>
        <w:spacing w:after="100" w:line="288" w:lineRule="auto"/>
        <w:jc w:val="right"/>
      </w:pPr>
      <w:r>
        <w:rPr>
          <w:rFonts w:ascii="Arial" w:hAnsi="Arial"/>
          <w:b w:val="0"/>
          <w:color w:val="374151"/>
          <w:sz w:val="21"/>
          <w:rFonts w:ascii="Arial" w:hAnsi="Arial" w:cs="Arial"/>
          <w:szCs w:val="21"/>
          <w:rtl w:val="1"/>
        </w:rPr>
        <w:t>يعتمد محرك Antigravity على نموذج Gemini 3.8 Flash (High) بنافذة سياق ضخمة تتسع لـ 1,048,576 توكن (1M Tokens). هذه السعة الهائلة (5 أضعاف Claude Code) توفر مساحة رحبة، لكنها توقع المطورين في فخين معماريين خطيرين:</w:t>
      </w:r>
    </w:p>
    <w:p>
      <w:pPr>
        <w:bidi w:val="1"/>
        <w:spacing w:after="100" w:line="288" w:lineRule="auto"/>
        <w:jc w:val="right"/>
      </w:pPr>
      <w:r>
        <w:rPr>
          <w:rFonts w:ascii="Arial" w:hAnsi="Arial"/>
          <w:b/>
          <w:color w:val="1F2937"/>
          <w:sz w:val="21"/>
          <w:rFonts w:ascii="Arial" w:hAnsi="Arial" w:cs="Arial"/>
          <w:szCs w:val="21"/>
          <w:rtl w:val="1"/>
        </w:rPr>
        <w:t xml:space="preserve">1. ظاهرة تدهور التركيز وضياع التفاصيل (Context Rot): </w:t>
      </w:r>
      <w:r>
        <w:rPr>
          <w:rFonts w:ascii="Arial" w:hAnsi="Arial"/>
          <w:b w:val="0"/>
          <w:color w:val="374151"/>
          <w:sz w:val="21"/>
          <w:rFonts w:ascii="Arial" w:hAnsi="Arial" w:cs="Arial"/>
          <w:szCs w:val="21"/>
          <w:rtl w:val="1"/>
        </w:rPr>
        <w:t>كلما تجاوزت الجلسة 400k إلى 500k توكن، تبدأ قدرة النموذج اللغوي على استرجاع التفاصيل الدقيقة بالانخفاض، مما يؤدي لنسيان القيود المعمارية الصارمة واللجوء لحلول سطحية وتكرار أخطاء برمجية سابقة.</w:t>
      </w:r>
    </w:p>
    <w:p>
      <w:pPr>
        <w:bidi w:val="1"/>
        <w:spacing w:after="100" w:line="288" w:lineRule="auto"/>
        <w:jc w:val="right"/>
      </w:pPr>
      <w:r>
        <w:rPr>
          <w:rFonts w:ascii="Arial" w:hAnsi="Arial"/>
          <w:b/>
          <w:color w:val="1F2937"/>
          <w:sz w:val="21"/>
          <w:rFonts w:ascii="Arial" w:hAnsi="Arial" w:cs="Arial"/>
          <w:szCs w:val="21"/>
          <w:rtl w:val="1"/>
        </w:rPr>
        <w:t xml:space="preserve">2. تضخم الذاكرة العشوائية للمحرر (RAM &amp; SQLite Bloat): </w:t>
      </w:r>
      <w:r>
        <w:rPr>
          <w:rFonts w:ascii="Arial" w:hAnsi="Arial"/>
          <w:b w:val="0"/>
          <w:color w:val="374151"/>
          <w:sz w:val="21"/>
          <w:rFonts w:ascii="Arial" w:hAnsi="Arial" w:cs="Arial"/>
          <w:szCs w:val="21"/>
          <w:rtl w:val="1"/>
        </w:rPr>
        <w:t>يسجل المحرر كل خطوة واستدعاء أداة في قاعدة بيانات SQLite محلية (~/.gemini/antigravity-ide/conversations/*.db). انتفاخ الجلسة يضخم قاعدة البيانات إلى أكثر من 40 ميغابايت ويرفع استهلاك الذاكرة العشوائية إلى 2.5GB، مما يبطئ واجهة المحرر ويسبب أخطاء الذاكرة الافتراضية للويندوز (errno=1455).</w:t>
      </w:r>
    </w:p>
    <w:p>
      <w:pPr>
        <w:keepNext/>
        <w:bidi w:val="1"/>
        <w:spacing w:before="200" w:after="80"/>
        <w:jc w:val="right"/>
      </w:pPr>
      <w:r>
        <w:rPr>
          <w:rFonts w:ascii="Arial" w:hAnsi="Arial"/>
          <w:b/>
          <w:color w:val="1E3A8A"/>
          <w:sz w:val="28"/>
          <w:rFonts w:ascii="Arial" w:hAnsi="Arial" w:cs="Arial"/>
          <w:szCs w:val="28"/>
          <w:rtl w:val="1"/>
        </w:rPr>
        <w:t>ثانياً: الحقيقة الهندسية — مضاعف استدعاء الأدوات (Tool Call Multiplier)</w:t>
      </w:r>
    </w:p>
    <w:p>
      <w:pPr>
        <w:bidi w:val="1"/>
        <w:spacing w:after="100" w:line="288" w:lineRule="auto"/>
        <w:jc w:val="right"/>
      </w:pPr>
      <w:r>
        <w:rPr>
          <w:rFonts w:ascii="Arial" w:hAnsi="Arial"/>
          <w:b w:val="0"/>
          <w:color w:val="374151"/>
          <w:sz w:val="21"/>
          <w:rFonts w:ascii="Arial" w:hAnsi="Arial" w:cs="Arial"/>
          <w:szCs w:val="21"/>
          <w:rtl w:val="1"/>
        </w:rPr>
        <w:t>الخطر الأكبر في إدارة السياق ليس الوصول لسقف المليون، بل التكلفة التراكمية في كل دورة عمل:</w:t>
      </w:r>
    </w:p>
    <w:p>
      <w:pPr>
        <w:bidi w:val="1"/>
        <w:spacing w:after="100" w:line="288" w:lineRule="auto"/>
        <w:jc w:val="right"/>
      </w:pPr>
      <w:r>
        <w:rPr>
          <w:rFonts w:ascii="Arial" w:hAnsi="Arial"/>
          <w:b/>
          <w:color w:val="1F2937"/>
          <w:sz w:val="21"/>
          <w:rFonts w:ascii="Arial" w:hAnsi="Arial" w:cs="Arial"/>
          <w:szCs w:val="21"/>
          <w:rtl w:val="1"/>
        </w:rPr>
        <w:t xml:space="preserve">• بنية استدعاء النماذج: </w:t>
      </w:r>
      <w:r>
        <w:rPr>
          <w:rFonts w:ascii="Arial" w:hAnsi="Arial"/>
          <w:b w:val="0"/>
          <w:color w:val="374151"/>
          <w:sz w:val="21"/>
          <w:rFonts w:ascii="Arial" w:hAnsi="Arial" w:cs="Arial"/>
          <w:szCs w:val="21"/>
          <w:rtl w:val="1"/>
        </w:rPr>
        <w:t>في كل خطوة تفكير أو استدعاء لأداة برمجية (Tool Call)، يعيد المحرك إرسال كامل سياق المحادثة السابق من البداية.</w:t>
      </w:r>
    </w:p>
    <w:p>
      <w:pPr>
        <w:bidi w:val="1"/>
        <w:spacing w:after="100" w:line="288" w:lineRule="auto"/>
        <w:jc w:val="right"/>
      </w:pPr>
      <w:r>
        <w:rPr>
          <w:rFonts w:ascii="Arial" w:hAnsi="Arial"/>
          <w:b/>
          <w:color w:val="1F2937"/>
          <w:sz w:val="21"/>
          <w:rFonts w:ascii="Arial" w:hAnsi="Arial" w:cs="Arial"/>
          <w:szCs w:val="21"/>
          <w:rtl w:val="1"/>
        </w:rPr>
        <w:t xml:space="preserve">• الحسبة الرياضية الصادمة: </w:t>
      </w:r>
      <w:r>
        <w:rPr>
          <w:rFonts w:ascii="Arial" w:hAnsi="Arial"/>
          <w:b w:val="0"/>
          <w:color w:val="374151"/>
          <w:sz w:val="21"/>
          <w:rFonts w:ascii="Arial" w:hAnsi="Arial" w:cs="Arial"/>
          <w:szCs w:val="21"/>
          <w:rtl w:val="1"/>
        </w:rPr>
        <w:t>إذا كانت جلستك منتفخة بـ 200,000 توكن، ونفذ الوكيل 15 أداة برمجية لإنجاز ميزة معينة، فإن إجمالي التوكنز المعالجة والمحسوبة على كوتا الحساب هو: 200,000 × 15 = 3 ملايين توكن تم حرقها في مهمة واحدة! بينما إبقاء الجلسة عند 80,000 توكن يستهلك 1.2M توكن فقط، محققاً وفراً قدره 1.8 مليون توكن.</w:t>
      </w:r>
    </w:p>
    <w:p>
      <w:pPr>
        <w:keepNext/>
        <w:bidi w:val="1"/>
        <w:spacing w:before="200" w:after="80"/>
        <w:jc w:val="right"/>
      </w:pPr>
      <w:r>
        <w:rPr>
          <w:rFonts w:ascii="Arial" w:hAnsi="Arial"/>
          <w:b/>
          <w:color w:val="1E3A8A"/>
          <w:sz w:val="28"/>
          <w:rFonts w:ascii="Arial" w:hAnsi="Arial" w:cs="Arial"/>
          <w:szCs w:val="28"/>
          <w:rtl w:val="1"/>
        </w:rPr>
        <w:t>ثالثاً: الركيزة الأولى — خفض خط الأساس في Antigravity (The Baseline)</w:t>
      </w:r>
    </w:p>
    <w:p>
      <w:pPr>
        <w:bidi w:val="1"/>
        <w:spacing w:after="100" w:line="288" w:lineRule="auto"/>
        <w:jc w:val="right"/>
      </w:pPr>
      <w:r>
        <w:rPr>
          <w:rFonts w:ascii="Arial" w:hAnsi="Arial"/>
          <w:b w:val="0"/>
          <w:color w:val="374151"/>
          <w:sz w:val="21"/>
          <w:rFonts w:ascii="Arial" w:hAnsi="Arial" w:cs="Arial"/>
          <w:szCs w:val="21"/>
          <w:rtl w:val="1"/>
        </w:rPr>
        <w:t>عند فتح أي جلسة جديدة، يبدأ مؤشر الاستهلاك فعلياً من 110,000 إلى 135,000 توكن (ما يعادل 11% إلى 13% من المليون) محجوزة للتعليمات الأساسية والأدوات والمهارات المحقونة. يوضح الجدول التالي المكونات المهدرة وكيفية خفضها:</w:t>
      </w:r>
    </w:p>
    <w:tbl>
      <w:tblPr>
        <w:tblW w:type="auto" w:w="0"/>
        <w:jc w:val="center"/>
        <w:tblLook w:firstColumn="1" w:firstRow="1" w:lastColumn="0" w:lastRow="0" w:noHBand="0" w:noVBand="1" w:val="04A0"/>
        <w:bidiVisual w:val="1"/>
      </w:tblPr>
      <w:tblGrid>
        <w:gridCol w:w="3312"/>
        <w:gridCol w:w="3312"/>
        <w:gridCol w:w="3312"/>
      </w:tblGrid>
      <w:tr>
        <w:tc>
          <w:tcPr>
            <w:tcW w:type="dxa" w:w="3168"/>
            <w:shd w:fill="1E3A8A"/>
            <w:tcMar>
              <w:top w:w="120" w:type="dxa"/>
              <w:bottom w:w="120" w:type="dxa"/>
              <w:left w:w="140" w:type="dxa"/>
              <w:right w:w="140" w:type="dxa"/>
            </w:tcMar>
          </w:tcPr>
          <w:p>
            <w:pPr>
              <w:bidi w:val="1"/>
              <w:jc w:val="right"/>
            </w:pPr>
            <w:r>
              <w:rPr>
                <w:rFonts w:ascii="Arial" w:hAnsi="Arial"/>
                <w:b/>
                <w:color w:val="FFFFFF"/>
                <w:sz w:val="20"/>
                <w:rFonts w:ascii="Arial" w:hAnsi="Arial" w:cs="Arial"/>
                <w:szCs w:val="20"/>
                <w:rtl w:val="1"/>
              </w:rPr>
              <w:t>المكون المهدر</w:t>
            </w:r>
          </w:p>
        </w:tc>
        <w:tc>
          <w:tcPr>
            <w:tcW w:type="dxa" w:w="1872"/>
            <w:shd w:fill="1E3A8A"/>
            <w:tcMar>
              <w:top w:w="120" w:type="dxa"/>
              <w:bottom w:w="120" w:type="dxa"/>
              <w:left w:w="140" w:type="dxa"/>
              <w:right w:w="140" w:type="dxa"/>
            </w:tcMar>
          </w:tcPr>
          <w:p>
            <w:pPr>
              <w:bidi w:val="1"/>
              <w:jc w:val="right"/>
            </w:pPr>
            <w:r>
              <w:rPr>
                <w:rFonts w:ascii="Arial" w:hAnsi="Arial"/>
                <w:b/>
                <w:color w:val="FFFFFF"/>
                <w:sz w:val="20"/>
                <w:rFonts w:ascii="Arial" w:hAnsi="Arial" w:cs="Arial"/>
                <w:szCs w:val="20"/>
                <w:rtl w:val="1"/>
              </w:rPr>
              <w:t>الحجم التقريبي</w:t>
            </w:r>
          </w:p>
        </w:tc>
        <w:tc>
          <w:tcPr>
            <w:tcW w:type="dxa" w:w="4752"/>
            <w:shd w:fill="1E3A8A"/>
            <w:tcMar>
              <w:top w:w="120" w:type="dxa"/>
              <w:bottom w:w="120" w:type="dxa"/>
              <w:left w:w="140" w:type="dxa"/>
              <w:right w:w="140" w:type="dxa"/>
            </w:tcMar>
          </w:tcPr>
          <w:p>
            <w:pPr>
              <w:bidi w:val="1"/>
              <w:jc w:val="right"/>
            </w:pPr>
            <w:r>
              <w:rPr>
                <w:rFonts w:ascii="Arial" w:hAnsi="Arial"/>
                <w:b/>
                <w:color w:val="FFFFFF"/>
                <w:sz w:val="20"/>
                <w:rFonts w:ascii="Arial" w:hAnsi="Arial" w:cs="Arial"/>
                <w:szCs w:val="20"/>
                <w:rtl w:val="1"/>
              </w:rPr>
              <w:t>الإجراء والتوصية الهندسية</w:t>
            </w:r>
          </w:p>
        </w:tc>
      </w:tr>
      <w:tr>
        <w:tc>
          <w:tcPr>
            <w:tcW w:type="dxa" w:w="3168"/>
            <w:shd w:fill="F9FAFB"/>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سيرفرات MCP غير المستخدمة (مثل hostinger بـ 120+ أداة)</w:t>
            </w:r>
          </w:p>
        </w:tc>
        <w:tc>
          <w:tcPr>
            <w:tcW w:type="dxa" w:w="1872"/>
            <w:shd w:fill="F9FAFB"/>
            <w:tcMar>
              <w:top w:w="100" w:type="dxa"/>
              <w:bottom w:w="100" w:type="dxa"/>
              <w:left w:w="120" w:type="dxa"/>
              <w:right w:w="120" w:type="dxa"/>
            </w:tcMar>
          </w:tcPr>
          <w:p>
            <w:pPr>
              <w:bidi w:val="1"/>
              <w:jc w:val="right"/>
            </w:pPr>
            <w:r>
              <w:rPr>
                <w:rFonts w:ascii="Arial" w:hAnsi="Arial"/>
                <w:b/>
                <w:color w:val="0E7490"/>
                <w:sz w:val="19"/>
                <w:rFonts w:ascii="Arial" w:hAnsi="Arial" w:cs="Arial"/>
                <w:szCs w:val="19"/>
                <w:rtl w:val="1"/>
              </w:rPr>
              <w:t>25k - 35k توكن</w:t>
            </w:r>
          </w:p>
        </w:tc>
        <w:tc>
          <w:tcPr>
            <w:tcW w:type="dxa" w:w="4752"/>
            <w:shd w:fill="F9FAFB"/>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تعطيلها من ملف mcp_config.json وحصرها في بيئات الويب فقط.</w:t>
            </w:r>
          </w:p>
        </w:tc>
      </w:tr>
      <w:tr>
        <w:tc>
          <w:tcPr>
            <w:tcW w:type="dxa" w:w="3168"/>
            <w:shd w:fill="FFFFFF"/>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المهارات الفائضة (حزم الكيمياء والأحياء وووردبريس)</w:t>
            </w:r>
          </w:p>
        </w:tc>
        <w:tc>
          <w:tcPr>
            <w:tcW w:type="dxa" w:w="1872"/>
            <w:shd w:fill="FFFFFF"/>
            <w:tcMar>
              <w:top w:w="100" w:type="dxa"/>
              <w:bottom w:w="100" w:type="dxa"/>
              <w:left w:w="120" w:type="dxa"/>
              <w:right w:w="120" w:type="dxa"/>
            </w:tcMar>
          </w:tcPr>
          <w:p>
            <w:pPr>
              <w:bidi w:val="1"/>
              <w:jc w:val="right"/>
            </w:pPr>
            <w:r>
              <w:rPr>
                <w:rFonts w:ascii="Arial" w:hAnsi="Arial"/>
                <w:b/>
                <w:color w:val="0E7490"/>
                <w:sz w:val="19"/>
                <w:rFonts w:ascii="Arial" w:hAnsi="Arial" w:cs="Arial"/>
                <w:szCs w:val="19"/>
                <w:rtl w:val="1"/>
              </w:rPr>
              <w:t>20k - 30k توكن</w:t>
            </w:r>
          </w:p>
        </w:tc>
        <w:tc>
          <w:tcPr>
            <w:tcW w:type="dxa" w:w="4752"/>
            <w:shd w:fill="FFFFFF"/>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تشغيل خطاف التخصيص الذكي (Hook 3) لحذف المهارات الزائدة تلقائياً.</w:t>
            </w:r>
          </w:p>
        </w:tc>
      </w:tr>
      <w:tr>
        <w:tc>
          <w:tcPr>
            <w:tcW w:type="dxa" w:w="3168"/>
            <w:shd w:fill="F9FAFB"/>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قواعد الدستور المتضخمة داخل AGENTS.md</w:t>
            </w:r>
          </w:p>
        </w:tc>
        <w:tc>
          <w:tcPr>
            <w:tcW w:type="dxa" w:w="1872"/>
            <w:shd w:fill="F9FAFB"/>
            <w:tcMar>
              <w:top w:w="100" w:type="dxa"/>
              <w:bottom w:w="100" w:type="dxa"/>
              <w:left w:w="120" w:type="dxa"/>
              <w:right w:w="120" w:type="dxa"/>
            </w:tcMar>
          </w:tcPr>
          <w:p>
            <w:pPr>
              <w:bidi w:val="1"/>
              <w:jc w:val="right"/>
            </w:pPr>
            <w:r>
              <w:rPr>
                <w:rFonts w:ascii="Arial" w:hAnsi="Arial"/>
                <w:b/>
                <w:color w:val="0E7490"/>
                <w:sz w:val="19"/>
                <w:rFonts w:ascii="Arial" w:hAnsi="Arial" w:cs="Arial"/>
                <w:szCs w:val="19"/>
                <w:rtl w:val="1"/>
              </w:rPr>
              <w:t>15k - 20k توكن</w:t>
            </w:r>
          </w:p>
        </w:tc>
        <w:tc>
          <w:tcPr>
            <w:tcW w:type="dxa" w:w="4752"/>
            <w:shd w:fill="F9FAFB"/>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عزل الدروس المستفادة وحصرها في MEMORY_STORE.md اللامركزي.</w:t>
            </w:r>
          </w:p>
        </w:tc>
      </w:tr>
      <w:tr>
        <w:tc>
          <w:tcPr>
            <w:tcW w:type="dxa" w:w="3168"/>
            <w:shd w:fill="FFFFFF"/>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ملفات السياق المحقون غير المفلترة</w:t>
            </w:r>
          </w:p>
        </w:tc>
        <w:tc>
          <w:tcPr>
            <w:tcW w:type="dxa" w:w="1872"/>
            <w:shd w:fill="FFFFFF"/>
            <w:tcMar>
              <w:top w:w="100" w:type="dxa"/>
              <w:bottom w:w="100" w:type="dxa"/>
              <w:left w:w="120" w:type="dxa"/>
              <w:right w:w="120" w:type="dxa"/>
            </w:tcMar>
          </w:tcPr>
          <w:p>
            <w:pPr>
              <w:bidi w:val="1"/>
              <w:jc w:val="right"/>
            </w:pPr>
            <w:r>
              <w:rPr>
                <w:rFonts w:ascii="Arial" w:hAnsi="Arial"/>
                <w:b/>
                <w:color w:val="0E7490"/>
                <w:sz w:val="19"/>
                <w:rFonts w:ascii="Arial" w:hAnsi="Arial" w:cs="Arial"/>
                <w:szCs w:val="19"/>
                <w:rtl w:val="1"/>
              </w:rPr>
              <w:t>10k - 15k توكن</w:t>
            </w:r>
          </w:p>
        </w:tc>
        <w:tc>
          <w:tcPr>
            <w:tcW w:type="dxa" w:w="4752"/>
            <w:shd w:fill="FFFFFF"/>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تنقيح ACTIVE_CONTEXT_INJECTION.md وأرشفة القيود المنتهية.</w:t>
            </w:r>
          </w:p>
        </w:tc>
      </w:tr>
    </w:tbl>
    <w:p>
      <w:pPr>
        <w:bidi w:val="1"/>
        <w:spacing w:after="80"/>
        <w:jc w:val="right"/>
      </w:pPr>
    </w:p>
    <w:p>
      <w:pPr>
        <w:bidi w:val="1"/>
        <w:spacing w:after="100" w:line="288" w:lineRule="auto"/>
        <w:jc w:val="right"/>
      </w:pPr>
      <w:r>
        <w:rPr>
          <w:rFonts w:ascii="Arial" w:hAnsi="Arial"/>
          <w:b/>
          <w:color w:val="1F2937"/>
          <w:sz w:val="21"/>
          <w:rFonts w:ascii="Arial" w:hAnsi="Arial" w:cs="Arial"/>
          <w:szCs w:val="21"/>
          <w:rtl w:val="1"/>
        </w:rPr>
        <w:t xml:space="preserve">الأثر المباشر: </w:t>
      </w:r>
      <w:r>
        <w:rPr>
          <w:rFonts w:ascii="Arial" w:hAnsi="Arial"/>
          <w:b w:val="0"/>
          <w:color w:val="374151"/>
          <w:sz w:val="21"/>
          <w:rFonts w:ascii="Arial" w:hAnsi="Arial" w:cs="Arial"/>
          <w:szCs w:val="21"/>
          <w:rtl w:val="1"/>
        </w:rPr>
        <w:t>ينخفض خط الأساس فوراً من ~135k إلى نحو 65k-70k توكن، موفراً أكثر من 65,000 توكن في كل دورة طوال اليوم!</w:t>
      </w:r>
    </w:p>
    <w:p>
      <w:pPr>
        <w:keepNext/>
        <w:bidi w:val="1"/>
        <w:spacing w:before="200" w:after="80"/>
        <w:jc w:val="right"/>
      </w:pPr>
      <w:r>
        <w:rPr>
          <w:rFonts w:ascii="Arial" w:hAnsi="Arial"/>
          <w:b/>
          <w:color w:val="1E3A8A"/>
          <w:sz w:val="28"/>
          <w:rFonts w:ascii="Arial" w:hAnsi="Arial" w:cs="Arial"/>
          <w:szCs w:val="28"/>
          <w:rtl w:val="1"/>
        </w:rPr>
        <w:t>رابعاً: الركيزة الثانية — المقارنة المعمارية بين Antigravity IDE و CLI (agcli)</w:t>
      </w:r>
    </w:p>
    <w:p>
      <w:pPr>
        <w:bidi w:val="1"/>
        <w:spacing w:after="100" w:line="288" w:lineRule="auto"/>
        <w:jc w:val="right"/>
      </w:pPr>
      <w:r>
        <w:rPr>
          <w:rFonts w:ascii="Arial" w:hAnsi="Arial"/>
          <w:b w:val="0"/>
          <w:color w:val="374151"/>
          <w:sz w:val="21"/>
          <w:rFonts w:ascii="Arial" w:hAnsi="Arial" w:cs="Arial"/>
          <w:szCs w:val="21"/>
          <w:rtl w:val="1"/>
        </w:rPr>
        <w:t>في إطار حوكمة أسطول الـ CLIs (Hook 22)، يمتلك Antigravity وجهين تشغيليين يجب الفصل التام بينهما:</w:t>
      </w:r>
    </w:p>
    <w:tbl>
      <w:tblPr>
        <w:tblW w:type="auto" w:w="0"/>
        <w:jc w:val="center"/>
        <w:tblLook w:firstColumn="1" w:firstRow="1" w:lastColumn="0" w:lastRow="0" w:noHBand="0" w:noVBand="1" w:val="04A0"/>
        <w:bidiVisual w:val="1"/>
      </w:tblPr>
      <w:tblGrid>
        <w:gridCol w:w="3312"/>
        <w:gridCol w:w="3312"/>
        <w:gridCol w:w="3312"/>
      </w:tblGrid>
      <w:tr>
        <w:tc>
          <w:tcPr>
            <w:tcW w:type="dxa" w:w="2592"/>
            <w:shd w:fill="0F766E"/>
            <w:tcMar>
              <w:top w:w="120" w:type="dxa"/>
              <w:bottom w:w="120" w:type="dxa"/>
              <w:left w:w="140" w:type="dxa"/>
              <w:right w:w="140" w:type="dxa"/>
            </w:tcMar>
          </w:tcPr>
          <w:p>
            <w:pPr>
              <w:bidi w:val="1"/>
              <w:jc w:val="right"/>
            </w:pPr>
            <w:r>
              <w:rPr>
                <w:rFonts w:ascii="Arial" w:hAnsi="Arial"/>
                <w:b/>
                <w:color w:val="FFFFFF"/>
                <w:sz w:val="20"/>
                <w:rFonts w:ascii="Arial" w:hAnsi="Arial" w:cs="Arial"/>
                <w:szCs w:val="20"/>
                <w:rtl w:val="1"/>
              </w:rPr>
              <w:t>وجه المقارنة</w:t>
            </w:r>
          </w:p>
        </w:tc>
        <w:tc>
          <w:tcPr>
            <w:tcW w:type="dxa" w:w="3600"/>
            <w:shd w:fill="0F766E"/>
            <w:tcMar>
              <w:top w:w="120" w:type="dxa"/>
              <w:bottom w:w="120" w:type="dxa"/>
              <w:left w:w="140" w:type="dxa"/>
              <w:right w:w="140" w:type="dxa"/>
            </w:tcMar>
          </w:tcPr>
          <w:p>
            <w:pPr>
              <w:bidi w:val="1"/>
              <w:jc w:val="right"/>
            </w:pPr>
            <w:r>
              <w:rPr>
                <w:rFonts w:ascii="Arial" w:hAnsi="Arial"/>
                <w:b/>
                <w:color w:val="FFFFFF"/>
                <w:sz w:val="20"/>
                <w:rFonts w:ascii="Arial" w:hAnsi="Arial" w:cs="Arial"/>
                <w:szCs w:val="20"/>
                <w:rtl w:val="1"/>
              </w:rPr>
              <w:t>Antigravity IDE (Workbench)</w:t>
            </w:r>
          </w:p>
        </w:tc>
        <w:tc>
          <w:tcPr>
            <w:tcW w:type="dxa" w:w="3600"/>
            <w:shd w:fill="0F766E"/>
            <w:tcMar>
              <w:top w:w="120" w:type="dxa"/>
              <w:bottom w:w="120" w:type="dxa"/>
              <w:left w:w="140" w:type="dxa"/>
              <w:right w:w="140" w:type="dxa"/>
            </w:tcMar>
          </w:tcPr>
          <w:p>
            <w:pPr>
              <w:bidi w:val="1"/>
              <w:jc w:val="right"/>
            </w:pPr>
            <w:r>
              <w:rPr>
                <w:rFonts w:ascii="Arial" w:hAnsi="Arial"/>
                <w:b/>
                <w:color w:val="FFFFFF"/>
                <w:sz w:val="20"/>
                <w:rFonts w:ascii="Arial" w:hAnsi="Arial" w:cs="Arial"/>
                <w:szCs w:val="20"/>
                <w:rtl w:val="1"/>
              </w:rPr>
              <w:t>Antigravity CLI (agcli run)</w:t>
            </w:r>
          </w:p>
        </w:tc>
      </w:tr>
      <w:tr>
        <w:tc>
          <w:tcPr>
            <w:tcW w:type="dxa" w:w="2592"/>
            <w:shd w:fill="F0FDFA"/>
            <w:tcMar>
              <w:top w:w="100" w:type="dxa"/>
              <w:bottom w:w="100" w:type="dxa"/>
              <w:left w:w="120" w:type="dxa"/>
              <w:right w:w="120" w:type="dxa"/>
            </w:tcMar>
          </w:tcPr>
          <w:p>
            <w:pPr>
              <w:bidi w:val="1"/>
              <w:jc w:val="right"/>
            </w:pPr>
            <w:r>
              <w:rPr>
                <w:rFonts w:ascii="Arial" w:hAnsi="Arial"/>
                <w:b/>
                <w:color w:val="1F2937"/>
                <w:sz w:val="19"/>
                <w:rFonts w:ascii="Arial" w:hAnsi="Arial" w:cs="Arial"/>
                <w:szCs w:val="19"/>
                <w:rtl w:val="1"/>
              </w:rPr>
              <w:t>طبيعة العمل</w:t>
            </w:r>
          </w:p>
        </w:tc>
        <w:tc>
          <w:tcPr>
            <w:tcW w:type="dxa" w:w="3600"/>
            <w:shd w:fill="F0FDFA"/>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بيئة التطوير الرسومية التفاعلية للمطور.</w:t>
            </w:r>
          </w:p>
        </w:tc>
        <w:tc>
          <w:tcPr>
            <w:tcW w:type="dxa" w:w="3600"/>
            <w:shd w:fill="F0FDFA"/>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المنفذ الطرفي الذاتي غير التفاعلي (Headless).</w:t>
            </w:r>
          </w:p>
        </w:tc>
      </w:tr>
      <w:tr>
        <w:tc>
          <w:tcPr>
            <w:tcW w:type="dxa" w:w="2592"/>
            <w:shd w:fill="FFFFFF"/>
            <w:tcMar>
              <w:top w:w="100" w:type="dxa"/>
              <w:bottom w:w="100" w:type="dxa"/>
              <w:left w:w="120" w:type="dxa"/>
              <w:right w:w="120" w:type="dxa"/>
            </w:tcMar>
          </w:tcPr>
          <w:p>
            <w:pPr>
              <w:bidi w:val="1"/>
              <w:jc w:val="right"/>
            </w:pPr>
            <w:r>
              <w:rPr>
                <w:rFonts w:ascii="Arial" w:hAnsi="Arial"/>
                <w:b/>
                <w:color w:val="1F2937"/>
                <w:sz w:val="19"/>
                <w:rFonts w:ascii="Arial" w:hAnsi="Arial" w:cs="Arial"/>
                <w:szCs w:val="19"/>
                <w:rtl w:val="1"/>
              </w:rPr>
              <w:t>الاستخدام الأمثل</w:t>
            </w:r>
          </w:p>
        </w:tc>
        <w:tc>
          <w:tcPr>
            <w:tcW w:type="dxa" w:w="3600"/>
            <w:shd w:fill="FFFFFF"/>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التخطيط المعماري ومراجعة الـ Diffs والـ Artifacts.</w:t>
            </w:r>
          </w:p>
        </w:tc>
        <w:tc>
          <w:tcPr>
            <w:tcW w:type="dxa" w:w="3600"/>
            <w:shd w:fill="FFFFFF"/>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بناء شاشات الـ UI، توليد الأكواد، وتحديث الذاكرة.</w:t>
            </w:r>
          </w:p>
        </w:tc>
      </w:tr>
      <w:tr>
        <w:tc>
          <w:tcPr>
            <w:tcW w:type="dxa" w:w="2592"/>
            <w:shd w:fill="F0FDFA"/>
            <w:tcMar>
              <w:top w:w="100" w:type="dxa"/>
              <w:bottom w:w="100" w:type="dxa"/>
              <w:left w:w="120" w:type="dxa"/>
              <w:right w:w="120" w:type="dxa"/>
            </w:tcMar>
          </w:tcPr>
          <w:p>
            <w:pPr>
              <w:bidi w:val="1"/>
              <w:jc w:val="right"/>
            </w:pPr>
            <w:r>
              <w:rPr>
                <w:rFonts w:ascii="Arial" w:hAnsi="Arial"/>
                <w:b/>
                <w:color w:val="1F2937"/>
                <w:sz w:val="19"/>
                <w:rFonts w:ascii="Arial" w:hAnsi="Arial" w:cs="Arial"/>
                <w:szCs w:val="19"/>
                <w:rtl w:val="1"/>
              </w:rPr>
              <w:t>استهلاك الذاكرة</w:t>
            </w:r>
          </w:p>
        </w:tc>
        <w:tc>
          <w:tcPr>
            <w:tcW w:type="dxa" w:w="3600"/>
            <w:shd w:fill="F0FDFA"/>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مرتفع (2.0GB – 2.5GB RAM) بسبب Electron.</w:t>
            </w:r>
          </w:p>
        </w:tc>
        <w:tc>
          <w:tcPr>
            <w:tcW w:type="dxa" w:w="3600"/>
            <w:shd w:fill="F0FDFA"/>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منخفض جداً ومعزول ويحرر الذاكرة فور الانتهاء.</w:t>
            </w:r>
          </w:p>
        </w:tc>
      </w:tr>
      <w:tr>
        <w:tc>
          <w:tcPr>
            <w:tcW w:type="dxa" w:w="2592"/>
            <w:shd w:fill="FFFFFF"/>
            <w:tcMar>
              <w:top w:w="100" w:type="dxa"/>
              <w:bottom w:w="100" w:type="dxa"/>
              <w:left w:w="120" w:type="dxa"/>
              <w:right w:w="120" w:type="dxa"/>
            </w:tcMar>
          </w:tcPr>
          <w:p>
            <w:pPr>
              <w:bidi w:val="1"/>
              <w:jc w:val="right"/>
            </w:pPr>
            <w:r>
              <w:rPr>
                <w:rFonts w:ascii="Arial" w:hAnsi="Arial"/>
                <w:b/>
                <w:color w:val="1F2937"/>
                <w:sz w:val="19"/>
                <w:rFonts w:ascii="Arial" w:hAnsi="Arial" w:cs="Arial"/>
                <w:szCs w:val="19"/>
                <w:rtl w:val="1"/>
              </w:rPr>
              <w:t>إدارة السياق</w:t>
            </w:r>
          </w:p>
        </w:tc>
        <w:tc>
          <w:tcPr>
            <w:tcW w:type="dxa" w:w="3600"/>
            <w:shd w:fill="FFFFFF"/>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محادثة ممتدة تتراكم في قاعدة بيانات SQLite.</w:t>
            </w:r>
          </w:p>
        </w:tc>
        <w:tc>
          <w:tcPr>
            <w:tcW w:type="dxa" w:w="3600"/>
            <w:shd w:fill="FFFFFF"/>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سياق مؤقت ينتهي مع انتهاء الأمر.</w:t>
            </w:r>
          </w:p>
        </w:tc>
      </w:tr>
      <w:tr>
        <w:tc>
          <w:tcPr>
            <w:tcW w:type="dxa" w:w="2592"/>
            <w:shd w:fill="F0FDFA"/>
            <w:tcMar>
              <w:top w:w="100" w:type="dxa"/>
              <w:bottom w:w="100" w:type="dxa"/>
              <w:left w:w="120" w:type="dxa"/>
              <w:right w:w="120" w:type="dxa"/>
            </w:tcMar>
          </w:tcPr>
          <w:p>
            <w:pPr>
              <w:bidi w:val="1"/>
              <w:jc w:val="right"/>
            </w:pPr>
            <w:r>
              <w:rPr>
                <w:rFonts w:ascii="Arial" w:hAnsi="Arial"/>
                <w:b/>
                <w:color w:val="1F2937"/>
                <w:sz w:val="19"/>
                <w:rFonts w:ascii="Arial" w:hAnsi="Arial" w:cs="Arial"/>
                <w:szCs w:val="19"/>
                <w:rtl w:val="1"/>
              </w:rPr>
              <w:t>القاعدة المعمارية</w:t>
            </w:r>
          </w:p>
        </w:tc>
        <w:tc>
          <w:tcPr>
            <w:tcW w:type="dxa" w:w="3600"/>
            <w:shd w:fill="F0FDFA"/>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يُحظر توجيه أوامر الـ CLI الآلية إليها منعاً للنسخ اليدوي.</w:t>
            </w:r>
          </w:p>
        </w:tc>
        <w:tc>
          <w:tcPr>
            <w:tcW w:type="dxa" w:w="3600"/>
            <w:shd w:fill="F0FDFA"/>
            <w:tcMar>
              <w:top w:w="100" w:type="dxa"/>
              <w:bottom w:w="100" w:type="dxa"/>
              <w:left w:w="120" w:type="dxa"/>
              <w:right w:w="120" w:type="dxa"/>
            </w:tcMar>
          </w:tcPr>
          <w:p>
            <w:pPr>
              <w:bidi w:val="1"/>
              <w:jc w:val="right"/>
            </w:pPr>
            <w:r>
              <w:rPr>
                <w:rFonts w:ascii="Arial" w:hAnsi="Arial"/>
                <w:b w:val="0"/>
                <w:color w:val="1F2937"/>
                <w:sz w:val="19"/>
                <w:rFonts w:ascii="Arial" w:hAnsi="Arial" w:cs="Arial"/>
                <w:szCs w:val="19"/>
                <w:rtl w:val="1"/>
              </w:rPr>
              <w:t>المنفذ المعتمد للتفويض المباشر الذاتي من الأسطول.</w:t>
            </w:r>
          </w:p>
        </w:tc>
      </w:tr>
    </w:tbl>
    <w:p>
      <w:pPr>
        <w:keepNext/>
        <w:bidi w:val="1"/>
        <w:spacing w:before="200" w:after="80"/>
        <w:jc w:val="right"/>
      </w:pPr>
      <w:r>
        <w:rPr>
          <w:rFonts w:ascii="Arial" w:hAnsi="Arial"/>
          <w:b/>
          <w:color w:val="1E3A8A"/>
          <w:sz w:val="28"/>
          <w:rFonts w:ascii="Arial" w:hAnsi="Arial" w:cs="Arial"/>
          <w:szCs w:val="28"/>
          <w:rtl w:val="1"/>
        </w:rPr>
        <w:t>خامساً: الركيزة الثالثة — عتبات الاستهلاك والتصفير في نافذة الـ 1M</w:t>
      </w:r>
    </w:p>
    <w:p>
      <w:pPr>
        <w:bidi w:val="1"/>
        <w:spacing w:after="100" w:line="288" w:lineRule="auto"/>
        <w:jc w:val="right"/>
      </w:pPr>
      <w:r>
        <w:rPr>
          <w:rFonts w:ascii="Arial" w:hAnsi="Arial"/>
          <w:b w:val="0"/>
          <w:color w:val="374151"/>
          <w:sz w:val="21"/>
          <w:rFonts w:ascii="Arial" w:hAnsi="Arial" w:cs="Arial"/>
          <w:szCs w:val="21"/>
          <w:rtl w:val="1"/>
        </w:rPr>
        <w:t>بناءً على منحنى تركيز النماذج، يتم تقسيم نافذة المليون إلى أربعة نطاقات تشغيلية دقيقة:</w:t>
      </w:r>
    </w:p>
    <w:p>
      <w:pPr>
        <w:bidi w:val="1"/>
        <w:spacing w:after="100" w:line="288" w:lineRule="auto"/>
        <w:jc w:val="right"/>
      </w:pPr>
      <w:r>
        <w:rPr>
          <w:rFonts w:ascii="Arial" w:hAnsi="Arial"/>
          <w:b/>
          <w:color w:val="1F2937"/>
          <w:sz w:val="21"/>
          <w:rFonts w:ascii="Arial" w:hAnsi="Arial" w:cs="Arial"/>
          <w:szCs w:val="21"/>
          <w:rtl w:val="1"/>
        </w:rPr>
        <w:t xml:space="preserve">• 🟢 النطاق الأخضر (0 – 300k توكن / 0% – 30%): منطقة الأداء الفائق (Sweet Spot) — </w:t>
      </w:r>
      <w:r>
        <w:rPr>
          <w:rFonts w:ascii="Arial" w:hAnsi="Arial"/>
          <w:b w:val="0"/>
          <w:color w:val="374151"/>
          <w:sz w:val="21"/>
          <w:rFonts w:ascii="Arial" w:hAnsi="Arial" w:cs="Arial"/>
          <w:szCs w:val="21"/>
          <w:rtl w:val="1"/>
        </w:rPr>
        <w:t>أقصى درجات الذكاء والتركيز وانعدام تام للهلوسة. هذه هي المنطقة المثالية للتصميم الهيكلي وحل المعضلات المعمارية الكبرى.</w:t>
      </w:r>
    </w:p>
    <w:p>
      <w:pPr>
        <w:bidi w:val="1"/>
        <w:spacing w:after="100" w:line="288" w:lineRule="auto"/>
        <w:jc w:val="right"/>
      </w:pPr>
      <w:r>
        <w:rPr>
          <w:rFonts w:ascii="Arial" w:hAnsi="Arial"/>
          <w:b/>
          <w:color w:val="1F2937"/>
          <w:sz w:val="21"/>
          <w:rFonts w:ascii="Arial" w:hAnsi="Arial" w:cs="Arial"/>
          <w:szCs w:val="21"/>
          <w:rtl w:val="1"/>
        </w:rPr>
        <w:t xml:space="preserve">• 🟡 النطاق الأصفر (300k – 600k توكن / 30% – 60%): منطقة الإنتاجية المستقرة — </w:t>
      </w:r>
      <w:r>
        <w:rPr>
          <w:rFonts w:ascii="Arial" w:hAnsi="Arial"/>
          <w:b w:val="0"/>
          <w:color w:val="374151"/>
          <w:sz w:val="21"/>
          <w:rFonts w:ascii="Arial" w:hAnsi="Arial" w:cs="Arial"/>
          <w:szCs w:val="21"/>
          <w:rtl w:val="1"/>
        </w:rPr>
        <w:t>استقرار عالي في الأداء مع ضرورة الالتزام بالقراءة المقتضبة للملفات وتجنب طباعة سجلات البناء.</w:t>
      </w:r>
    </w:p>
    <w:p>
      <w:pPr>
        <w:bidi w:val="1"/>
        <w:spacing w:after="100" w:line="288" w:lineRule="auto"/>
        <w:jc w:val="right"/>
      </w:pPr>
      <w:r>
        <w:rPr>
          <w:rFonts w:ascii="Arial" w:hAnsi="Arial"/>
          <w:b/>
          <w:color w:val="1F2937"/>
          <w:sz w:val="21"/>
          <w:rFonts w:ascii="Arial" w:hAnsi="Arial" w:cs="Arial"/>
          <w:szCs w:val="21"/>
          <w:rtl w:val="1"/>
        </w:rPr>
        <w:t xml:space="preserve">• 🟠 النطاق البرتقالي (600k – 800k توكن / 60% – 80%): منطقة التحذير — </w:t>
      </w:r>
      <w:r>
        <w:rPr>
          <w:rFonts w:ascii="Arial" w:hAnsi="Arial"/>
          <w:b w:val="0"/>
          <w:color w:val="374151"/>
          <w:sz w:val="21"/>
          <w:rFonts w:ascii="Arial" w:hAnsi="Arial" w:cs="Arial"/>
          <w:szCs w:val="21"/>
          <w:rtl w:val="1"/>
        </w:rPr>
        <w:t>بداية تشتت التركيز. التوجيه الهندسي: إنهاء الميزة الحالية فوراً، وعمل Git Commit، وحفظ الذاكرة في MEMORY_STORE.md.</w:t>
      </w:r>
    </w:p>
    <w:p>
      <w:pPr>
        <w:bidi w:val="1"/>
        <w:spacing w:after="100" w:line="288" w:lineRule="auto"/>
        <w:jc w:val="right"/>
      </w:pPr>
      <w:r>
        <w:rPr>
          <w:rFonts w:ascii="Arial" w:hAnsi="Arial"/>
          <w:b/>
          <w:color w:val="1F2937"/>
          <w:sz w:val="21"/>
          <w:rFonts w:ascii="Arial" w:hAnsi="Arial" w:cs="Arial"/>
          <w:szCs w:val="21"/>
          <w:rtl w:val="1"/>
        </w:rPr>
        <w:t xml:space="preserve">• 🔴 النطاق الأحمر (&gt; 800k توكن / &gt; 80%): منطقة الخطر والتصفير الإلزامي — </w:t>
      </w:r>
      <w:r>
        <w:rPr>
          <w:rFonts w:ascii="Arial" w:hAnsi="Arial"/>
          <w:b w:val="0"/>
          <w:color w:val="374151"/>
          <w:sz w:val="21"/>
          <w:rFonts w:ascii="Arial" w:hAnsi="Arial" w:cs="Arial"/>
          <w:szCs w:val="21"/>
          <w:rtl w:val="1"/>
        </w:rPr>
        <w:t>يُحظر بدء أي ميزة جديدة. يتم تطبيق خطاف التصفير الاستراتيجي (Hook 25) وتجميد الحالة في CURRENT_STATE.md وبدء جلسة جديدة نظيفة.</w:t>
      </w:r>
    </w:p>
    <w:p>
      <w:pPr>
        <w:keepNext/>
        <w:bidi w:val="1"/>
        <w:spacing w:before="200" w:after="80"/>
        <w:jc w:val="right"/>
      </w:pPr>
      <w:r>
        <w:rPr>
          <w:rFonts w:ascii="Arial" w:hAnsi="Arial"/>
          <w:b/>
          <w:color w:val="1E3A8A"/>
          <w:sz w:val="28"/>
          <w:rFonts w:ascii="Arial" w:hAnsi="Arial" w:cs="Arial"/>
          <w:szCs w:val="28"/>
          <w:rtl w:val="1"/>
        </w:rPr>
        <w:t>سادساً: الركيزة الرابعة — المراقبة اللحظية باستخدام أداة ag-context</w:t>
      </w:r>
    </w:p>
    <w:p>
      <w:pPr>
        <w:bidi w:val="1"/>
        <w:spacing w:after="100" w:line="288" w:lineRule="auto"/>
        <w:jc w:val="right"/>
      </w:pPr>
      <w:r>
        <w:rPr>
          <w:rFonts w:ascii="Arial" w:hAnsi="Arial"/>
          <w:b w:val="0"/>
          <w:color w:val="374151"/>
          <w:sz w:val="21"/>
          <w:rFonts w:ascii="Arial" w:hAnsi="Arial" w:cs="Arial"/>
          <w:szCs w:val="21"/>
          <w:rtl w:val="1"/>
        </w:rPr>
        <w:t>تم ابتكار وبناء أداة طرفية متخصصة ومدمجة في النظام لقراءة استهلاك التوكنز لحظياً مباشرة من محرك Antigravity:</w:t>
      </w:r>
    </w:p>
    <w:tbl>
      <w:tblPr>
        <w:tblW w:type="auto" w:w="0"/>
        <w:jc w:val="center"/>
        <w:tblLook w:firstColumn="1" w:firstRow="1" w:lastColumn="0" w:lastRow="0" w:noHBand="0" w:noVBand="1" w:val="04A0"/>
        <w:bidiVisual w:val="1"/>
      </w:tblPr>
      <w:tblGrid>
        <w:gridCol w:w="9936"/>
      </w:tblGrid>
      <w:tr>
        <w:tc>
          <w:tcPr>
            <w:tcW w:type="dxa" w:w="9936"/>
            <w:shd w:fill="ECFDF5"/>
            <w:tcMar>
              <w:top w:w="160" w:type="dxa"/>
              <w:bottom w:w="160" w:type="dxa"/>
              <w:left w:w="200" w:type="dxa"/>
              <w:right w:w="200" w:type="dxa"/>
            </w:tcMar>
            <w:tcBorders>
              <w:top w:val="none"/>
              <w:left w:val="none"/>
              <w:bottom w:val="none"/>
              <w:right w:val="single" w:sz="36" w:space="0" w:color="059669"/>
            </w:tcBorders>
          </w:tcPr>
          <w:p>
            <w:pPr>
              <w:bidi w:val="1"/>
              <w:spacing w:after="40" w:line="288" w:lineRule="auto"/>
              <w:jc w:val="right"/>
            </w:pPr>
            <w:r>
              <w:rPr>
                <w:rFonts w:ascii="Arial" w:hAnsi="Arial"/>
                <w:b/>
                <w:color w:val="1E3A8A"/>
                <w:sz w:val="22"/>
                <w:rFonts w:ascii="Arial" w:hAnsi="Arial" w:cs="Arial"/>
                <w:szCs w:val="22"/>
                <w:rtl w:val="1"/>
              </w:rPr>
              <w:t>⚡ الأوامر التشغيلية اليومية لأداة ag-context</w:t>
              <w:br/>
            </w:r>
            <w:r>
              <w:rPr>
                <w:rFonts w:ascii="Arial" w:hAnsi="Arial"/>
                <w:b w:val="0"/>
                <w:color w:val="1F2937"/>
                <w:sz w:val="20"/>
                <w:rFonts w:ascii="Arial" w:hAnsi="Arial" w:cs="Arial"/>
                <w:szCs w:val="20"/>
                <w:rtl w:val="1"/>
              </w:rPr>
              <w:t>1. عرض الحالة الفورية: ag-context</w:t>
              <w:br/>
              <w:t>2. شاشة المراقبة الحية في الوقت الفعلي (تحديث تلقائي كل 3 ثوانٍ): ag-context -w</w:t>
              <w:br/>
              <w:t>3. فحص تاريخ استهلاك التوكنز لآخر 5 خطوات: ag-context -H 5</w:t>
              <w:br/>
              <w:t>4. مخرجات JSON للتكامل مع السكربتات والوكلاء: ag-context -j</w:t>
            </w:r>
          </w:p>
        </w:tc>
      </w:tr>
    </w:tbl>
    <w:p>
      <w:pPr>
        <w:bidi w:val="1"/>
        <w:spacing w:after="80"/>
        <w:jc w:val="right"/>
      </w:pPr>
    </w:p>
    <w:p>
      <w:pPr>
        <w:keepNext/>
        <w:bidi w:val="1"/>
        <w:spacing w:before="200" w:after="80"/>
        <w:jc w:val="right"/>
      </w:pPr>
      <w:r>
        <w:rPr>
          <w:rFonts w:ascii="Arial" w:hAnsi="Arial"/>
          <w:b/>
          <w:color w:val="1E3A8A"/>
          <w:sz w:val="28"/>
          <w:rFonts w:ascii="Arial" w:hAnsi="Arial" w:cs="Arial"/>
          <w:szCs w:val="28"/>
          <w:rtl w:val="1"/>
        </w:rPr>
        <w:t>سابعاً: الركيزة الخامسة — قواعد النظافة اليومية لكبح انتفاخ السياق</w:t>
      </w:r>
    </w:p>
    <w:p>
      <w:pPr>
        <w:bidi w:val="1"/>
        <w:spacing w:after="100" w:line="288" w:lineRule="auto"/>
        <w:jc w:val="right"/>
      </w:pPr>
      <w:r>
        <w:rPr>
          <w:rFonts w:ascii="Arial" w:hAnsi="Arial"/>
          <w:b/>
          <w:color w:val="1F2937"/>
          <w:sz w:val="21"/>
          <w:rFonts w:ascii="Arial" w:hAnsi="Arial" w:cs="Arial"/>
          <w:szCs w:val="21"/>
          <w:rtl w:val="1"/>
        </w:rPr>
        <w:t xml:space="preserve">1. القراءة المجزأة للملفات (Slice Notation): </w:t>
      </w:r>
      <w:r>
        <w:rPr>
          <w:rFonts w:ascii="Arial" w:hAnsi="Arial"/>
          <w:b w:val="0"/>
          <w:color w:val="374151"/>
          <w:sz w:val="21"/>
          <w:rFonts w:ascii="Arial" w:hAnsi="Arial" w:cs="Arial"/>
          <w:szCs w:val="21"/>
          <w:rtl w:val="1"/>
        </w:rPr>
        <w:t>يُحظر استدعاء view_file لقراءة ملفات كاملة تتجاوز 100 سطر. يجب دائماً استخدام معاملي StartLine و EndLine لقراءة المقطع المستهدف فقط.</w:t>
      </w:r>
    </w:p>
    <w:p>
      <w:pPr>
        <w:bidi w:val="1"/>
        <w:spacing w:after="100" w:line="288" w:lineRule="auto"/>
        <w:jc w:val="right"/>
      </w:pPr>
      <w:r>
        <w:rPr>
          <w:rFonts w:ascii="Arial" w:hAnsi="Arial"/>
          <w:b/>
          <w:color w:val="1F2937"/>
          <w:sz w:val="21"/>
          <w:rFonts w:ascii="Arial" w:hAnsi="Arial" w:cs="Arial"/>
          <w:szCs w:val="21"/>
          <w:rtl w:val="1"/>
        </w:rPr>
        <w:t xml:space="preserve">2. الاستبدال الموضعي: </w:t>
      </w:r>
      <w:r>
        <w:rPr>
          <w:rFonts w:ascii="Arial" w:hAnsi="Arial"/>
          <w:b w:val="0"/>
          <w:color w:val="374151"/>
          <w:sz w:val="21"/>
          <w:rFonts w:ascii="Arial" w:hAnsi="Arial" w:cs="Arial"/>
          <w:szCs w:val="21"/>
          <w:rtl w:val="1"/>
        </w:rPr>
        <w:t>اعتماد replace_file_content لتعديل الأسطر المحددة وتجنب write_to_file لإعادة كتابة ملفات كاملة.</w:t>
      </w:r>
    </w:p>
    <w:p>
      <w:pPr>
        <w:bidi w:val="1"/>
        <w:spacing w:after="100" w:line="288" w:lineRule="auto"/>
        <w:jc w:val="right"/>
      </w:pPr>
      <w:r>
        <w:rPr>
          <w:rFonts w:ascii="Arial" w:hAnsi="Arial"/>
          <w:b/>
          <w:color w:val="1F2937"/>
          <w:sz w:val="21"/>
          <w:rFonts w:ascii="Arial" w:hAnsi="Arial" w:cs="Arial"/>
          <w:szCs w:val="21"/>
          <w:rtl w:val="1"/>
        </w:rPr>
        <w:t xml:space="preserve">3. حظر طباعة مخرجات البناء الخام: </w:t>
      </w:r>
      <w:r>
        <w:rPr>
          <w:rFonts w:ascii="Arial" w:hAnsi="Arial"/>
          <w:b w:val="0"/>
          <w:color w:val="374151"/>
          <w:sz w:val="21"/>
          <w:rFonts w:ascii="Arial" w:hAnsi="Arial" w:cs="Arial"/>
          <w:szCs w:val="21"/>
          <w:rtl w:val="1"/>
        </w:rPr>
        <w:t>مخرجات Gradle أو NPM تلتهم من 10k إلى 30k توكن عند طباعتها في الكونسول. القاعدة: توجيه المخرجات لملف خارجي (./gradlew ... &gt; build.log) وقراءة سطور الخطأ فقط.</w:t>
      </w:r>
    </w:p>
    <w:p>
      <w:pPr>
        <w:bidi w:val="1"/>
        <w:spacing w:after="100" w:line="288" w:lineRule="auto"/>
        <w:jc w:val="right"/>
      </w:pPr>
      <w:r>
        <w:rPr>
          <w:rFonts w:ascii="Arial" w:hAnsi="Arial"/>
          <w:b/>
          <w:color w:val="1F2937"/>
          <w:sz w:val="21"/>
          <w:rFonts w:ascii="Arial" w:hAnsi="Arial" w:cs="Arial"/>
          <w:szCs w:val="21"/>
          <w:rtl w:val="1"/>
        </w:rPr>
        <w:t xml:space="preserve">4. تجميع الطلبات (Batching): </w:t>
      </w:r>
      <w:r>
        <w:rPr>
          <w:rFonts w:ascii="Arial" w:hAnsi="Arial"/>
          <w:b w:val="0"/>
          <w:color w:val="374151"/>
          <w:sz w:val="21"/>
          <w:rFonts w:ascii="Arial" w:hAnsi="Arial" w:cs="Arial"/>
          <w:szCs w:val="21"/>
          <w:rtl w:val="1"/>
        </w:rPr>
        <w:t>تجميع الاستفسارات والمهام في رسالة واحدة منسقة يوفر دورات كاملة من إعادة إرسال سياق المحادثة السابق.</w:t>
      </w:r>
    </w:p>
    <w:p>
      <w:pPr>
        <w:keepNext/>
        <w:bidi w:val="1"/>
        <w:spacing w:before="200" w:after="80"/>
        <w:jc w:val="right"/>
      </w:pPr>
      <w:r>
        <w:rPr>
          <w:rFonts w:ascii="Arial" w:hAnsi="Arial"/>
          <w:b/>
          <w:color w:val="1E3A8A"/>
          <w:sz w:val="28"/>
          <w:rFonts w:ascii="Arial" w:hAnsi="Arial" w:cs="Arial"/>
          <w:szCs w:val="28"/>
          <w:rtl w:val="1"/>
        </w:rPr>
        <w:t>ثامناً: الخلاصة التنفيذية وقائمة الإجراءات الفورية</w:t>
      </w:r>
    </w:p>
    <w:p>
      <w:pPr>
        <w:bidi w:val="1"/>
        <w:spacing w:after="100" w:line="288" w:lineRule="auto"/>
        <w:jc w:val="right"/>
      </w:pPr>
      <w:r>
        <w:rPr>
          <w:rFonts w:ascii="Arial" w:hAnsi="Arial"/>
          <w:b w:val="0"/>
          <w:color w:val="374151"/>
          <w:sz w:val="21"/>
          <w:rFonts w:ascii="Arial" w:hAnsi="Arial" w:cs="Arial"/>
          <w:szCs w:val="21"/>
          <w:rtl w:val="1"/>
        </w:rPr>
        <w:t>1. تعطيل خوادم MCP الزائدة في mcp_config.json (يوفر 25k-35k توكن).</w:t>
      </w:r>
    </w:p>
    <w:p>
      <w:pPr>
        <w:bidi w:val="1"/>
        <w:spacing w:after="100" w:line="288" w:lineRule="auto"/>
        <w:jc w:val="right"/>
      </w:pPr>
      <w:r>
        <w:rPr>
          <w:rFonts w:ascii="Arial" w:hAnsi="Arial"/>
          <w:b w:val="0"/>
          <w:color w:val="374151"/>
          <w:sz w:val="21"/>
          <w:rFonts w:ascii="Arial" w:hAnsi="Arial" w:cs="Arial"/>
          <w:szCs w:val="21"/>
          <w:rtl w:val="1"/>
        </w:rPr>
        <w:t>2. تشغيل خطاف التخصيص الذكي (Hook 3) لحذف المهارات غير المستخدمة (يوفر 20k-30k توكن).</w:t>
      </w:r>
    </w:p>
    <w:p>
      <w:pPr>
        <w:bidi w:val="1"/>
        <w:spacing w:after="100" w:line="288" w:lineRule="auto"/>
        <w:jc w:val="right"/>
      </w:pPr>
      <w:r>
        <w:rPr>
          <w:rFonts w:ascii="Arial" w:hAnsi="Arial"/>
          <w:b w:val="0"/>
          <w:color w:val="374151"/>
          <w:sz w:val="21"/>
          <w:rFonts w:ascii="Arial" w:hAnsi="Arial" w:cs="Arial"/>
          <w:szCs w:val="21"/>
          <w:rtl w:val="1"/>
        </w:rPr>
        <w:t>3. المتابعة اليومية لنسبة الامتلاء عبر أمر ag-context.</w:t>
      </w:r>
    </w:p>
    <w:p>
      <w:pPr>
        <w:bidi w:val="1"/>
        <w:spacing w:after="100" w:line="288" w:lineRule="auto"/>
        <w:jc w:val="right"/>
      </w:pPr>
      <w:r>
        <w:rPr>
          <w:rFonts w:ascii="Arial" w:hAnsi="Arial"/>
          <w:b w:val="0"/>
          <w:color w:val="374151"/>
          <w:sz w:val="21"/>
          <w:rFonts w:ascii="Arial" w:hAnsi="Arial" w:cs="Arial"/>
          <w:szCs w:val="21"/>
          <w:rtl w:val="1"/>
        </w:rPr>
        <w:t>4. توجيه مخرجات البناء للملفات لتفادي قفزات التوكنز المفاجئة.</w:t>
      </w:r>
    </w:p>
    <w:p>
      <w:pPr>
        <w:bidi w:val="1"/>
        <w:spacing w:after="100" w:line="288" w:lineRule="auto"/>
        <w:jc w:val="right"/>
      </w:pPr>
      <w:r>
        <w:rPr>
          <w:rFonts w:ascii="Arial" w:hAnsi="Arial"/>
          <w:b w:val="0"/>
          <w:color w:val="374151"/>
          <w:sz w:val="21"/>
          <w:rFonts w:ascii="Arial" w:hAnsi="Arial" w:cs="Arial"/>
          <w:szCs w:val="21"/>
          <w:rtl w:val="1"/>
        </w:rPr>
        <w:t>5. التصفير الاستراتيجي عند 60% إلى 70% للبقاء دائماً في منطقة الأداء الفائق (Sweet Spot).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