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2.png" ContentType="image/png"/>
  <Override PartName="/word/media/rId45.png" ContentType="image/png"/>
  <Override PartName="/word/media/rId52.png" ContentType="image/png"/>
  <Override PartName="/word/media/rId61.png" ContentType="image/png"/>
  <Override PartName="/word/media/rId58.png" ContentType="image/png"/>
  <Override PartName="/word/media/rId27.png" ContentType="image/png"/>
  <Override PartName="/word/media/rId30.png" ContentType="image/png"/>
  <Override PartName="/word/media/rId3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05760c0ddbaf32e22437cb49d13e796782cb483"/>
      <w:r>
        <w:t xml:space="preserve">Sizing Optimization of Guadua Bamboo Space Domes and the Share of Connection Steel and Grout in Embodied Carbon</w:t>
      </w:r>
      <w:bookmarkEnd w:id="9"/>
    </w:p>
    <w:p>
      <w:pPr>
        <w:pStyle w:val="Heading2"/>
      </w:pPr>
      <w:bookmarkStart w:id="10" w:name="_highlights"/>
      <w:r>
        <w:t xml:space="preserve">Highlights</w:t>
      </w:r>
      <w:bookmarkEnd w:id="10"/>
    </w:p>
    <w:p>
      <w:pPr>
        <w:pStyle w:val="Compact"/>
        <w:numPr>
          <w:ilvl w:val="0"/>
          <w:numId w:val="1001"/>
        </w:numPr>
      </w:pPr>
      <w:r>
        <w:t xml:space="preserve">Bamboo and steel space domes sized to their own optimum for a fair comparison</w:t>
      </w:r>
    </w:p>
    <w:p>
      <w:pPr>
        <w:pStyle w:val="Compact"/>
        <w:numPr>
          <w:ilvl w:val="0"/>
          <w:numId w:val="1001"/>
        </w:numPr>
      </w:pPr>
      <w:r>
        <w:t xml:space="preserve">Single-objective ASD sizing with three metaheuristic algorithms and repeated runs</w:t>
      </w:r>
    </w:p>
    <w:p>
      <w:pPr>
        <w:pStyle w:val="Compact"/>
        <w:numPr>
          <w:ilvl w:val="0"/>
          <w:numId w:val="1001"/>
        </w:numPr>
      </w:pPr>
      <w:r>
        <w:t xml:space="preserve">Connection steel and grout carry 79–84% of the baseline carbon of the bamboo domes</w:t>
      </w:r>
    </w:p>
    <w:p>
      <w:pPr>
        <w:pStyle w:val="Compact"/>
        <w:numPr>
          <w:ilvl w:val="0"/>
          <w:numId w:val="1001"/>
        </w:numPr>
      </w:pPr>
      <w:r>
        <w:t xml:space="preserve">The joint carbon share falls to 43–51% at the highest culm emission factor tested</w:t>
      </w:r>
    </w:p>
    <w:p>
      <w:pPr>
        <w:pStyle w:val="Compact"/>
        <w:numPr>
          <w:ilvl w:val="0"/>
          <w:numId w:val="1001"/>
        </w:numPr>
      </w:pPr>
      <w:r>
        <w:t xml:space="preserve">For these three domes, bamboo systems with grout weigh more than steel systems</w:t>
      </w:r>
    </w:p>
    <w:p>
      <w:pPr>
        <w:pStyle w:val="Heading2"/>
      </w:pPr>
      <w:bookmarkStart w:id="11" w:name="_abstract"/>
      <w:r>
        <w:t xml:space="preserve">Abstract</w:t>
      </w:r>
      <w:bookmarkEnd w:id="11"/>
    </w:p>
    <w:p>
      <w:pPr>
        <w:pStyle w:val="FirstParagraph"/>
      </w:pPr>
      <w:r>
        <w:t xml:space="preserve">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pPr>
        <w:pStyle w:val="Heading2"/>
      </w:pPr>
      <w:bookmarkStart w:id="12" w:name="_keywords"/>
      <w:r>
        <w:t xml:space="preserve">Keywords</w:t>
      </w:r>
      <w:bookmarkEnd w:id="12"/>
    </w:p>
    <w:p>
      <w:pPr>
        <w:pStyle w:val="FirstParagraph"/>
      </w:pPr>
      <w:r>
        <w:t xml:space="preserve">bamboo structures; Guadua; space truss; sizing optimization; metaheuristic algorithms; embodied carbon</w:t>
      </w:r>
    </w:p>
    <w:p>
      <w:pPr>
        <w:pStyle w:val="Heading1"/>
      </w:pPr>
      <w:bookmarkStart w:id="13" w:name="_introduction"/>
      <w:r>
        <w:t xml:space="preserve">1. Introduction</w:t>
      </w:r>
      <w:bookmarkEnd w:id="13"/>
    </w:p>
    <w:p>
      <w:pPr>
        <w:pStyle w:val="FirstParagraph"/>
      </w:pPr>
      <w:r>
        <w:t xml:space="preserve">As the construction sector needs to reduce its emissions, bio-based structural materials have gained increasing prominence for load-bearing applications. Among fast-growing structural vegetation, Guadua bamboo (</w:t>
      </w:r>
      <w:r>
        <w:rPr>
          <w:i/>
          <w:iCs/>
        </w:rPr>
        <w:t xml:space="preserve">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w:t>
      </w:r>
      <w:r>
        <w:t xml:space="preserve"> </w:t>
      </w:r>
      <m:oMath>
        <m:sSub>
          <m:e>
            <m:r>
              <m:rPr>
                <m:nor/>
              </m:rPr>
              <m:t>CO</m:t>
            </m:r>
          </m:e>
          <m:sub>
            <m:r>
              <m:t>2</m:t>
            </m:r>
          </m:sub>
        </m:sSub>
      </m:oMath>
      <w:r>
        <w:t xml:space="preserve">-equivalent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pPr>
        <w:pStyle w:val="BodyText"/>
      </w:pPr>
      <w:r>
        <w:t xml:space="preserve">However, existing comparative assessments predominantly focus on raw materials, individual structural members, or whole-building envelopes. To the author’s knowledge, they rarely examine spatial skeletal systems where bamboo and conventional structural steel are each optimized to their own cross-sectional limits under identical structural geometry, design loading combinations, and normative design codes.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15, 17, 18], prompting structural optimization frameworks tailored to embodied energy and carbon mitigation [16, 19]. To the author’s knowledge, comparative studies evaluating structural bamboo space domes against equivalent steel configurations under normative, code-compliant sizing optimization are limited. Quantifying these trade-offs across material weight, embodied</w:t>
      </w:r>
      <w:r>
        <w:t xml:space="preserve"> </w:t>
      </w:r>
      <m:oMath>
        <m:sSub>
          <m:e>
            <m:r>
              <m:rPr>
                <m:nor/>
              </m:rPr>
              <m:t>CO</m:t>
            </m:r>
          </m:e>
          <m:sub>
            <m:r>
              <m:t>2</m:t>
            </m:r>
          </m:sub>
        </m:sSub>
      </m:oMath>
      <w:r>
        <w:t xml:space="preserve">, and direct cost addresses this gap.</w:t>
      </w:r>
    </w:p>
    <w:p>
      <w:pPr>
        <w:pStyle w:val="BodyText"/>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pPr>
        <w:pStyle w:val="BodyText"/>
      </w:pPr>
      <w:r>
        <w:t xml:space="preserve">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pPr>
        <w:pStyle w:val="BodyText"/>
      </w:pPr>
      <w:r>
        <w:t xml:space="preserve">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pPr>
        <w:pStyle w:val="BodyText"/>
      </w:pPr>
      <w:r>
        <w:t xml:space="preserve">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pPr>
        <w:pStyle w:val="BodyText"/>
      </w:pPr>
      <w:r>
        <w:t xml:space="preserve">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pPr>
        <w:pStyle w:val="BodyText"/>
      </w:pPr>
      <w:r>
        <w:t xml:space="preserve">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pPr>
        <w:pStyle w:val="Heading1"/>
      </w:pPr>
      <w:bookmarkStart w:id="14" w:name="_34caebbda6310b157cfd87ab7a27a7b6bd0b434"/>
      <w:r>
        <w:t xml:space="preserve">2. Optimization problem formulation and solution method</w:t>
      </w:r>
      <w:bookmarkEnd w:id="14"/>
    </w:p>
    <w:p>
      <w:pPr>
        <w:pStyle w:val="FirstParagraph"/>
      </w:pPr>
      <w:r>
        <w:t xml:space="preserve">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e>
            <m:r>
              <m:t>E</m:t>
            </m:r>
          </m:e>
          <m:sub>
            <m:sSub>
              <m:e>
                <m:r>
                  <m:rPr>
                    <m:nor/>
                  </m:rPr>
                  <m:t>CO</m:t>
                </m:r>
              </m:e>
              <m:sub>
                <m:r>
                  <m:t>2</m:t>
                </m:r>
              </m:sub>
            </m:sSub>
          </m:sub>
        </m:sSub>
      </m:oMath>
      <w:r>
        <w:t xml:space="preserve">) and material cost (</w:t>
      </w:r>
      <m:oMath>
        <m:r>
          <m:t>C</m:t>
        </m:r>
      </m:oMath>
      <w:r>
        <w:t xml:space="preserve">) evaluations. Metaheuristic search procedures, constraint handling, and statistical hypothesis testing are described, while mathematical derivations, algorithmic equations, and normative code factors are compiled in the Supplementary Material.</w:t>
      </w:r>
    </w:p>
    <w:p>
      <w:pPr>
        <w:pStyle w:val="BodyText"/>
      </w:pPr>
      <w:r>
        <w:t xml:space="preserve">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m:t>N</m:t>
        </m:r>
        <m:r>
          <m:t>F</m:t>
        </m:r>
        <m:r>
          <m:t>E</m:t>
        </m:r>
        <m:r>
          <m:rPr>
            <m:sty m:val="p"/>
          </m:rPr>
          <m:t>=</m:t>
        </m:r>
        <m:r>
          <m:t>1000</m:t>
        </m:r>
        <m:r>
          <m:t> </m:t>
        </m:r>
        <m:sSub>
          <m:e>
            <m:r>
              <m:t>N</m:t>
            </m:r>
          </m:e>
          <m:sub>
            <m:r>
              <m:t>g</m:t>
            </m:r>
          </m:sub>
        </m:sSub>
      </m:oMath>
      <w:r>
        <w:t xml:space="preserve">)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pPr>
        <w:pStyle w:val="CaptionedFigure"/>
      </w:pPr>
      <w:r>
        <w:drawing>
          <wp:inline>
            <wp:extent cx="5334000" cy="7114007"/>
            <wp:effectExtent b="0" l="0" r="0" t="0"/>
            <wp:docPr descr="Figure 1" title="" id="16" name="Picture"/>
            <a:graphic>
              <a:graphicData uri="http://schemas.openxmlformats.org/drawingml/2006/picture">
                <pic:pic>
                  <pic:nvPicPr>
                    <pic:cNvPr descr="../../04_Results/figures/method_flowchart.png" id="17" name="Picture"/>
                    <pic:cNvPicPr>
                      <a:picLocks noChangeArrowheads="1" noChangeAspect="1"/>
                    </pic:cNvPicPr>
                  </pic:nvPicPr>
                  <pic:blipFill>
                    <a:blip r:embed="rId15"/>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1</w:t>
      </w:r>
    </w:p>
    <w:p>
      <w:pPr>
        <w:pStyle w:val="FirstParagraph"/>
      </w:pPr>
      <w:r>
        <w:rPr>
          <w:b/>
          <w:bCs/>
        </w:rPr>
        <w:t xml:space="preserve">Figure 1.</w:t>
      </w:r>
      <w:r>
        <w:t xml:space="preserve"> </w:t>
      </w:r>
      <w:r>
        <w:t xml:space="preserve">Multi-stage computational flowchart of the research methodology: (i) structural sizing optimization phase (Steps 1–6) coupling discrete member profile updates, linear stiffness analysis, and normative ASD constraint evaluation under a fixed evaluation budget (</w:t>
      </w:r>
      <m:oMath>
        <m:r>
          <m:t>N</m:t>
        </m:r>
        <m:r>
          <m:t>F</m:t>
        </m:r>
        <m:r>
          <m:t>E</m:t>
        </m:r>
        <m:r>
          <m:rPr>
            <m:sty m:val="p"/>
          </m:rPr>
          <m:t>=</m:t>
        </m:r>
        <m:r>
          <m:t>1000</m:t>
        </m:r>
        <m:r>
          <m:t> </m:t>
        </m:r>
        <m:sSub>
          <m:e>
            <m:r>
              <m:t>N</m:t>
            </m:r>
          </m:e>
          <m:sub>
            <m:r>
              <m:t>g</m:t>
            </m:r>
          </m:sub>
        </m:sSub>
      </m:oMath>
      <w:r>
        <w:t xml:space="preserve">); and (ii) post-processing phase (Steps 7–9) evaluating statistical convergence across 30 independent random starting seeds, cradle-to-gate embodied carbon balances, and international material cost trade-offs.</w:t>
      </w:r>
    </w:p>
    <w:p>
      <w:pPr>
        <w:pStyle w:val="Heading2"/>
      </w:pPr>
      <w:bookmarkStart w:id="18" w:name="_32185baf656dba88ed08579273220d706e9d21c"/>
      <w:r>
        <w:t xml:space="preserve">2.1 Design variables</w:t>
      </w:r>
      <w:bookmarkEnd w:id="18"/>
    </w:p>
    <w:p>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w:t>
      </w:r>
      <w:r>
        <w:t xml:space="preserve"> </w:t>
      </w:r>
      <m:oMath>
        <m:sSub>
          <m:e>
            <m:r>
              <m:t>N</m:t>
            </m:r>
          </m:e>
          <m:sub>
            <m:r>
              <m:t>m</m:t>
            </m:r>
          </m:sub>
        </m:sSub>
      </m:oMath>
      <w:r>
        <w:t xml:space="preserve"> </w:t>
      </w:r>
      <w:r>
        <w:t xml:space="preserve">structural members are partitioned into</w:t>
      </w:r>
      <w:r>
        <w:t xml:space="preserve"> </w:t>
      </w:r>
      <m:oMath>
        <m:sSub>
          <m:e>
            <m:r>
              <m:t>N</m:t>
            </m:r>
          </m:e>
          <m:sub>
            <m:r>
              <m:t>g</m:t>
            </m:r>
          </m:sub>
        </m:sSub>
      </m:oMath>
      <w:r>
        <w:t xml:space="preserve"> </w:t>
      </w:r>
      <w:r>
        <w:t xml:space="preserve">design groups, such that all members belonging to group</w:t>
      </w:r>
      <w:r>
        <w:t xml:space="preserve"> </w:t>
      </w:r>
      <m:oMath>
        <m:r>
          <m:t>ℓ</m:t>
        </m:r>
      </m:oMath>
      <w:r>
        <w:t xml:space="preserve"> </w:t>
      </w:r>
      <w:r>
        <w:t xml:space="preserve">share the identical cross-section. The vector of discrete design variables is defined as:</w:t>
      </w:r>
    </w:p>
    <w:p>
      <w:pPr>
        <w:pStyle w:val="BodyText"/>
      </w:pPr>
      <m:oMathPara>
        <m:oMathParaPr>
          <m:jc m:val="center"/>
        </m:oMathParaP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r>
            <m:rPr>
              <m:sty m:val="p"/>
            </m:rPr>
            <m:t>,</m:t>
          </m:r>
          <m:r>
            <m:t>  </m:t>
          </m:r>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m:oMathPara>
    </w:p>
    <w:p>
      <w:pPr>
        <w:pStyle w:val="FirstParagraph"/>
      </w:pPr>
      <w:r>
        <w:t xml:space="preserve">where</w:t>
      </w:r>
      <w:r>
        <w:t xml:space="preserve"> </w:t>
      </w:r>
      <m:oMath>
        <m:sSub>
          <m:e>
            <m:r>
              <m:t>x</m:t>
            </m:r>
          </m:e>
          <m:sub>
            <m:r>
              <m:t>ℓ</m:t>
            </m:r>
          </m:sub>
        </m:sSub>
      </m:oMath>
      <w:r>
        <w:t xml:space="preserve"> </w:t>
      </w:r>
      <w:r>
        <w:t xml:space="preserve">denotes the integer profile pointer of group</w:t>
      </w:r>
      <w:r>
        <w:t xml:space="preserve"> </w:t>
      </w:r>
      <m:oMath>
        <m:r>
          <m:t>ℓ</m:t>
        </m:r>
      </m:oMath>
      <w:r>
        <w:t xml:space="preserve"> </w:t>
      </w:r>
      <w:r>
        <w:t xml:space="preserve">within an ordered discrete section catalogue comprising</w:t>
      </w:r>
      <w:r>
        <w:t xml:space="preserve"> </w:t>
      </w:r>
      <m:oMath>
        <m:sSub>
          <m:e>
            <m:r>
              <m:t>n</m:t>
            </m:r>
          </m:e>
          <m:sub>
            <m:r>
              <m:t>s</m:t>
            </m:r>
          </m:sub>
        </m:sSub>
      </m:oMath>
      <w:r>
        <w:t xml:space="preserve"> </w:t>
      </w:r>
      <w:r>
        <w:t xml:space="preserve">structural candidates. For the bamboo domes, the discrete library contains</w:t>
      </w:r>
      <w:r>
        <w:t xml:space="preserve"> </w:t>
      </w:r>
      <m:oMath>
        <m:sSub>
          <m:e>
            <m:r>
              <m:t>n</m:t>
            </m:r>
          </m:e>
          <m:sub>
            <m:r>
              <m:t>s</m:t>
            </m:r>
          </m:sub>
        </m:sSub>
        <m:r>
          <m:rPr>
            <m:sty m:val="p"/>
          </m:rPr>
          <m:t>=</m:t>
        </m:r>
        <m:r>
          <m:t>24</m:t>
        </m:r>
      </m:oMath>
      <w:r>
        <w:t xml:space="preserve"> </w:t>
      </w:r>
      <w:r>
        <w:t xml:space="preserve">hollow circular Guadua culm cross-sections, whereas the steel library includes</w:t>
      </w:r>
      <w:r>
        <w:t xml:space="preserve"> </w:t>
      </w:r>
      <m:oMath>
        <m:sSub>
          <m:e>
            <m:r>
              <m:t>n</m:t>
            </m:r>
          </m:e>
          <m:sub>
            <m:r>
              <m:t>s</m:t>
            </m:r>
          </m:sub>
        </m:sSub>
        <m:r>
          <m:rPr>
            <m:sty m:val="p"/>
          </m:rPr>
          <m:t>=</m:t>
        </m:r>
        <m:r>
          <m:t>37</m:t>
        </m:r>
      </m:oMath>
      <w:r>
        <w:t xml:space="preserve"> </w:t>
      </w:r>
      <w:r>
        <w:t xml:space="preserve">standard AISC structural pipe sections (detailed in Section 3.2; the 24 bamboo sections are listed in Supplementary Material Table S1). All elements are idealized as pin-jointed truss bars carrying pure axial forces.</w:t>
      </w:r>
    </w:p>
    <w:p>
      <w:pPr>
        <w:pStyle w:val="Heading2"/>
      </w:pPr>
      <w:bookmarkStart w:id="19" w:name="_f5611c28e4469ac6aa346082e93e05094bd689d"/>
      <w:r>
        <w:t xml:space="preserve">2.2 Objective function formulation and multi-criteria evaluation scope</w:t>
      </w:r>
      <w:bookmarkEnd w:id="19"/>
    </w:p>
    <w:p>
      <w:pPr>
        <w:pStyle w:val="FirstParagraph"/>
      </w:pPr>
      <w:r>
        <w:t xml:space="preserve">In structural optimization of nature-based composite systems, mass, material expenditure, and embodied carbon form interconnected performance metrics. In this study, the direct search objective is formulated as the total mass/weight of the structural load-bearing members:</w:t>
      </w:r>
    </w:p>
    <w:p>
      <w:pPr>
        <w:pStyle w:val="BodyText"/>
      </w:pPr>
      <m:oMathPara>
        <m:oMathParaPr>
          <m:jc m:val="center"/>
        </m:oMathParaPr>
        <m:oMath>
          <m:r>
            <m:t>W</m:t>
          </m:r>
          <m:r>
            <m:rPr>
              <m:sty m:val="p"/>
            </m:rPr>
            <m:t>(</m:t>
          </m:r>
          <m:r>
            <m:rPr>
              <m:sty m:val="bi"/>
            </m:rPr>
            <m:t>x</m:t>
          </m:r>
          <m:r>
            <m:rPr>
              <m:sty m:val="p"/>
            </m:rPr>
            <m:t>)</m:t>
          </m:r>
          <m:r>
            <m:rPr>
              <m:sty m:val="p"/>
            </m:rPr>
            <m:t>=</m:t>
          </m:r>
          <m:sSub>
            <m:e>
              <m:r>
                <m:t>g</m:t>
              </m:r>
            </m:e>
            <m:sub>
              <m:r>
                <m:t>0</m:t>
              </m:r>
            </m:sub>
          </m:sSub>
          <m:r>
            <m:t> </m:t>
          </m:r>
          <m:r>
            <m:t>ρ</m:t>
          </m:r>
          <m:nary>
            <m:naryPr>
              <m:chr m:val="∑"/>
              <m:limLoc m:val="undOvr"/>
              <m:subHide m:val="off"/>
              <m:supHide m:val="off"/>
            </m:naryPr>
            <m:sub>
              <m:r>
                <m:t>i</m:t>
              </m:r>
              <m:r>
                <m:rPr>
                  <m:sty m:val="p"/>
                </m:rPr>
                <m:t>=</m:t>
              </m:r>
              <m:r>
                <m:t>1</m:t>
              </m:r>
            </m:sub>
            <m:sup>
              <m:sSub>
                <m:e>
                  <m:r>
                    <m:t>N</m:t>
                  </m:r>
                </m:e>
                <m:sub>
                  <m:r>
                    <m:t>m</m:t>
                  </m:r>
                </m:sub>
              </m:sSub>
            </m:sup>
            <m:e>
              <m:sSub>
                <m:e>
                  <m:r>
                    <m:t>A</m:t>
                  </m:r>
                </m:e>
                <m:sub>
                  <m:r>
                    <m:t>i</m:t>
                  </m:r>
                </m:sub>
              </m:sSub>
            </m:e>
          </m:nary>
          <m:r>
            <m:rPr>
              <m:sty m:val="p"/>
            </m:rPr>
            <m:t>(</m:t>
          </m:r>
          <m:r>
            <m:rPr>
              <m:sty m:val="bi"/>
            </m:rPr>
            <m:t>x</m:t>
          </m:r>
          <m:r>
            <m:rPr>
              <m:sty m:val="p"/>
            </m:rPr>
            <m:t>)</m:t>
          </m:r>
          <m:r>
            <m:t> </m:t>
          </m:r>
          <m:sSub>
            <m:e>
              <m:r>
                <m:t>L</m:t>
              </m:r>
            </m:e>
            <m:sub>
              <m:r>
                <m:t>i</m:t>
              </m:r>
            </m:sub>
          </m:sSub>
        </m:oMath>
      </m:oMathPara>
    </w:p>
    <w:p>
      <w:pPr>
        <w:pStyle w:val="FirstParagraph"/>
      </w:pPr>
      <w:r>
        <w:t xml:space="preserve">where</w:t>
      </w:r>
      <w:r>
        <w:t xml:space="preserve"> </w:t>
      </w:r>
      <m:oMath>
        <m:sSub>
          <m:e>
            <m:r>
              <m:t>g</m:t>
            </m:r>
          </m:e>
          <m:sub>
            <m:r>
              <m:t>0</m:t>
            </m:r>
          </m:sub>
        </m:sSub>
        <m:r>
          <m:rPr>
            <m:sty m:val="p"/>
          </m:rPr>
          <m:t>=</m:t>
        </m:r>
        <m:r>
          <m:t>9.81</m:t>
        </m:r>
        <m:sSup>
          <m:e>
            <m:r>
              <m:rPr>
                <m:nor/>
              </m:rPr>
              <m:t> m/s</m:t>
            </m:r>
          </m:e>
          <m:sup>
            <m:r>
              <m:t>2</m:t>
            </m:r>
          </m:sup>
        </m:sSup>
      </m:oMath>
      <w:r>
        <w:t xml:space="preserve"> </w:t>
      </w:r>
      <w:r>
        <w:t xml:space="preserve">is the acceleration of gravity,</w:t>
      </w:r>
      <w:r>
        <w:t xml:space="preserve"> </w:t>
      </w:r>
      <m:oMath>
        <m:r>
          <m:t>ρ</m:t>
        </m:r>
      </m:oMath>
      <w:r>
        <w:t xml:space="preserve"> </w:t>
      </w:r>
      <w:r>
        <w:t xml:space="preserve">is the material density (kg/m³),</w:t>
      </w:r>
      <w:r>
        <w:t xml:space="preserve"> </w:t>
      </w:r>
      <m:oMath>
        <m:sSub>
          <m:e>
            <m:r>
              <m:t>A</m:t>
            </m:r>
          </m:e>
          <m:sub>
            <m:r>
              <m:t>i</m:t>
            </m:r>
          </m:sub>
        </m:sSub>
        <m:r>
          <m:rPr>
            <m:sty m:val="p"/>
          </m:rPr>
          <m:t>(</m:t>
        </m:r>
        <m:r>
          <m:rPr>
            <m:sty m:val="bi"/>
          </m:rPr>
          <m:t>x</m:t>
        </m:r>
        <m:r>
          <m:rPr>
            <m:sty m:val="p"/>
          </m:rPr>
          <m:t>)</m:t>
        </m:r>
      </m:oMath>
      <w:r>
        <w:t xml:space="preserve"> </w:t>
      </w:r>
      <w:r>
        <w:t xml:space="preserve">is the cross-sectional area of member</w:t>
      </w:r>
      <w:r>
        <w:t xml:space="preserve"> </w:t>
      </w:r>
      <m:oMath>
        <m:r>
          <m:t>i</m:t>
        </m:r>
      </m:oMath>
      <w:r>
        <w:t xml:space="preserve"> </w:t>
      </w:r>
      <w:r>
        <w:t xml:space="preserve">determined by its group profile index,</w:t>
      </w:r>
      <w:r>
        <w:t xml:space="preserve"> </w:t>
      </w:r>
      <m:oMath>
        <m:sSub>
          <m:e>
            <m:r>
              <m:t>L</m:t>
            </m:r>
          </m:e>
          <m:sub>
            <m:r>
              <m:t>i</m:t>
            </m:r>
          </m:sub>
        </m:sSub>
      </m:oMath>
      <w:r>
        <w:t xml:space="preserve"> </w:t>
      </w:r>
      <w:r>
        <w:t xml:space="preserve">is member length, and</w:t>
      </w:r>
      <w:r>
        <w:t xml:space="preserve"> </w:t>
      </w:r>
      <m:oMath>
        <m:sSub>
          <m:e>
            <m:r>
              <m:t>N</m:t>
            </m:r>
          </m:e>
          <m:sub>
            <m:r>
              <m:t>m</m:t>
            </m:r>
          </m:sub>
        </m:sSub>
      </m:oMath>
      <w:r>
        <w:t xml:space="preserve"> </w:t>
      </w:r>
      <w:r>
        <w:t xml:space="preserve">is the total number of members. The single-objective constrained optimization problem is posed as:</w:t>
      </w:r>
    </w:p>
    <w:p>
      <w:pPr>
        <w:pStyle w:val="BodyText"/>
      </w:pPr>
      <m:oMathPara>
        <m:oMathParaPr>
          <m:jc m:val="center"/>
        </m:oMathParaPr>
        <m:oMath>
          <m:limLow>
            <m:e>
              <m:r>
                <m:rPr>
                  <m:sty m:val="p"/>
                </m:rPr>
                <m:t>min</m:t>
              </m:r>
            </m:e>
            <m:lim>
              <m:r>
                <m:rPr>
                  <m:sty m:val="bi"/>
                </m:rPr>
                <m:t>x</m:t>
              </m:r>
            </m:lim>
          </m:limLow>
          <m:r>
            <m:t> </m:t>
          </m:r>
          <m:r>
            <m:t>W</m:t>
          </m:r>
          <m:r>
            <m:rPr>
              <m:sty m:val="p"/>
            </m:rPr>
            <m:t>(</m:t>
          </m:r>
          <m:r>
            <m:rPr>
              <m:sty m:val="bi"/>
            </m:rPr>
            <m:t>x</m:t>
          </m:r>
          <m:r>
            <m:rPr>
              <m:sty m:val="p"/>
            </m:rPr>
            <m:t>)</m:t>
          </m:r>
          <m:r>
            <m:t> </m:t>
          </m:r>
          <m:r>
            <m:rPr>
              <m:nor/>
            </m:rPr>
            <m:t>subject to</m:t>
          </m:r>
          <m:r>
            <m:t> </m:t>
          </m:r>
          <m:sSub>
            <m:e>
              <m:r>
                <m:t>g</m:t>
              </m:r>
            </m:e>
            <m:sub>
              <m:r>
                <m:t>k</m:t>
              </m:r>
            </m:sub>
          </m:sSub>
          <m:r>
            <m:rPr>
              <m:sty m:val="p"/>
            </m:rPr>
            <m:t>(</m:t>
          </m:r>
          <m:r>
            <m:rPr>
              <m:sty m:val="bi"/>
            </m:rPr>
            <m:t>x</m:t>
          </m:r>
          <m:r>
            <m:rPr>
              <m:sty m:val="p"/>
            </m:rPr>
            <m:t>)</m:t>
          </m:r>
          <m:r>
            <m:rPr>
              <m:sty m:val="p"/>
            </m:rPr>
            <m:t>≤</m:t>
          </m:r>
          <m:r>
            <m:t>0</m:t>
          </m:r>
          <m:r>
            <m:rPr>
              <m:sty m:val="p"/>
            </m:rPr>
            <m:t>,</m:t>
          </m:r>
          <m:r>
            <m:t> </m:t>
          </m:r>
          <m:r>
            <m:t>k</m:t>
          </m:r>
          <m:r>
            <m:rPr>
              <m:sty m:val="p"/>
            </m:rPr>
            <m:t>=</m:t>
          </m:r>
          <m:r>
            <m:t>1</m:t>
          </m:r>
          <m:r>
            <m:rPr>
              <m:sty m:val="p"/>
            </m:rPr>
            <m:t>,</m:t>
          </m:r>
          <m:r>
            <m:rPr>
              <m:sty m:val="p"/>
            </m:rPr>
            <m:t>…</m:t>
          </m:r>
          <m:r>
            <m:rPr>
              <m:sty m:val="p"/>
            </m:rPr>
            <m:t>,</m:t>
          </m:r>
          <m:sSub>
            <m:e>
              <m:r>
                <m:t>N</m:t>
              </m:r>
            </m:e>
            <m:sub>
              <m:r>
                <m:t>c</m:t>
              </m:r>
            </m:sub>
          </m:sSub>
        </m:oMath>
      </m:oMathPara>
    </w:p>
    <w:p>
      <w:pPr>
        <w:pStyle w:val="FirstParagraph"/>
      </w:pPr>
      <w:r>
        <w:t xml:space="preserve">where</w:t>
      </w:r>
      <w:r>
        <w:t xml:space="preserve"> </w:t>
      </w:r>
      <m:oMath>
        <m:sSub>
          <m:e>
            <m:r>
              <m:t>g</m:t>
            </m:r>
          </m:e>
          <m:sub>
            <m:r>
              <m:t>k</m:t>
            </m:r>
          </m:sub>
        </m:sSub>
        <m:r>
          <m:rPr>
            <m:sty m:val="p"/>
          </m:rPr>
          <m:t>(</m:t>
        </m:r>
        <m:r>
          <m:rPr>
            <m:sty m:val="bi"/>
          </m:rPr>
          <m:t>x</m:t>
        </m:r>
        <m:r>
          <m:rPr>
            <m:sty m:val="p"/>
          </m:rPr>
          <m:t>)</m:t>
        </m:r>
      </m:oMath>
      <w:r>
        <w:t xml:space="preserve"> </w:t>
      </w:r>
      <w:r>
        <w:t xml:space="preserve">represents the set of normative strength, stability, slenderness, joint capacity, and serviceability constraints defined in Sections 2.3 and 2.4.</w:t>
      </w:r>
    </w:p>
    <w:p>
      <w:pPr>
        <w:pStyle w:val="BodyText"/>
      </w:pPr>
      <w:r>
        <w:t xml:space="preserve">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e>
            <m:r>
              <m:t>E</m:t>
            </m:r>
          </m:e>
          <m:sub>
            <m:sSub>
              <m:e>
                <m:r>
                  <m:rPr>
                    <m:nor/>
                  </m:rPr>
                  <m:t>CO</m:t>
                </m:r>
              </m:e>
              <m:sub>
                <m:r>
                  <m:t>2</m:t>
                </m:r>
              </m:sub>
            </m:sSub>
          </m:sub>
        </m:sSub>
      </m:oMath>
      <w:r>
        <w:t xml:space="preserve">) and total material capital cost (</w:t>
      </w:r>
      <m:oMath>
        <m:r>
          <m:t>C</m:t>
        </m:r>
      </m:oMath>
      <w:r>
        <w:t xml:space="preserve">), explicitly incorporating connection hubs, threaded fasteners, and end-zone grout cores (Sections 2.6 and 2.7). This enables an integrated mass–carbon–cost trade-off analysis across alternative material systems.</w:t>
      </w:r>
    </w:p>
    <w:p>
      <w:pPr>
        <w:pStyle w:val="Heading2"/>
      </w:pPr>
      <w:bookmarkStart w:id="20" w:name="_20dd10dd8dbfa69a16a75734c4d3986a84af8e0"/>
      <w:r>
        <w:t xml:space="preserve">2.3 Constraints of the bamboo space dome</w:t>
      </w:r>
      <w:bookmarkEnd w:id="20"/>
    </w:p>
    <w:p>
      <w:pPr>
        <w:pStyle w:val="FirstParagraph"/>
      </w:pPr>
      <w:r>
        <w:t xml:space="preserve">All structural constraint functions are cast in normalized demand-to-capacity (D/C) format,</w:t>
      </w:r>
      <w:r>
        <w:t xml:space="preserve"> </w:t>
      </w:r>
      <m:oMath>
        <m:r>
          <m:t>g</m:t>
        </m:r>
        <m:r>
          <m:rPr>
            <m:sty m:val="p"/>
          </m:rPr>
          <m:t>=</m:t>
        </m:r>
        <m:r>
          <m:rPr>
            <m:sty m:val="p"/>
          </m:rPr>
          <m:t>(</m:t>
        </m:r>
        <m:r>
          <m:rPr>
            <m:nor/>
          </m:rPr>
          <m:t>demand</m:t>
        </m:r>
        <m:r>
          <m:rPr>
            <m:sty m:val="p"/>
          </m:rPr>
          <m:t>/</m:t>
        </m:r>
        <m:r>
          <m:rPr>
            <m:nor/>
          </m:rPr>
          <m:t>capacity</m:t>
        </m:r>
        <m:r>
          <m:rPr>
            <m:sty m:val="p"/>
          </m:rPr>
          <m:t>)</m:t>
        </m:r>
        <m:r>
          <m:rPr>
            <m:sty m:val="p"/>
          </m:rPr>
          <m:t>−</m:t>
        </m:r>
        <m:r>
          <m:t>1</m:t>
        </m:r>
        <m:r>
          <m:rPr>
            <m:sty m:val="p"/>
          </m:rPr>
          <m:t>≤</m:t>
        </m:r>
        <m:r>
          <m:t>0</m:t>
        </m:r>
      </m:oMath>
      <w:r>
        <w:t xml:space="preserve">. Each individual member</w:t>
      </w:r>
      <w:r>
        <w:t xml:space="preserve"> </w:t>
      </w:r>
      <m:oMath>
        <m:r>
          <m:t>i</m:t>
        </m:r>
      </m:oMath>
      <w:r>
        <w:t xml:space="preserve"> </w:t>
      </w:r>
      <w:r>
        <w:t xml:space="preserve">is evaluated across all eight governing allowable stress design (ASD) load combinations</w:t>
      </w:r>
      <w:r>
        <w:t xml:space="preserve"> </w:t>
      </w:r>
      <m:oMath>
        <m:r>
          <m:t>j</m:t>
        </m:r>
        <m:r>
          <m:rPr>
            <m:sty m:val="p"/>
          </m:rPr>
          <m:t>=</m:t>
        </m:r>
        <m:r>
          <m:t>1</m:t>
        </m:r>
        <m:r>
          <m:rPr>
            <m:sty m:val="p"/>
          </m:rPr>
          <m:t>,</m:t>
        </m:r>
        <m:r>
          <m:rPr>
            <m:sty m:val="p"/>
          </m:rPr>
          <m:t>…</m:t>
        </m:r>
        <m:r>
          <m:rPr>
            <m:sty m:val="p"/>
          </m:rPr>
          <m:t>,</m:t>
        </m:r>
        <m:r>
          <m:t>8</m:t>
        </m:r>
      </m:oMath>
      <w:r>
        <w:t xml:space="preserve"> </w:t>
      </w:r>
      <w:r>
        <w:t xml:space="preserve">(Section 3.3). Let</w:t>
      </w:r>
      <w:r>
        <w:t xml:space="preserve"> </w:t>
      </w:r>
      <m:oMath>
        <m:sSub>
          <m:e>
            <m:r>
              <m:t>N</m:t>
            </m:r>
          </m:e>
          <m:sub>
            <m:r>
              <m:t>i</m:t>
            </m:r>
            <m:r>
              <m:t>j</m:t>
            </m:r>
          </m:sub>
        </m:sSub>
      </m:oMath>
      <w:r>
        <w:t xml:space="preserve"> </w:t>
      </w:r>
      <w:r>
        <w:t xml:space="preserve">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m:oMath>
        <m:sSub>
          <m:e>
            <m:r>
              <m:t>x</m:t>
            </m:r>
          </m:e>
          <m:sub>
            <m:r>
              <m:t>k</m:t>
            </m:r>
          </m:sub>
        </m:sSub>
      </m:oMath>
      <w:r>
        <w:t xml:space="preserve"> </w:t>
      </w:r>
      <w:r>
        <w:t xml:space="preserve">represents the characteristic material capacity,</w:t>
      </w:r>
      <w:r>
        <w:t xml:space="preserve"> </w:t>
      </w:r>
      <m:oMath>
        <m:sSub>
          <m:e>
            <m:r>
              <m:t>C</m:t>
            </m:r>
          </m:e>
          <m:sub>
            <m:r>
              <m:t>R</m:t>
            </m:r>
          </m:sub>
        </m:sSub>
      </m:oMath>
      <w:r>
        <w:t xml:space="preserve"> </w:t>
      </w:r>
      <w:r>
        <w:t xml:space="preserve">is the structural redundancy factor,</w:t>
      </w:r>
      <w:r>
        <w:t xml:space="preserve"> </w:t>
      </w:r>
      <m:oMath>
        <m:sSub>
          <m:e>
            <m:r>
              <m:t>C</m:t>
            </m:r>
          </m:e>
          <m:sub>
            <m:r>
              <m:t>D</m:t>
            </m:r>
            <m:r>
              <m:t>F</m:t>
            </m:r>
          </m:sub>
        </m:sSub>
      </m:oMath>
      <w:r>
        <w:t xml:space="preserve"> </w:t>
      </w:r>
      <w:r>
        <w:t xml:space="preserve">is the load-duration adjustment factor,</w:t>
      </w:r>
      <w:r>
        <w:t xml:space="preserve"> </w:t>
      </w:r>
      <m:oMath>
        <m:sSub>
          <m:e>
            <m:r>
              <m:t>C</m:t>
            </m:r>
          </m:e>
          <m:sub>
            <m:r>
              <m:t>T</m:t>
            </m:r>
          </m:sub>
        </m:sSub>
      </m:oMath>
      <w:r>
        <w:t xml:space="preserve"> </w:t>
      </w:r>
      <w:r>
        <w:t xml:space="preserve">is the operational temperature factor, and</w:t>
      </w:r>
      <w:r>
        <w:t xml:space="preserve"> </w:t>
      </w:r>
      <m:oMath>
        <m:r>
          <m:t>F</m:t>
        </m:r>
        <m:r>
          <m:t>S</m:t>
        </m:r>
      </m:oMath>
      <w:r>
        <w:t xml:space="preserve"> </w:t>
      </w:r>
      <w:r>
        <w:t xml:space="preserve">is the prescribed factor of safety (Equation 3.9 in [1]). Computationally, rather than de-rating capacities for each load case, the member axial force is scaled by the combined factor</w:t>
      </w:r>
      <w:r>
        <w:t xml:space="preserve"> </w:t>
      </w:r>
      <m:oMath>
        <m:sSub>
          <m:e>
            <m:r>
              <m:t>k</m:t>
            </m:r>
          </m:e>
          <m:sub>
            <m:r>
              <m:t>j</m:t>
            </m:r>
          </m:sub>
        </m:sSub>
      </m:oMath>
      <w:r>
        <w:t xml:space="preserve">, maintaining identical demand-to-capacity ratios:</w:t>
      </w:r>
    </w:p>
    <w:p>
      <w:pPr>
        <w:pStyle w:val="BodyText"/>
      </w:pPr>
      <m:oMathPara>
        <m:oMathParaPr>
          <m:jc m:val="center"/>
        </m:oMathParaPr>
        <m:oMath>
          <m:sSub>
            <m:e>
              <m:r>
                <m:t>k</m:t>
              </m:r>
            </m:e>
            <m:sub>
              <m:r>
                <m:t>j</m:t>
              </m:r>
            </m:sub>
          </m:sSub>
          <m:r>
            <m:rPr>
              <m:sty m:val="p"/>
            </m:rPr>
            <m:t>=</m:t>
          </m:r>
          <m:f>
            <m:fPr>
              <m:type m:val="bar"/>
            </m:fPr>
            <m:num>
              <m:sSub>
                <m:e>
                  <m:r>
                    <m:t>C</m:t>
                  </m:r>
                </m:e>
                <m:sub>
                  <m:r>
                    <m:t>R</m:t>
                  </m:r>
                </m:sub>
              </m:sSub>
              <m:r>
                <m:t> </m:t>
              </m:r>
              <m:sSub>
                <m:e>
                  <m:r>
                    <m:t>C</m:t>
                  </m:r>
                </m:e>
                <m:sub>
                  <m:r>
                    <m:t>D</m:t>
                  </m:r>
                  <m:r>
                    <m:t>F</m:t>
                  </m:r>
                  <m:r>
                    <m:rPr>
                      <m:sty m:val="p"/>
                    </m:rPr>
                    <m:t>,</m:t>
                  </m:r>
                  <m:r>
                    <m:t>j</m:t>
                  </m:r>
                </m:sub>
              </m:sSub>
              <m:r>
                <m:t> </m:t>
              </m:r>
              <m:sSub>
                <m:e>
                  <m:r>
                    <m:t>C</m:t>
                  </m:r>
                </m:e>
                <m:sub>
                  <m:r>
                    <m:t>T</m:t>
                  </m:r>
                </m:sub>
              </m:sSub>
            </m:num>
            <m:den>
              <m:r>
                <m:t>F</m:t>
              </m:r>
              <m:r>
                <m:t>S</m:t>
              </m:r>
            </m:den>
          </m:f>
          <m:r>
            <m:rPr>
              <m:sty m:val="p"/>
            </m:rPr>
            <m:t>,</m:t>
          </m:r>
          <m:r>
            <m:t>  </m:t>
          </m:r>
          <m:sSub>
            <m:e>
              <m:acc>
                <m:accPr>
                  <m:chr m:val="̃"/>
                </m:accPr>
                <m:e>
                  <m:r>
                    <m:t>N</m:t>
                  </m:r>
                </m:e>
              </m:acc>
            </m:e>
            <m:sub>
              <m:r>
                <m:t>i</m:t>
              </m:r>
              <m:r>
                <m:t>j</m:t>
              </m:r>
            </m:sub>
          </m:sSub>
          <m:r>
            <m:rPr>
              <m:sty m:val="p"/>
            </m:rPr>
            <m:t>=</m:t>
          </m:r>
          <m:f>
            <m:fPr>
              <m:type m:val="bar"/>
            </m:fPr>
            <m:num>
              <m:sSub>
                <m:e>
                  <m:r>
                    <m:t>N</m:t>
                  </m:r>
                </m:e>
                <m:sub>
                  <m:r>
                    <m:t>i</m:t>
                  </m:r>
                  <m:r>
                    <m:t>j</m:t>
                  </m:r>
                </m:sub>
              </m:sSub>
            </m:num>
            <m:den>
              <m:sSub>
                <m:e>
                  <m:r>
                    <m:t>k</m:t>
                  </m:r>
                </m:e>
                <m:sub>
                  <m:r>
                    <m:t>j</m:t>
                  </m:r>
                </m:sub>
              </m:sSub>
            </m:den>
          </m:f>
        </m:oMath>
      </m:oMathPara>
    </w:p>
    <w:p>
      <w:pPr>
        <w:pStyle w:val="FirstParagraph"/>
      </w:pPr>
      <w:r>
        <w:rPr>
          <w:b/>
          <w:bCs/>
        </w:rPr>
        <w:t xml:space="preserve">Tension capacity constraints.</w:t>
      </w:r>
      <w:r>
        <w:t xml:space="preserve"> </w:t>
      </w:r>
      <w:r>
        <w:t xml:space="preserve">The normalized axial tension force is checked against the characteristic parallel-to-fiber tensile capacity:</w:t>
      </w:r>
    </w:p>
    <w:p>
      <w:pPr>
        <w:pStyle w:val="BodyText"/>
      </w:pPr>
      <m:oMathPara>
        <m:oMathParaPr>
          <m:jc m:val="center"/>
        </m:oMathParaPr>
        <m:oMath>
          <m:sSubSup>
            <m:e>
              <m:r>
                <m:t>g</m:t>
              </m:r>
            </m:e>
            <m:sub>
              <m:r>
                <m:t>i</m:t>
              </m:r>
              <m:r>
                <m:t>j</m:t>
              </m:r>
            </m:sub>
            <m:sup>
              <m:r>
                <m:t>t</m:t>
              </m:r>
            </m:sup>
          </m:sSubSup>
          <m:r>
            <m:rPr>
              <m:sty m:val="p"/>
            </m:rPr>
            <m:t>(</m:t>
          </m:r>
          <m:r>
            <m:rPr>
              <m:sty m:val="bi"/>
            </m:rPr>
            <m:t>x</m:t>
          </m:r>
          <m:r>
            <m:rPr>
              <m:sty m:val="p"/>
            </m:rPr>
            <m:t>)</m:t>
          </m:r>
          <m:r>
            <m:rPr>
              <m:sty m:val="p"/>
            </m:rPr>
            <m:t>=</m:t>
          </m:r>
          <m:f>
            <m:fPr>
              <m:type m:val="bar"/>
            </m:fPr>
            <m:num>
              <m:r>
                <m:rPr>
                  <m:sty m:val="p"/>
                </m:rPr>
                <m:t>max</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t</m:t>
                  </m:r>
                  <m:r>
                    <m:rPr>
                      <m:sty m:val="p"/>
                    </m:rPr>
                    <m:t>,</m:t>
                  </m:r>
                  <m:r>
                    <m:t>0</m:t>
                  </m:r>
                  <m:r>
                    <m:rPr>
                      <m:sty m:val="p"/>
                    </m:rPr>
                    <m:t>,</m:t>
                  </m:r>
                  <m:r>
                    <m:t>k</m:t>
                  </m:r>
                </m:sub>
              </m:sSub>
            </m:den>
          </m:f>
          <m:r>
            <m:rPr>
              <m:sty m:val="p"/>
            </m:rPr>
            <m:t>−</m:t>
          </m:r>
          <m:r>
            <m:t>1</m:t>
          </m:r>
          <m:r>
            <m:rPr>
              <m:sty m:val="p"/>
            </m:rPr>
            <m:t>≤</m:t>
          </m:r>
          <m:r>
            <m:t>0</m:t>
          </m:r>
        </m:oMath>
      </m:oMathPara>
    </w:p>
    <w:p>
      <w:pPr>
        <w:pStyle w:val="FirstParagraph"/>
      </w:pPr>
      <w:r>
        <w:t xml:space="preserve">where</w:t>
      </w:r>
      <w:r>
        <w:t xml:space="preserve"> </w:t>
      </w:r>
      <m:oMath>
        <m:sSub>
          <m:e>
            <m:r>
              <m:t>f</m:t>
            </m:r>
          </m:e>
          <m:sub>
            <m:r>
              <m:t>t</m:t>
            </m:r>
            <m:r>
              <m:rPr>
                <m:sty m:val="p"/>
              </m:rPr>
              <m:t>,</m:t>
            </m:r>
            <m:r>
              <m:t>0</m:t>
            </m:r>
            <m:r>
              <m:rPr>
                <m:sty m:val="p"/>
              </m:rPr>
              <m:t>,</m:t>
            </m:r>
            <m:r>
              <m:t>k</m:t>
            </m:r>
          </m:sub>
        </m:sSub>
      </m:oMath>
      <w:r>
        <w:t xml:space="preserve"> </w:t>
      </w:r>
      <w:r>
        <w:t xml:space="preserve">is the characteristic tensile strength of the culm.</w:t>
      </w:r>
    </w:p>
    <w:p>
      <w:pPr>
        <w:pStyle w:val="BodyText"/>
      </w:pPr>
      <w:r>
        <w:rPr>
          <w:b/>
          <w:bCs/>
        </w:rPr>
        <w:t xml:space="preserve">Compression and flexural column buckling constraints.</w:t>
      </w:r>
      <w:r>
        <w:t xml:space="preserve"> </w:t>
      </w:r>
      <w:r>
        <w:t xml:space="preserve">Axial compression is checked against the characteristic critical buckling stress</w:t>
      </w:r>
      <w:r>
        <w:t xml:space="preserve"> </w:t>
      </w:r>
      <m:oMath>
        <m:sSub>
          <m:e>
            <m:r>
              <m:t>f</m:t>
            </m:r>
          </m:e>
          <m:sub>
            <m:r>
              <m:t>c</m:t>
            </m:r>
            <m:r>
              <m:t>r</m:t>
            </m:r>
            <m:r>
              <m:rPr>
                <m:sty m:val="p"/>
              </m:rPr>
              <m:t>,</m:t>
            </m:r>
            <m:r>
              <m:t>i</m:t>
            </m:r>
          </m:sub>
        </m:sSub>
      </m:oMath>
      <w:r>
        <w:t xml:space="preserve"> </w:t>
      </w:r>
      <w:r>
        <w:t xml:space="preserve">governed by Ylinen’s non-linear column formulation [1, 12, 36]:</w:t>
      </w:r>
    </w:p>
    <w:p>
      <w:pPr>
        <w:pStyle w:val="BodyText"/>
      </w:pPr>
      <m:oMathPara>
        <m:oMathParaPr>
          <m:jc m:val="center"/>
        </m:oMathParaPr>
        <m:oMath>
          <m:sSubSup>
            <m:e>
              <m:r>
                <m:t>g</m:t>
              </m:r>
            </m:e>
            <m:sub>
              <m:r>
                <m:t>i</m:t>
              </m:r>
              <m:r>
                <m:t>j</m:t>
              </m:r>
            </m:sub>
            <m:sup>
              <m:r>
                <m:t>c</m:t>
              </m:r>
            </m:sup>
          </m:sSubSup>
          <m:r>
            <m:rPr>
              <m:sty m:val="p"/>
            </m:rPr>
            <m:t>(</m:t>
          </m:r>
          <m:r>
            <m:rPr>
              <m:sty m:val="bi"/>
            </m:rPr>
            <m:t>x</m:t>
          </m:r>
          <m:r>
            <m:rPr>
              <m:sty m:val="p"/>
            </m:rPr>
            <m:t>)</m:t>
          </m:r>
          <m:r>
            <m:rPr>
              <m:sty m:val="p"/>
            </m:rPr>
            <m:t>=</m:t>
          </m:r>
          <m:f>
            <m:fPr>
              <m:type m:val="bar"/>
            </m:fPr>
            <m:num>
              <m:r>
                <m:rPr>
                  <m:sty m:val="p"/>
                </m:rPr>
                <m:t>max</m:t>
              </m:r>
              <m:r>
                <m:rPr>
                  <m:sty m:val="p"/>
                </m:rPr>
                <m:t>(</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c</m:t>
                  </m:r>
                  <m:r>
                    <m:t>r</m:t>
                  </m:r>
                  <m:r>
                    <m:rPr>
                      <m:sty m:val="p"/>
                    </m:rPr>
                    <m:t>,</m:t>
                  </m:r>
                  <m:r>
                    <m:t>i</m:t>
                  </m:r>
                </m:sub>
              </m:sSub>
            </m:den>
          </m:f>
          <m:r>
            <m:rPr>
              <m:sty m:val="p"/>
            </m:rPr>
            <m:t>−</m:t>
          </m:r>
          <m:r>
            <m:t>1</m:t>
          </m:r>
          <m:r>
            <m:rPr>
              <m:sty m:val="p"/>
            </m:rPr>
            <m:t>≤</m:t>
          </m:r>
          <m:r>
            <m:t>0</m:t>
          </m:r>
        </m:oMath>
      </m:oMathPara>
    </w:p>
    <w:p>
      <w:pPr>
        <w:pStyle w:val="FirstParagraph"/>
      </w:pPr>
      <m:oMathPara>
        <m:oMathParaPr>
          <m:jc m:val="center"/>
        </m:oMathParaPr>
        <m:oMath>
          <m:sSub>
            <m:e>
              <m:r>
                <m:t>f</m:t>
              </m:r>
            </m:e>
            <m:sub>
              <m:r>
                <m:t>c</m:t>
              </m:r>
              <m:r>
                <m:t>r</m:t>
              </m:r>
              <m:r>
                <m:rPr>
                  <m:sty m:val="p"/>
                </m:rPr>
                <m:t>,</m:t>
              </m:r>
              <m:r>
                <m:t>i</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r>
                        <m:rPr>
                          <m:sty m:val="p"/>
                        </m:rPr>
                        <m:t>,</m:t>
                      </m:r>
                      <m:r>
                        <m:t>i</m:t>
                      </m:r>
                    </m:sub>
                  </m:sSub>
                </m:num>
                <m:den>
                  <m:r>
                    <m:t>c</m:t>
                  </m:r>
                </m:den>
              </m:f>
            </m:e>
          </m:rad>
        </m:oMath>
      </m:oMathPara>
    </w:p>
    <w:p>
      <w:pPr>
        <w:pStyle w:val="FirstParagraph"/>
      </w:pPr>
      <m:oMathPara>
        <m:oMathParaPr>
          <m:jc m:val="center"/>
        </m:oMathParaPr>
        <m:oMath>
          <m:sSub>
            <m:e>
              <m:r>
                <m:t>f</m:t>
              </m:r>
            </m:e>
            <m:sub>
              <m:r>
                <m:t>e</m:t>
              </m:r>
              <m:r>
                <m:rPr>
                  <m:sty m:val="p"/>
                </m:rPr>
                <m:t>,</m:t>
              </m:r>
              <m:r>
                <m:t>i</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bSup>
                <m:e>
                  <m:r>
                    <m:t>λ</m:t>
                  </m:r>
                </m:e>
                <m:sub>
                  <m:r>
                    <m:t>i</m:t>
                  </m:r>
                </m:sub>
                <m:sup>
                  <m:r>
                    <m:t>2</m:t>
                  </m:r>
                </m:sup>
              </m:sSubSup>
            </m:den>
          </m:f>
          <m:r>
            <m:rPr>
              <m:sty m:val="p"/>
            </m:rPr>
            <m:t>,</m:t>
          </m:r>
          <m:r>
            <m:t>  </m:t>
          </m:r>
          <m:sSub>
            <m:e>
              <m:r>
                <m:t>λ</m:t>
              </m:r>
            </m:e>
            <m:sub>
              <m:r>
                <m:t>i</m:t>
              </m:r>
            </m:sub>
          </m:sSub>
          <m:r>
            <m:rPr>
              <m:sty m:val="p"/>
            </m:rPr>
            <m:t>=</m:t>
          </m:r>
          <m:f>
            <m:fPr>
              <m:type m:val="bar"/>
            </m:fPr>
            <m:num>
              <m:r>
                <m:t>K</m:t>
              </m:r>
              <m:r>
                <m:t> </m:t>
              </m:r>
              <m:sSub>
                <m:e>
                  <m:r>
                    <m:t>L</m:t>
                  </m:r>
                </m:e>
                <m:sub>
                  <m:r>
                    <m:t>i</m:t>
                  </m:r>
                </m:sub>
              </m:sSub>
            </m:num>
            <m:den>
              <m:sSub>
                <m:e>
                  <m:r>
                    <m:t>r</m:t>
                  </m:r>
                </m:e>
                <m:sub>
                  <m:r>
                    <m:t>i</m:t>
                  </m:r>
                </m:sub>
              </m:sSub>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m:oMath>
        <m:sSub>
          <m:e>
            <m:r>
              <m:t>f</m:t>
            </m:r>
          </m:e>
          <m:sub>
            <m:r>
              <m:t>c</m:t>
            </m:r>
            <m:r>
              <m:rPr>
                <m:sty m:val="p"/>
              </m:rPr>
              <m:t>,</m:t>
            </m:r>
            <m:r>
              <m:t>0</m:t>
            </m:r>
            <m:r>
              <m:rPr>
                <m:sty m:val="p"/>
              </m:rPr>
              <m:t>,</m:t>
            </m:r>
            <m:r>
              <m:t>k</m:t>
            </m:r>
          </m:sub>
        </m:sSub>
      </m:oMath>
      <w:r>
        <w:t xml:space="preserve"> </w:t>
      </w:r>
      <w:r>
        <w:t xml:space="preserve">is the characteristic parallel compressive strength,</w:t>
      </w:r>
      <w:r>
        <w:t xml:space="preserve"> </w:t>
      </w:r>
      <m:oMath>
        <m:sSub>
          <m:e>
            <m:r>
              <m:t>E</m:t>
            </m:r>
          </m:e>
          <m:sub>
            <m:r>
              <m:t>k</m:t>
            </m:r>
          </m:sub>
        </m:sSub>
      </m:oMath>
      <w:r>
        <w:t xml:space="preserve"> </w:t>
      </w:r>
      <w:r>
        <w:t xml:space="preserve">is the characteristic elastic modulus,</w:t>
      </w:r>
      <w:r>
        <w:t xml:space="preserve"> </w:t>
      </w:r>
      <m:oMath>
        <m:r>
          <m:t>c</m:t>
        </m:r>
      </m:oMath>
      <w:r>
        <w:t xml:space="preserve"> </w:t>
      </w:r>
      <w:r>
        <w:t xml:space="preserve">is the dimensionless Ylinen interaction constant,</w:t>
      </w:r>
      <w:r>
        <w:t xml:space="preserve"> </w:t>
      </w:r>
      <m:oMath>
        <m:sSub>
          <m:e>
            <m:r>
              <m:t>λ</m:t>
            </m:r>
          </m:e>
          <m:sub>
            <m:r>
              <m:t>i</m:t>
            </m:r>
          </m:sub>
        </m:sSub>
      </m:oMath>
      <w:r>
        <w:t xml:space="preserve"> </w:t>
      </w:r>
      <w:r>
        <w:t xml:space="preserve">is column slenderness,</w:t>
      </w:r>
      <w:r>
        <w:t xml:space="preserve"> </w:t>
      </w:r>
      <m:oMath>
        <m:r>
          <m:t>K</m:t>
        </m:r>
      </m:oMath>
      <w:r>
        <w:t xml:space="preserve"> </w:t>
      </w:r>
      <w:r>
        <w:t xml:space="preserve">is the effective length factor (</w:t>
      </w:r>
      <m:oMath>
        <m:r>
          <m:t>K</m:t>
        </m:r>
        <m:r>
          <m:rPr>
            <m:sty m:val="p"/>
          </m:rPr>
          <m:t>=</m:t>
        </m:r>
        <m:r>
          <m:t>1.0</m:t>
        </m:r>
      </m:oMath>
      <w:r>
        <w:t xml:space="preserve"> </w:t>
      </w:r>
      <w:r>
        <w:t xml:space="preserve">for pinned ends),</w:t>
      </w:r>
      <w:r>
        <w:t xml:space="preserve"> </w:t>
      </w:r>
      <m:oMath>
        <m:sSub>
          <m:e>
            <m:r>
              <m:t>r</m:t>
            </m:r>
          </m:e>
          <m:sub>
            <m:r>
              <m:t>i</m:t>
            </m:r>
          </m:sub>
        </m:sSub>
      </m:oMath>
      <w:r>
        <w:t xml:space="preserve"> </w:t>
      </w:r>
      <w:r>
        <w:t xml:space="preserve">is the radius of gyration, and</w:t>
      </w:r>
      <w:r>
        <w:t xml:space="preserve"> </w:t>
      </w:r>
      <m:oMath>
        <m:sSub>
          <m:e>
            <m:r>
              <m:t>C</m:t>
            </m:r>
          </m:e>
          <m:sub>
            <m:r>
              <m:t>b</m:t>
            </m:r>
            <m:r>
              <m:t>o</m:t>
            </m:r>
            <m:r>
              <m:t>w</m:t>
            </m:r>
          </m:sub>
        </m:sSub>
      </m:oMath>
      <w:r>
        <w:t xml:space="preserve"> </w:t>
      </w:r>
      <w:r>
        <w:t xml:space="preserve">is the reduction factor accounting for initial culm crookedness (</w:t>
      </w:r>
      <m:oMath>
        <m:sSub>
          <m:e>
            <m:r>
              <m:t>b</m:t>
            </m:r>
          </m:e>
          <m:sub>
            <m:r>
              <m:t>0</m:t>
            </m:r>
          </m:sub>
        </m:sSub>
      </m:oMath>
      <w:r>
        <w:t xml:space="preserve">). Experimental validation of column buckling behavior and Ylinen constants for Guadua culms is detailed by Bahtiar et al. [12], while complete mechanical derivations are provided in Supplementary Material Appendix S3.</w:t>
      </w:r>
    </w:p>
    <w:p>
      <w:pPr>
        <w:pStyle w:val="BodyText"/>
      </w:pPr>
      <w:r>
        <w:rPr>
          <w:b/>
          <w:bCs/>
        </w:rPr>
        <w:t xml:space="preserve">Geometric slenderness constraints.</w:t>
      </w:r>
      <w:r>
        <w:t xml:space="preserve"> </w:t>
      </w:r>
      <w:r>
        <w:t xml:space="preserve">To prevent excessive flexibility during transport, erection, and service life, maximum slenderness is constrained according to Title G of the Colombian seismic building code NSR-10 [37]:</w:t>
      </w:r>
    </w:p>
    <w:p>
      <w:pPr>
        <w:pStyle w:val="BodyText"/>
      </w:pPr>
      <m:oMathPara>
        <m:oMathParaPr>
          <m:jc m:val="center"/>
        </m:oMathParaPr>
        <m:oMath>
          <m:sSubSup>
            <m:e>
              <m:r>
                <m:t>g</m:t>
              </m:r>
            </m:e>
            <m:sub>
              <m:r>
                <m:t>i</m:t>
              </m:r>
            </m:sub>
            <m:sup>
              <m:r>
                <m:t>s</m:t>
              </m:r>
            </m:sup>
          </m:sSubSup>
          <m:r>
            <m:rPr>
              <m:sty m:val="p"/>
            </m:rPr>
            <m:t>(</m:t>
          </m:r>
          <m:r>
            <m:rPr>
              <m:sty m:val="bi"/>
            </m:rPr>
            <m:t>x</m:t>
          </m:r>
          <m:r>
            <m:rPr>
              <m:sty m:val="p"/>
            </m:rPr>
            <m:t>)</m:t>
          </m:r>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where</w:t>
      </w:r>
      <w:r>
        <w:t xml:space="preserve"> </w:t>
      </w:r>
      <m:oMath>
        <m:sSub>
          <m:e>
            <m:r>
              <m:t>λ</m:t>
            </m:r>
          </m:e>
          <m:sub>
            <m:r>
              <m:t>m</m:t>
            </m:r>
            <m:r>
              <m:t>a</m:t>
            </m:r>
            <m:r>
              <m:t>x</m:t>
            </m:r>
          </m:sub>
        </m:sSub>
        <m:r>
          <m:rPr>
            <m:sty m:val="p"/>
          </m:rPr>
          <m:t>=</m:t>
        </m:r>
        <m:r>
          <m:t>150</m:t>
        </m:r>
      </m:oMath>
      <w:r>
        <w:t xml:space="preserve"> </w:t>
      </w:r>
      <w:r>
        <w:t xml:space="preserve">is enforced across all structural elements as a conservative bound.</w:t>
      </w:r>
    </w:p>
    <w:p>
      <w:pPr>
        <w:pStyle w:val="BodyText"/>
      </w:pPr>
      <w:r>
        <w:rPr>
          <w:b/>
          <w:bCs/>
        </w:rPr>
        <w:t xml:space="preserve">Connection capacity constraints.</w:t>
      </w:r>
      <w:r>
        <w:t xml:space="preserve"> </w:t>
      </w:r>
      <w:r>
        <w:t xml:space="preserve">Connection load-carrying capacity is evaluated using unscaled elastic forces, as codified bolt allowable values already incorporate internal factors of safety:</w:t>
      </w:r>
    </w:p>
    <w:p>
      <w:pPr>
        <w:pStyle w:val="BodyText"/>
      </w:pPr>
      <m:oMathPara>
        <m:oMathParaPr>
          <m:jc m:val="center"/>
        </m:oMathParaPr>
        <m:oMath>
          <m:sSubSup>
            <m:e>
              <m:r>
                <m:t>g</m:t>
              </m:r>
            </m:e>
            <m:sub>
              <m:r>
                <m:t>i</m:t>
              </m:r>
              <m:r>
                <m:t>j</m:t>
              </m:r>
            </m:sub>
            <m:sup>
              <m:r>
                <m:t>n</m:t>
              </m:r>
            </m:sup>
          </m:sSubSup>
          <m:r>
            <m:rPr>
              <m:sty m:val="p"/>
            </m:rPr>
            <m:t>(</m:t>
          </m:r>
          <m:r>
            <m:rPr>
              <m:sty m:val="bi"/>
            </m:rPr>
            <m:t>x</m:t>
          </m:r>
          <m:r>
            <m:rPr>
              <m:sty m:val="p"/>
            </m:rPr>
            <m:t>)</m:t>
          </m:r>
          <m:r>
            <m:rPr>
              <m:sty m:val="p"/>
            </m:rPr>
            <m:t>=</m:t>
          </m:r>
          <m:f>
            <m:fPr>
              <m:type m:val="bar"/>
            </m:fPr>
            <m:num>
              <m:r>
                <m:rPr>
                  <m:sty m:val="p"/>
                </m:rPr>
                <m:t>|</m:t>
              </m:r>
              <m:sSub>
                <m:e>
                  <m:r>
                    <m:t>N</m:t>
                  </m:r>
                </m:e>
                <m:sub>
                  <m:r>
                    <m:t>i</m:t>
                  </m:r>
                  <m:r>
                    <m:t>j</m:t>
                  </m:r>
                </m:sub>
              </m:sSub>
              <m:r>
                <m:rPr>
                  <m:sty m:val="p"/>
                </m:rPr>
                <m:t>|</m:t>
              </m:r>
            </m:num>
            <m:den>
              <m:sSub>
                <m:e>
                  <m:r>
                    <m:t>F</m:t>
                  </m:r>
                </m:e>
                <m:sub>
                  <m:r>
                    <m:t>j</m:t>
                  </m:r>
                  <m:r>
                    <m:rPr>
                      <m:sty m:val="p"/>
                    </m:rPr>
                    <m:t>,</m:t>
                  </m:r>
                  <m:r>
                    <m:t>R</m:t>
                  </m:r>
                  <m:r>
                    <m:t>d</m:t>
                  </m:r>
                </m:sub>
              </m:sSub>
            </m:den>
          </m:f>
          <m:r>
            <m:rPr>
              <m:sty m:val="p"/>
            </m:rPr>
            <m:t>−</m:t>
          </m:r>
          <m:r>
            <m:t>1</m:t>
          </m:r>
          <m:r>
            <m:rPr>
              <m:sty m:val="p"/>
            </m:rPr>
            <m:t>≤</m:t>
          </m:r>
          <m:r>
            <m:t>0</m:t>
          </m:r>
          <m:r>
            <m:rPr>
              <m:sty m:val="p"/>
            </m:rPr>
            <m:t>,</m:t>
          </m:r>
          <m:r>
            <m:t>  </m:t>
          </m:r>
          <m:sSub>
            <m:e>
              <m:r>
                <m:t>F</m:t>
              </m:r>
            </m:e>
            <m:sub>
              <m:r>
                <m:t>j</m:t>
              </m:r>
              <m:r>
                <m:rPr>
                  <m:sty m:val="p"/>
                </m:rPr>
                <m:t>,</m:t>
              </m:r>
              <m:r>
                <m:t>R</m:t>
              </m:r>
              <m:r>
                <m:t>d</m:t>
              </m:r>
            </m:sub>
          </m:sSub>
          <m:r>
            <m:rPr>
              <m:sty m:val="p"/>
            </m:rPr>
            <m:t>=</m:t>
          </m:r>
          <m:sSub>
            <m:e>
              <m:r>
                <m:t>n</m:t>
              </m:r>
            </m:e>
            <m:sub>
              <m:r>
                <m:t>b</m:t>
              </m:r>
              <m:r>
                <m:t>o</m:t>
              </m:r>
              <m:r>
                <m:t>l</m:t>
              </m:r>
              <m:r>
                <m:t>t</m:t>
              </m:r>
            </m:sub>
          </m:sSub>
          <m:r>
            <m:t> </m:t>
          </m:r>
          <m:sSub>
            <m:e>
              <m:r>
                <m:t>F</m:t>
              </m:r>
            </m:e>
            <m:sub>
              <m:r>
                <m:t>b</m:t>
              </m:r>
              <m:r>
                <m:t>o</m:t>
              </m:r>
              <m:r>
                <m:t>l</m:t>
              </m:r>
              <m:r>
                <m:t>t</m:t>
              </m:r>
              <m:r>
                <m:rPr>
                  <m:sty m:val="p"/>
                </m:rPr>
                <m:t>,</m:t>
              </m:r>
              <m:r>
                <m:t>a</m:t>
              </m:r>
              <m:r>
                <m:t>d</m:t>
              </m:r>
              <m:r>
                <m:t>m</m:t>
              </m:r>
            </m:sub>
          </m:sSub>
          <m:r>
            <m:t> </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oMath>
      <w:r>
        <w:t xml:space="preserve"> </w:t>
      </w:r>
      <w:r>
        <w:t xml:space="preserve">is the allowable double-shear capacity of a single steel bolt embedded in a mortared bamboo culm based on NSR-10 (Table G.12.11-2 [37]) and empirical connection tests on Guadua culms [11],</w:t>
      </w:r>
      <w:r>
        <w:t xml:space="preserve"> </w:t>
      </w:r>
      <m:oMath>
        <m:sSub>
          <m:e>
            <m:r>
              <m:t>n</m:t>
            </m:r>
          </m:e>
          <m:sub>
            <m:r>
              <m:t>b</m:t>
            </m:r>
            <m:r>
              <m:t>o</m:t>
            </m:r>
            <m:r>
              <m:t>l</m:t>
            </m:r>
            <m:r>
              <m:t>t</m:t>
            </m:r>
          </m:sub>
        </m:sSub>
      </m:oMath>
      <w:r>
        <w:t xml:space="preserve"> </w:t>
      </w:r>
      <w:r>
        <w:t xml:space="preserve">is the number of through-bolts per member end, and</w:t>
      </w:r>
      <w:r>
        <w:t xml:space="preserve"> </w:t>
      </w:r>
      <m:oMath>
        <m:sSub>
          <m:e>
            <m:r>
              <m:t>C</m:t>
            </m:r>
          </m:e>
          <m:sub>
            <m:r>
              <m:t>g</m:t>
            </m:r>
          </m:sub>
        </m:sSub>
      </m:oMath>
      <w:r>
        <w:t xml:space="preserve"> </w:t>
      </w:r>
      <w:r>
        <w:t xml:space="preserve">is the bolt group modification factor (Table G.12.11-3 of NSR-10).</w:t>
      </w:r>
    </w:p>
    <w:p>
      <w:pPr>
        <w:pStyle w:val="BodyText"/>
      </w:pPr>
      <w:r>
        <w:rPr>
          <w:b/>
          <w:bCs/>
        </w:rPr>
        <w:t xml:space="preserve">Serviceability deflection constraints.</w:t>
      </w:r>
      <w:r>
        <w:t xml:space="preserve"> </w:t>
      </w:r>
      <w:r>
        <w:t xml:space="preserve">Overall structural serviceability is governed by the peak nodal translation across all active load combinations:</w:t>
      </w:r>
    </w:p>
    <w:p>
      <w:pPr>
        <w:pStyle w:val="BodyText"/>
      </w:pPr>
      <m:oMathPara>
        <m:oMathParaPr>
          <m:jc m:val="center"/>
        </m:oMathParaPr>
        <m:oMath>
          <m:sSup>
            <m:e>
              <m:r>
                <m:t>g</m:t>
              </m:r>
            </m:e>
            <m:sup>
              <m:r>
                <m:t>u</m:t>
              </m:r>
            </m:sup>
          </m:sSup>
          <m:r>
            <m:rPr>
              <m:sty m:val="p"/>
            </m:rPr>
            <m:t>(</m:t>
          </m:r>
          <m:r>
            <m:rPr>
              <m:sty m:val="bi"/>
            </m:rPr>
            <m:t>x</m:t>
          </m:r>
          <m:r>
            <m:rPr>
              <m:sty m:val="p"/>
            </m:rPr>
            <m:t>)</m:t>
          </m:r>
          <m:r>
            <m:rPr>
              <m:sty m:val="p"/>
            </m:rPr>
            <m:t>=</m:t>
          </m:r>
          <m:f>
            <m:fPr>
              <m:type m:val="bar"/>
            </m:fPr>
            <m:num>
              <m:sSub>
                <m:e>
                  <m:r>
                    <m:t>u</m:t>
                  </m:r>
                </m:e>
                <m:sub>
                  <m:r>
                    <m:t>m</m:t>
                  </m:r>
                  <m:r>
                    <m:t>a</m:t>
                  </m:r>
                  <m:r>
                    <m:t>x</m:t>
                  </m:r>
                </m:sub>
              </m:sSub>
              <m:r>
                <m:rPr>
                  <m:sty m:val="p"/>
                </m:rPr>
                <m:t>(</m:t>
              </m:r>
              <m:r>
                <m:rPr>
                  <m:sty m:val="bi"/>
                </m:rPr>
                <m:t>x</m:t>
              </m:r>
              <m:r>
                <m:rPr>
                  <m:sty m:val="p"/>
                </m:rPr>
                <m:t>)</m:t>
              </m:r>
            </m:num>
            <m:den>
              <m:sSub>
                <m:e>
                  <m:r>
                    <m:t>u</m:t>
                  </m:r>
                </m:e>
                <m:sub>
                  <m:r>
                    <m:t>l</m:t>
                  </m:r>
                  <m:r>
                    <m:t>i</m:t>
                  </m:r>
                  <m:r>
                    <m:t>m</m:t>
                  </m:r>
                </m:sub>
              </m:sSub>
            </m:den>
          </m:f>
          <m:r>
            <m:rPr>
              <m:sty m:val="p"/>
            </m:rPr>
            <m:t>−</m:t>
          </m:r>
          <m:r>
            <m:t>1</m:t>
          </m:r>
          <m:r>
            <m:rPr>
              <m:sty m:val="p"/>
            </m:rPr>
            <m:t>≤</m:t>
          </m:r>
          <m:r>
            <m:t>0</m:t>
          </m:r>
        </m:oMath>
      </m:oMathPara>
    </w:p>
    <w:p>
      <w:pPr>
        <w:pStyle w:val="FirstParagraph"/>
      </w:pPr>
      <w:r>
        <w:t xml:space="preserve">where</w:t>
      </w:r>
      <w:r>
        <w:t xml:space="preserve"> </w:t>
      </w:r>
      <m:oMath>
        <m:sSub>
          <m:e>
            <m:r>
              <m:t>u</m:t>
            </m:r>
          </m:e>
          <m:sub>
            <m:r>
              <m:t>m</m:t>
            </m:r>
            <m:r>
              <m:t>a</m:t>
            </m:r>
            <m:r>
              <m:t>x</m:t>
            </m:r>
          </m:sub>
        </m:sSub>
        <m:r>
          <m:rPr>
            <m:sty m:val="p"/>
          </m:rPr>
          <m:t>(</m:t>
        </m:r>
        <m:r>
          <m:rPr>
            <m:sty m:val="bi"/>
          </m:rPr>
          <m:t>x</m:t>
        </m:r>
        <m:r>
          <m:rPr>
            <m:sty m:val="p"/>
          </m:rPr>
          <m:t>)</m:t>
        </m:r>
      </m:oMath>
      <w:r>
        <w:t xml:space="preserve"> </w:t>
      </w:r>
      <w:r>
        <w:t xml:space="preserve">is the maximum spatial displacement component among all unrestrained nodes, and</w:t>
      </w:r>
      <w:r>
        <w:t xml:space="preserve"> </w:t>
      </w:r>
      <m:oMath>
        <m:sSub>
          <m:e>
            <m:r>
              <m:t>u</m:t>
            </m:r>
          </m:e>
          <m:sub>
            <m:r>
              <m:t>l</m:t>
            </m:r>
            <m:r>
              <m:t>i</m:t>
            </m:r>
            <m:r>
              <m:t>m</m:t>
            </m:r>
          </m:sub>
        </m:sSub>
        <m:r>
          <m:rPr>
            <m:sty m:val="p"/>
          </m:rPr>
          <m:t>=</m:t>
        </m:r>
        <m:r>
          <m:rPr>
            <m:nor/>
          </m:rPr>
          <m:t>span</m:t>
        </m:r>
        <m:r>
          <m:rPr>
            <m:sty m:val="p"/>
          </m:rPr>
          <m:t>/</m:t>
        </m:r>
        <m:r>
          <m:t>150</m:t>
        </m:r>
      </m:oMath>
      <w:r>
        <w:t xml:space="preserve"> </w:t>
      </w:r>
      <w:r>
        <w:t xml:space="preserve">is the serviceability deflection limit adopted following general design recommendations in the IStructE bamboo design manual [1].</w:t>
      </w:r>
    </w:p>
    <w:p>
      <w:pPr>
        <w:pStyle w:val="Heading2"/>
      </w:pPr>
      <w:bookmarkStart w:id="21" w:name="_221dbbd4c041532aaade2e58eb4d4a2a336a165"/>
      <w:r>
        <w:t xml:space="preserve">2.4 Constraints of the steel space dome</w:t>
      </w:r>
      <w:bookmarkEnd w:id="21"/>
    </w:p>
    <w:p>
      <w:pPr>
        <w:pStyle w:val="FirstParagraph"/>
      </w:pPr>
      <w:r>
        <w:t xml:space="preserve">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pPr>
        <w:pStyle w:val="BodyText"/>
      </w:pPr>
      <m:oMathPara>
        <m:oMathParaPr>
          <m:jc m:val="center"/>
        </m:oMathParaPr>
        <m:oMath>
          <m:sSubSup>
            <m:e>
              <m:r>
                <m:t>g</m:t>
              </m:r>
            </m:e>
            <m:sub>
              <m:r>
                <m:t>i</m:t>
              </m:r>
              <m:r>
                <m:t>j</m:t>
              </m:r>
            </m:sub>
            <m:sup>
              <m:r>
                <m:t>t</m:t>
              </m:r>
            </m:sup>
          </m:sSubSup>
          <m:r>
            <m:rPr>
              <m:sty m:val="p"/>
            </m:rPr>
            <m:t>=</m:t>
          </m:r>
          <m:f>
            <m:fPr>
              <m:type m:val="bar"/>
            </m:fPr>
            <m:num>
              <m:r>
                <m:rPr>
                  <m:sty m:val="p"/>
                </m:rPr>
                <m:t>max</m:t>
              </m:r>
              <m:r>
                <m:rPr>
                  <m:sty m:val="p"/>
                </m:rPr>
                <m:t>(</m:t>
              </m:r>
              <m:sSub>
                <m:e>
                  <m:r>
                    <m:t>N</m:t>
                  </m:r>
                </m:e>
                <m:sub>
                  <m:r>
                    <m:t>i</m:t>
                  </m:r>
                  <m:r>
                    <m:t>j</m:t>
                  </m:r>
                </m:sub>
              </m:sSub>
              <m:r>
                <m:rPr>
                  <m:sty m:val="p"/>
                </m:rPr>
                <m:t>,</m:t>
              </m:r>
              <m:r>
                <m:t>0</m:t>
              </m:r>
              <m:r>
                <m:rPr>
                  <m:sty m:val="p"/>
                </m:rPr>
                <m:t>)</m:t>
              </m:r>
            </m:num>
            <m:den>
              <m:r>
                <m:t>0.6</m:t>
              </m:r>
              <m:r>
                <m:t> </m:t>
              </m:r>
              <m:sSub>
                <m:e>
                  <m:r>
                    <m:t>F</m:t>
                  </m:r>
                </m:e>
                <m:sub>
                  <m:r>
                    <m:t>y</m:t>
                  </m:r>
                </m:sub>
              </m:sSub>
              <m:r>
                <m:t> </m:t>
              </m:r>
              <m:sSub>
                <m:e>
                  <m:r>
                    <m:t>A</m:t>
                  </m:r>
                </m:e>
                <m:sub>
                  <m:r>
                    <m:t>i</m:t>
                  </m:r>
                </m:sub>
              </m:sSub>
            </m:den>
          </m:f>
          <m:r>
            <m:rPr>
              <m:sty m:val="p"/>
            </m:rPr>
            <m:t>−</m:t>
          </m:r>
          <m:r>
            <m:t>1</m:t>
          </m:r>
          <m:r>
            <m:rPr>
              <m:sty m:val="p"/>
            </m:rPr>
            <m:t>≤</m:t>
          </m:r>
          <m:r>
            <m:t>0</m:t>
          </m:r>
          <m:r>
            <m:rPr>
              <m:sty m:val="p"/>
            </m:rPr>
            <m:t>,</m:t>
          </m:r>
          <m:r>
            <m:t>  </m:t>
          </m:r>
          <m:sSubSup>
            <m:e>
              <m:r>
                <m:t>g</m:t>
              </m:r>
            </m:e>
            <m:sub>
              <m:r>
                <m:t>i</m:t>
              </m:r>
              <m:r>
                <m:t>j</m:t>
              </m:r>
            </m:sub>
            <m:sup>
              <m:r>
                <m:t>c</m:t>
              </m:r>
            </m:sup>
          </m:sSubSup>
          <m:r>
            <m:rPr>
              <m:sty m:val="p"/>
            </m:rPr>
            <m:t>=</m:t>
          </m:r>
          <m:f>
            <m:fPr>
              <m:type m:val="bar"/>
            </m:fPr>
            <m:num>
              <m:r>
                <m:rPr>
                  <m:sty m:val="p"/>
                </m:rPr>
                <m:t>max</m:t>
              </m:r>
              <m:r>
                <m:rPr>
                  <m:sty m:val="p"/>
                </m:rPr>
                <m:t>(</m:t>
              </m:r>
              <m:r>
                <m:rPr>
                  <m:sty m:val="p"/>
                </m:rPr>
                <m:t>−</m:t>
              </m:r>
              <m:sSub>
                <m:e>
                  <m:r>
                    <m:t>N</m:t>
                  </m:r>
                </m:e>
                <m:sub>
                  <m:r>
                    <m:t>i</m:t>
                  </m:r>
                  <m:r>
                    <m:t>j</m:t>
                  </m:r>
                </m:sub>
              </m:sSub>
              <m:r>
                <m:rPr>
                  <m:sty m:val="p"/>
                </m:rPr>
                <m:t>,</m:t>
              </m:r>
              <m:r>
                <m:t>0</m:t>
              </m:r>
              <m:r>
                <m:rPr>
                  <m:sty m:val="p"/>
                </m:rPr>
                <m:t>)</m:t>
              </m:r>
            </m:num>
            <m:den>
              <m:sSub>
                <m:e>
                  <m:r>
                    <m:t>F</m:t>
                  </m:r>
                </m:e>
                <m:sub>
                  <m:r>
                    <m:t>a</m:t>
                  </m:r>
                  <m:r>
                    <m:rPr>
                      <m:sty m:val="p"/>
                    </m:rPr>
                    <m:t>,</m:t>
                  </m:r>
                  <m:r>
                    <m:t>i</m:t>
                  </m:r>
                </m:sub>
              </m:sSub>
              <m:r>
                <m:t> </m:t>
              </m:r>
              <m:sSub>
                <m:e>
                  <m:r>
                    <m:t>A</m:t>
                  </m:r>
                </m:e>
                <m:sub>
                  <m:r>
                    <m:t>i</m:t>
                  </m:r>
                </m:sub>
              </m:sSub>
            </m:den>
          </m:f>
          <m:r>
            <m:rPr>
              <m:sty m:val="p"/>
            </m:rPr>
            <m:t>−</m:t>
          </m:r>
          <m:r>
            <m:t>1</m:t>
          </m:r>
          <m:r>
            <m:rPr>
              <m:sty m:val="p"/>
            </m:rPr>
            <m:t>≤</m:t>
          </m:r>
          <m:r>
            <m:t>0</m:t>
          </m:r>
          <m:r>
            <m:rPr>
              <m:sty m:val="p"/>
            </m:rPr>
            <m:t>,</m:t>
          </m:r>
          <m:r>
            <m:t>  </m:t>
          </m:r>
          <m:sSubSup>
            <m:e>
              <m:r>
                <m:t>g</m:t>
              </m:r>
            </m:e>
            <m:sub>
              <m:r>
                <m:t>i</m:t>
              </m:r>
            </m:sub>
            <m:sup>
              <m:r>
                <m:t>s</m:t>
              </m:r>
            </m:sup>
          </m:sSubSup>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with maximum permissible slenderness limits of</w:t>
      </w:r>
      <w:r>
        <w:t xml:space="preserve"> </w:t>
      </w:r>
      <m:oMath>
        <m:sSub>
          <m:e>
            <m:r>
              <m:t>λ</m:t>
            </m:r>
          </m:e>
          <m:sub>
            <m:r>
              <m:t>m</m:t>
            </m:r>
            <m:r>
              <m:t>a</m:t>
            </m:r>
            <m:r>
              <m:t>x</m:t>
            </m:r>
          </m:sub>
        </m:sSub>
        <m:r>
          <m:rPr>
            <m:sty m:val="p"/>
          </m:rPr>
          <m:t>=</m:t>
        </m:r>
        <m:r>
          <m:t>200</m:t>
        </m:r>
      </m:oMath>
      <w:r>
        <w:t xml:space="preserve"> </w:t>
      </w:r>
      <w:r>
        <w:t xml:space="preserve">for compression members and</w:t>
      </w:r>
      <w:r>
        <w:t xml:space="preserve"> </w:t>
      </w:r>
      <m:oMath>
        <m:sSub>
          <m:e>
            <m:r>
              <m:t>λ</m:t>
            </m:r>
          </m:e>
          <m:sub>
            <m:r>
              <m:t>m</m:t>
            </m:r>
            <m:r>
              <m:t>a</m:t>
            </m:r>
            <m:r>
              <m:t>x</m:t>
            </m:r>
          </m:sub>
        </m:sSub>
        <m:r>
          <m:rPr>
            <m:sty m:val="p"/>
          </m:rPr>
          <m:t>=</m:t>
        </m:r>
        <m:r>
          <m:t>300</m:t>
        </m:r>
      </m:oMath>
      <w:r>
        <w:t xml:space="preserve"> </w:t>
      </w:r>
      <w:r>
        <w:t xml:space="preserve">for tension members, alongside the global displacement constraint</w:t>
      </w:r>
      <w:r>
        <w:t xml:space="preserve"> </w:t>
      </w:r>
      <m:oMath>
        <m:sSup>
          <m:e>
            <m:r>
              <m:t>g</m:t>
            </m:r>
          </m:e>
          <m:sup>
            <m:r>
              <m:t>u</m:t>
            </m:r>
          </m:sup>
        </m:sSup>
      </m:oMath>
      <w:r>
        <w:t xml:space="preserve"> </w:t>
      </w:r>
      <w:r>
        <w:t xml:space="preserve">(Equation 12). Allowable compressive stress</w:t>
      </w:r>
      <w:r>
        <w:t xml:space="preserve"> </w:t>
      </w:r>
      <m:oMath>
        <m:sSub>
          <m:e>
            <m:r>
              <m:t>F</m:t>
            </m:r>
          </m:e>
          <m:sub>
            <m:r>
              <m:t>a</m:t>
            </m:r>
            <m:r>
              <m:rPr>
                <m:sty m:val="p"/>
              </m:rPr>
              <m:t>,</m:t>
            </m:r>
            <m:r>
              <m:t>i</m:t>
            </m:r>
          </m:sub>
        </m:sSub>
      </m:oMath>
      <w:r>
        <w:t xml:space="preserve"> </w:t>
      </w:r>
      <w:r>
        <w:t xml:space="preserve">is defined by the column buckling curve:</w:t>
      </w:r>
    </w:p>
    <w:p>
      <w:pPr>
        <w:pStyle w:val="BodyText"/>
      </w:pPr>
      <m:oMathPara>
        <m:oMathParaPr>
          <m:jc m:val="center"/>
        </m:oMathParaPr>
        <m:oMath>
          <m:sSub>
            <m:e>
              <m:r>
                <m:t>F</m:t>
              </m:r>
            </m:e>
            <m:sub>
              <m:r>
                <m:t>a</m:t>
              </m:r>
            </m:sub>
          </m:sSub>
          <m:r>
            <m:rPr>
              <m:sty m:val="p"/>
            </m:rPr>
            <m:t>=</m:t>
          </m:r>
          <m:f>
            <m:fPr>
              <m:type m:val="bar"/>
            </m:fPr>
            <m:num>
              <m:d>
                <m:dPr>
                  <m:begChr m:val="["/>
                  <m:sepChr m:val=""/>
                  <m:endChr m:val="]"/>
                  <m:grow/>
                </m:dPr>
                <m:e>
                  <m:r>
                    <m:t>1</m:t>
                  </m:r>
                  <m:r>
                    <m:rPr>
                      <m:sty m:val="p"/>
                    </m:rPr>
                    <m:t>−</m:t>
                  </m:r>
                  <m:f>
                    <m:fPr>
                      <m:type m:val="bar"/>
                    </m:fPr>
                    <m:num>
                      <m:sSup>
                        <m:e>
                          <m:r>
                            <m:t>λ</m:t>
                          </m:r>
                        </m:e>
                        <m:sup>
                          <m:r>
                            <m:t>2</m:t>
                          </m:r>
                        </m:sup>
                      </m:sSup>
                    </m:num>
                    <m:den>
                      <m:r>
                        <m:t>2</m:t>
                      </m:r>
                      <m:sSubSup>
                        <m:e>
                          <m:r>
                            <m:t>C</m:t>
                          </m:r>
                        </m:e>
                        <m:sub>
                          <m:r>
                            <m:t>c</m:t>
                          </m:r>
                        </m:sub>
                        <m:sup>
                          <m:r>
                            <m:t>2</m:t>
                          </m:r>
                        </m:sup>
                      </m:sSubSup>
                    </m:den>
                  </m:f>
                </m:e>
              </m:d>
              <m:sSub>
                <m:e>
                  <m:r>
                    <m:t>F</m:t>
                  </m:r>
                </m:e>
                <m:sub>
                  <m:r>
                    <m:t>y</m:t>
                  </m:r>
                </m:sub>
              </m:sSub>
            </m:num>
            <m:den>
              <m:f>
                <m:fPr>
                  <m:type m:val="bar"/>
                </m:fPr>
                <m:num>
                  <m:r>
                    <m:t>5</m:t>
                  </m:r>
                </m:num>
                <m:den>
                  <m:r>
                    <m:t>3</m:t>
                  </m:r>
                </m:den>
              </m:f>
              <m:r>
                <m:rPr>
                  <m:sty m:val="p"/>
                </m:rPr>
                <m:t>+</m:t>
              </m:r>
              <m:f>
                <m:fPr>
                  <m:type m:val="bar"/>
                </m:fPr>
                <m:num>
                  <m:r>
                    <m:t>3</m:t>
                  </m:r>
                  <m:r>
                    <m:t>λ</m:t>
                  </m:r>
                </m:num>
                <m:den>
                  <m:r>
                    <m:t>8</m:t>
                  </m:r>
                  <m:sSub>
                    <m:e>
                      <m:r>
                        <m:t>C</m:t>
                      </m:r>
                    </m:e>
                    <m:sub>
                      <m:r>
                        <m:t>c</m:t>
                      </m:r>
                    </m:sub>
                  </m:sSub>
                </m:den>
              </m:f>
              <m:r>
                <m:rPr>
                  <m:sty m:val="p"/>
                </m:rPr>
                <m:t>−</m:t>
              </m:r>
              <m:f>
                <m:fPr>
                  <m:type m:val="bar"/>
                </m:fPr>
                <m:num>
                  <m:sSup>
                    <m:e>
                      <m:r>
                        <m:t>λ</m:t>
                      </m:r>
                    </m:e>
                    <m:sup>
                      <m:r>
                        <m:t>3</m:t>
                      </m:r>
                    </m:sup>
                  </m:sSup>
                </m:num>
                <m:den>
                  <m:r>
                    <m:t>8</m:t>
                  </m:r>
                  <m:sSubSup>
                    <m:e>
                      <m:r>
                        <m:t>C</m:t>
                      </m:r>
                    </m:e>
                    <m:sub>
                      <m:r>
                        <m:t>c</m:t>
                      </m:r>
                    </m:sub>
                    <m:sup>
                      <m:r>
                        <m:t>3</m:t>
                      </m:r>
                    </m:sup>
                  </m:sSubSup>
                </m:den>
              </m:f>
            </m:den>
          </m:f>
          <m:r>
            <m:t> </m:t>
          </m:r>
          <m:r>
            <m:rPr>
              <m:sty m:val="p"/>
            </m:rPr>
            <m:t>(</m:t>
          </m:r>
          <m:r>
            <m:t>λ</m:t>
          </m:r>
          <m:r>
            <m:rPr>
              <m:sty m:val="p"/>
            </m:rPr>
            <m:t>&lt;</m:t>
          </m:r>
          <m:sSub>
            <m:e>
              <m:r>
                <m:t>C</m:t>
              </m:r>
            </m:e>
            <m:sub>
              <m:r>
                <m:t>c</m:t>
              </m:r>
            </m:sub>
          </m:sSub>
          <m:r>
            <m:rPr>
              <m:sty m:val="p"/>
            </m:rPr>
            <m:t>)</m:t>
          </m:r>
          <m:r>
            <m:rPr>
              <m:sty m:val="p"/>
            </m:rPr>
            <m:t>,</m:t>
          </m:r>
          <m:r>
            <m:t>  </m:t>
          </m:r>
          <m:sSub>
            <m:e>
              <m:r>
                <m:t>F</m:t>
              </m:r>
            </m:e>
            <m:sub>
              <m:r>
                <m:t>a</m:t>
              </m:r>
            </m:sub>
          </m:sSub>
          <m:r>
            <m:rPr>
              <m:sty m:val="p"/>
            </m:rPr>
            <m:t>=</m:t>
          </m:r>
          <m:f>
            <m:fPr>
              <m:type m:val="bar"/>
            </m:fPr>
            <m:num>
              <m:r>
                <m:t>12</m:t>
              </m:r>
              <m:sSup>
                <m:e>
                  <m:r>
                    <m:t>π</m:t>
                  </m:r>
                </m:e>
                <m:sup>
                  <m:r>
                    <m:t>2</m:t>
                  </m:r>
                </m:sup>
              </m:sSup>
              <m:r>
                <m:t>E</m:t>
              </m:r>
            </m:num>
            <m:den>
              <m:r>
                <m:t>23</m:t>
              </m:r>
              <m:r>
                <m:t> </m:t>
              </m:r>
              <m:sSup>
                <m:e>
                  <m:r>
                    <m:t>λ</m:t>
                  </m:r>
                </m:e>
                <m:sup>
                  <m:r>
                    <m:t>2</m:t>
                  </m:r>
                </m:sup>
              </m:sSup>
            </m:den>
          </m:f>
          <m:r>
            <m:t> </m:t>
          </m:r>
          <m:r>
            <m:rPr>
              <m:sty m:val="p"/>
            </m:rPr>
            <m:t>(</m:t>
          </m:r>
          <m:r>
            <m:t>λ</m:t>
          </m:r>
          <m:r>
            <m:rPr>
              <m:sty m:val="p"/>
            </m:rPr>
            <m:t>≥</m:t>
          </m:r>
          <m:sSub>
            <m:e>
              <m:r>
                <m:t>C</m:t>
              </m:r>
            </m:e>
            <m:sub>
              <m:r>
                <m:t>c</m:t>
              </m:r>
            </m:sub>
          </m:sSub>
          <m:r>
            <m:rPr>
              <m:sty m:val="p"/>
            </m:rPr>
            <m:t>)</m:t>
          </m:r>
          <m:r>
            <m:rPr>
              <m:sty m:val="p"/>
            </m:rPr>
            <m:t>,</m:t>
          </m:r>
          <m:r>
            <m:t>  </m:t>
          </m:r>
          <m:sSub>
            <m:e>
              <m:r>
                <m:t>C</m:t>
              </m:r>
            </m:e>
            <m:sub>
              <m:r>
                <m:t>c</m:t>
              </m:r>
            </m:sub>
          </m:sSub>
          <m:r>
            <m:rPr>
              <m:sty m:val="p"/>
            </m:rPr>
            <m:t>=</m:t>
          </m:r>
          <m:rad>
            <m:radPr>
              <m:degHide m:val="on"/>
            </m:radPr>
            <m:deg/>
            <m:e>
              <m:f>
                <m:fPr>
                  <m:type m:val="bar"/>
                </m:fPr>
                <m:num>
                  <m:r>
                    <m:t>2</m:t>
                  </m:r>
                  <m:sSup>
                    <m:e>
                      <m:r>
                        <m:t>π</m:t>
                      </m:r>
                    </m:e>
                    <m:sup>
                      <m:r>
                        <m:t>2</m:t>
                      </m:r>
                    </m:sup>
                  </m:sSup>
                  <m:r>
                    <m:t>E</m:t>
                  </m:r>
                </m:num>
                <m:den>
                  <m:sSub>
                    <m:e>
                      <m:r>
                        <m:t>F</m:t>
                      </m:r>
                    </m:e>
                    <m:sub>
                      <m:r>
                        <m:t>y</m:t>
                      </m:r>
                    </m:sub>
                  </m:sSub>
                </m:den>
              </m:f>
            </m:e>
          </m:rad>
        </m:oMath>
      </m:oMathPara>
    </w:p>
    <w:p>
      <w:pPr>
        <w:pStyle w:val="FirstParagraph"/>
      </w:pPr>
      <w:r>
        <w:t xml:space="preserve">where</w:t>
      </w:r>
      <w:r>
        <w:t xml:space="preserve"> </w:t>
      </w:r>
      <m:oMath>
        <m:sSub>
          <m:e>
            <m:r>
              <m:t>F</m:t>
            </m:r>
          </m:e>
          <m:sub>
            <m:r>
              <m:t>y</m:t>
            </m:r>
          </m:sub>
        </m:sSub>
      </m:oMath>
      <w:r>
        <w:t xml:space="preserve"> </w:t>
      </w:r>
      <w:r>
        <w:t xml:space="preserve">is steel yield stress and</w:t>
      </w:r>
      <w:r>
        <w:t xml:space="preserve"> </w:t>
      </w:r>
      <m:oMath>
        <m:r>
          <m:t>E</m:t>
        </m:r>
      </m:oMath>
      <w:r>
        <w:t xml:space="preserve"> </w:t>
      </w:r>
      <w:r>
        <w:t xml:space="preserve">is Young’s modulus.</w:t>
      </w:r>
    </w:p>
    <w:p>
      <w:pPr>
        <w:pStyle w:val="Heading2"/>
      </w:pPr>
      <w:bookmarkStart w:id="22" w:name="_c174d0596aecd3fbd3bf3e74b3a59fae6f3d228"/>
      <w:r>
        <w:t xml:space="preserve">2.5 Constraint handling, metaheuristic optimizers, and statistical framework</w:t>
      </w:r>
      <w:bookmarkEnd w:id="22"/>
    </w:p>
    <w:p>
      <w:pPr>
        <w:pStyle w:val="FirstParagraph"/>
      </w:pPr>
      <w:r>
        <w:rPr>
          <w:b/>
          <w:bCs/>
        </w:rPr>
        <w:t xml:space="preserve">Multiplicative penalty formulation.</w:t>
      </w:r>
      <w:r>
        <w:t xml:space="preserve"> </w:t>
      </w:r>
      <w:r>
        <w:t xml:space="preserve">Constraint violations are collected into a composite penalty metric</w:t>
      </w:r>
      <w:r>
        <w:t xml:space="preserve"> </w:t>
      </w:r>
      <m:oMath>
        <m:r>
          <m:t>P</m:t>
        </m:r>
        <m:r>
          <m:rPr>
            <m:sty m:val="p"/>
          </m:rPr>
          <m:t>(</m:t>
        </m:r>
        <m:r>
          <m:rPr>
            <m:sty m:val="bi"/>
          </m:rPr>
          <m:t>x</m:t>
        </m:r>
        <m:r>
          <m:rPr>
            <m:sty m:val="p"/>
          </m:rPr>
          <m:t>)</m:t>
        </m:r>
      </m:oMath>
      <w:r>
        <w:t xml:space="preserve"> </w:t>
      </w:r>
      <w:r>
        <w:t xml:space="preserve">that evaluates the maximum constraint violation among members within each group alongside the displacement deficit:</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ℓ</m:t>
              </m:r>
              <m:r>
                <m:rPr>
                  <m:sty m:val="p"/>
                </m:rPr>
                <m:t>=</m:t>
              </m:r>
              <m:r>
                <m:t>1</m:t>
              </m:r>
            </m:sub>
            <m:sup>
              <m:sSub>
                <m:e>
                  <m:r>
                    <m:t>N</m:t>
                  </m:r>
                </m:e>
                <m:sub>
                  <m:r>
                    <m:t>g</m:t>
                  </m:r>
                </m:sub>
              </m:sSub>
            </m:sup>
            <m:e>
              <m:r>
                <m:rPr>
                  <m:sty m:val="p"/>
                </m:rPr>
                <m:t>max</m:t>
              </m:r>
            </m:e>
          </m:nary>
          <m:r>
            <m:t>​</m:t>
          </m:r>
          <m:d>
            <m:dPr>
              <m:begChr m:val="("/>
              <m:sepChr m:val=""/>
              <m:endChr m:val=")"/>
              <m:grow/>
            </m:dPr>
            <m:e>
              <m:r>
                <m:t>0</m:t>
              </m:r>
              <m:r>
                <m:rPr>
                  <m:sty m:val="p"/>
                </m:rPr>
                <m:t>,</m:t>
              </m:r>
              <m:limLow>
                <m:e>
                  <m:r>
                    <m:rPr>
                      <m:sty m:val="p"/>
                    </m:rPr>
                    <m:t>max</m:t>
                  </m:r>
                </m:e>
                <m:lim>
                  <m:r>
                    <m:t>i</m:t>
                  </m:r>
                  <m:r>
                    <m:rPr>
                      <m:sty m:val="p"/>
                    </m:rPr>
                    <m:t>∈</m:t>
                  </m:r>
                  <m:r>
                    <m:t>ℓ</m:t>
                  </m:r>
                </m:lim>
              </m:limLow>
              <m:sSub>
                <m:e>
                  <m:acc>
                    <m:accPr>
                      <m:chr m:val="̂"/>
                    </m:accPr>
                    <m:e>
                      <m:r>
                        <m:t>g</m:t>
                      </m:r>
                    </m:e>
                  </m:acc>
                </m:e>
                <m:sub>
                  <m:r>
                    <m:t>i</m:t>
                  </m:r>
                </m:sub>
              </m:sSub>
            </m:e>
          </m:d>
          <m:r>
            <m:rPr>
              <m:sty m:val="p"/>
            </m:rPr>
            <m:t>+</m:t>
          </m:r>
          <m:r>
            <m:rPr>
              <m:sty m:val="p"/>
            </m:rPr>
            <m:t>max</m:t>
          </m:r>
          <m:d>
            <m:dPr>
              <m:begChr m:val="("/>
              <m:sepChr m:val=""/>
              <m:endChr m:val=")"/>
              <m:grow/>
            </m:dPr>
            <m:e>
              <m:r>
                <m:t>0</m:t>
              </m:r>
              <m:r>
                <m:rPr>
                  <m:sty m:val="p"/>
                </m:rPr>
                <m:t>,</m:t>
              </m:r>
              <m:sSup>
                <m:e>
                  <m:r>
                    <m:t>g</m:t>
                  </m:r>
                </m:e>
                <m:sup>
                  <m:r>
                    <m:t>u</m:t>
                  </m:r>
                </m:sup>
              </m:sSup>
            </m:e>
          </m:d>
        </m:oMath>
      </m:oMathPara>
    </w:p>
    <w:p>
      <w:pPr>
        <w:pStyle w:val="FirstParagraph"/>
      </w:pPr>
      <w:r>
        <w:t xml:space="preserve">where</w:t>
      </w:r>
      <w:r>
        <w:t xml:space="preserve"> </w:t>
      </w:r>
      <m:oMath>
        <m:sSub>
          <m:e>
            <m:acc>
              <m:accPr>
                <m:chr m:val="̂"/>
              </m:accPr>
              <m:e>
                <m:r>
                  <m:t>g</m:t>
                </m:r>
              </m:e>
            </m:acc>
          </m:e>
          <m:sub>
            <m:r>
              <m:t>i</m:t>
            </m:r>
          </m:sub>
        </m:sSub>
        <m:r>
          <m:rPr>
            <m:sty m:val="p"/>
          </m:rPr>
          <m:t>=</m:t>
        </m:r>
        <m:sSub>
          <m:e>
            <m:r>
              <m:rPr>
                <m:sty m:val="p"/>
              </m:rPr>
              <m:t>max</m:t>
            </m:r>
          </m:e>
          <m:sub>
            <m:r>
              <m:t>j</m:t>
            </m:r>
          </m:sub>
        </m:sSub>
        <m:r>
          <m:rPr>
            <m:sty m:val="p"/>
          </m:rPr>
          <m:t>{</m:t>
        </m:r>
        <m:sSubSup>
          <m:e>
            <m:r>
              <m:t>g</m:t>
            </m:r>
          </m:e>
          <m:sub>
            <m:r>
              <m:t>i</m:t>
            </m:r>
            <m:r>
              <m:t>j</m:t>
            </m:r>
          </m:sub>
          <m:sup>
            <m:r>
              <m:t>t</m:t>
            </m:r>
          </m:sup>
        </m:sSubSup>
        <m:r>
          <m:rPr>
            <m:sty m:val="p"/>
          </m:rPr>
          <m:t>,</m:t>
        </m:r>
        <m:sSubSup>
          <m:e>
            <m:r>
              <m:t>g</m:t>
            </m:r>
          </m:e>
          <m:sub>
            <m:r>
              <m:t>i</m:t>
            </m:r>
            <m:r>
              <m:t>j</m:t>
            </m:r>
          </m:sub>
          <m:sup>
            <m:r>
              <m:t>c</m:t>
            </m:r>
          </m:sup>
        </m:sSubSup>
        <m:r>
          <m:rPr>
            <m:sty m:val="p"/>
          </m:rPr>
          <m:t>,</m:t>
        </m:r>
        <m:sSubSup>
          <m:e>
            <m:r>
              <m:t>g</m:t>
            </m:r>
          </m:e>
          <m:sub>
            <m:r>
              <m:t>i</m:t>
            </m:r>
            <m:r>
              <m:t>j</m:t>
            </m:r>
          </m:sub>
          <m:sup>
            <m:r>
              <m:t>n</m:t>
            </m:r>
          </m:sup>
        </m:sSubSup>
        <m:r>
          <m:rPr>
            <m:sty m:val="p"/>
          </m:rPr>
          <m:t>,</m:t>
        </m:r>
        <m:sSubSup>
          <m:e>
            <m:r>
              <m:t>g</m:t>
            </m:r>
          </m:e>
          <m:sub>
            <m:r>
              <m:t>i</m:t>
            </m:r>
          </m:sub>
          <m:sup>
            <m:r>
              <m:t>s</m:t>
            </m:r>
          </m:sup>
        </m:sSubSup>
        <m:r>
          <m:rPr>
            <m:sty m:val="p"/>
          </m:rPr>
          <m:t>}</m:t>
        </m:r>
      </m:oMath>
      <w:r>
        <w:t xml:space="preserve">. The metaheuristic optimizers minimize the penalized structural weight function:</w:t>
      </w:r>
    </w:p>
    <w:p>
      <w:pPr>
        <w:pStyle w:val="BodyText"/>
      </w:pPr>
      <m:oMathPara>
        <m:oMathParaPr>
          <m:jc m:val="center"/>
        </m:oMathParaPr>
        <m:oMath>
          <m:r>
            <m:t>F</m:t>
          </m:r>
          <m:r>
            <m:rPr>
              <m:sty m:val="p"/>
            </m:rPr>
            <m:t>(</m:t>
          </m:r>
          <m:r>
            <m:rPr>
              <m:sty m:val="bi"/>
            </m:rPr>
            <m:t>x</m:t>
          </m:r>
          <m:r>
            <m:rPr>
              <m:sty m:val="p"/>
            </m:rPr>
            <m:t>)</m:t>
          </m:r>
          <m:r>
            <m:rPr>
              <m:sty m:val="p"/>
            </m:rPr>
            <m:t>=</m:t>
          </m:r>
          <m:r>
            <m:t>W</m:t>
          </m:r>
          <m:r>
            <m:rPr>
              <m:sty m:val="p"/>
            </m:rPr>
            <m:t>(</m:t>
          </m:r>
          <m:r>
            <m:rPr>
              <m:sty m:val="bi"/>
            </m:rPr>
            <m:t>x</m:t>
          </m:r>
          <m:r>
            <m:rPr>
              <m:sty m:val="p"/>
            </m:rPr>
            <m:t>)</m:t>
          </m:r>
          <m:r>
            <m:t> </m:t>
          </m:r>
          <m:r>
            <m:rPr>
              <m:sty m:val="p"/>
            </m:rPr>
            <m:t>(</m:t>
          </m:r>
          <m:r>
            <m:t>1</m:t>
          </m:r>
          <m:r>
            <m:rPr>
              <m:sty m:val="p"/>
            </m:rPr>
            <m:t>+</m:t>
          </m:r>
          <m:r>
            <m:t>P</m:t>
          </m:r>
          <m:r>
            <m:rPr>
              <m:sty m:val="p"/>
            </m:rPr>
            <m:t>(</m:t>
          </m:r>
          <m:r>
            <m:rPr>
              <m:sty m:val="bi"/>
            </m:rPr>
            <m:t>x</m:t>
          </m:r>
          <m:r>
            <m:rPr>
              <m:sty m:val="p"/>
            </m:rPr>
            <m:t>)</m:t>
          </m:r>
          <m:sSup>
            <m:e>
              <m:r>
                <m:rPr>
                  <m:sty m:val="p"/>
                </m:rPr>
                <m:t>)</m:t>
              </m:r>
            </m:e>
            <m:sup>
              <m:r>
                <m:t>ε</m:t>
              </m:r>
            </m:sup>
          </m:sSup>
          <m:r>
            <m:rPr>
              <m:sty m:val="p"/>
            </m:rPr>
            <m:t>,</m:t>
          </m:r>
          <m:r>
            <m:t>  </m:t>
          </m:r>
          <m:r>
            <m:t>ε</m:t>
          </m:r>
          <m:r>
            <m:rPr>
              <m:sty m:val="p"/>
            </m:rPr>
            <m:t>=</m:t>
          </m:r>
          <m:r>
            <m:t>2</m:t>
          </m:r>
        </m:oMath>
      </m:oMathPara>
    </w:p>
    <w:p>
      <w:pPr>
        <w:pStyle w:val="FirstParagraph"/>
      </w:pPr>
      <w:r>
        <w:t xml:space="preserve">For any feasible design vector satisfying all constraints,</w:t>
      </w:r>
      <w:r>
        <w:t xml:space="preserve"> </w:t>
      </w:r>
      <m:oMath>
        <m:r>
          <m:t>P</m:t>
        </m:r>
        <m:r>
          <m:rPr>
            <m:sty m:val="p"/>
          </m:rPr>
          <m:t>(</m:t>
        </m:r>
        <m:r>
          <m:rPr>
            <m:sty m:val="bi"/>
          </m:rPr>
          <m:t>x</m:t>
        </m:r>
        <m:r>
          <m:rPr>
            <m:sty m:val="p"/>
          </m:rPr>
          <m:t>)</m:t>
        </m:r>
        <m:r>
          <m:rPr>
            <m:sty m:val="p"/>
          </m:rPr>
          <m:t>=</m:t>
        </m:r>
        <m:r>
          <m:t>0</m:t>
        </m:r>
      </m:oMath>
      <w:r>
        <w:t xml:space="preserve">, reducing</w:t>
      </w:r>
      <w:r>
        <w:t xml:space="preserve"> </w:t>
      </w:r>
      <m:oMath>
        <m:r>
          <m:t>F</m:t>
        </m:r>
        <m:r>
          <m:rPr>
            <m:sty m:val="p"/>
          </m:rPr>
          <m:t>(</m:t>
        </m:r>
        <m:r>
          <m:rPr>
            <m:sty m:val="bi"/>
          </m:rPr>
          <m:t>x</m:t>
        </m:r>
        <m:r>
          <m:rPr>
            <m:sty m:val="p"/>
          </m:rPr>
          <m:t>)</m:t>
        </m:r>
      </m:oMath>
      <w:r>
        <w:t xml:space="preserve"> </w:t>
      </w:r>
      <w:r>
        <w:t xml:space="preserve">identically to the true structural weight</w:t>
      </w:r>
      <w:r>
        <w:t xml:space="preserve"> </w:t>
      </w:r>
      <m:oMath>
        <m:r>
          <m:t>W</m:t>
        </m:r>
        <m:r>
          <m:rPr>
            <m:sty m:val="p"/>
          </m:rPr>
          <m:t>(</m:t>
        </m:r>
        <m:r>
          <m:rPr>
            <m:sty m:val="bi"/>
          </m:rPr>
          <m:t>x</m:t>
        </m:r>
        <m:r>
          <m:rPr>
            <m:sty m:val="p"/>
          </m:rPr>
          <m:t>)</m:t>
        </m:r>
      </m:oMath>
      <w:r>
        <w:t xml:space="preserve">.</w:t>
      </w:r>
    </w:p>
    <w:p>
      <w:pPr>
        <w:pStyle w:val="BodyText"/>
      </w:pPr>
      <w:r>
        <w:rPr>
          <w:b/>
          <w:bCs/>
        </w:rPr>
        <w:t xml:space="preserve">Metaheuristic optimizers and supplementary material overview.</w:t>
      </w:r>
      <w:r>
        <w:t xml:space="preserve"> </w:t>
      </w:r>
      <w:r>
        <w:t xml:space="preserve">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pPr>
        <w:pStyle w:val="BodyText"/>
      </w:pPr>
      <w:r>
        <w:t xml:space="preserve">To maintain manuscript conciseness and avoid redundant mathematical expositions, the complete algorithmic procedures, and parameter update equations for ABC, ACO, and DO are detailed in Supplementary Material Appendix S1.</w:t>
      </w:r>
    </w:p>
    <w:p>
      <w:pPr>
        <w:pStyle w:val="BodyText"/>
      </w:pPr>
      <w:r>
        <w:rPr>
          <w:b/>
          <w:bCs/>
        </w:rPr>
        <w:t xml:space="preserve">Statistical hypothesis testing.</w:t>
      </w:r>
      <w:r>
        <w:t xml:space="preserve"> </w:t>
      </w:r>
      <w:r>
        <w:t xml:space="preserve">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w:t>
      </w:r>
      <w:r>
        <w:t xml:space="preserve"> </w:t>
      </w:r>
      <m:oMath>
        <m:r>
          <m:t>α</m:t>
        </m:r>
        <m:r>
          <m:rPr>
            <m:sty m:val="p"/>
          </m:rPr>
          <m:t>=</m:t>
        </m:r>
        <m:r>
          <m:t>0.05</m:t>
        </m:r>
      </m:oMath>
      <w:r>
        <w:t xml:space="preserve">. The Vargha–Delaney</w:t>
      </w:r>
      <w:r>
        <w:t xml:space="preserve"> </w:t>
      </w:r>
      <m:oMath>
        <m:sSub>
          <m:e>
            <m:r>
              <m:t>A</m:t>
            </m:r>
          </m:e>
          <m:sub>
            <m:r>
              <m:t>12</m:t>
            </m:r>
          </m:sub>
        </m:sSub>
      </m:oMath>
      <w:r>
        <w:t xml:space="preserve"> </w:t>
      </w:r>
      <w:r>
        <w:t xml:space="preserve">non-parametric effect size is evaluated to quantify the stochastic dominance probability [33]. Complete formulations and test definitions are compiled in Supplementary Material Appendix S2.</w:t>
      </w:r>
    </w:p>
    <w:p>
      <w:pPr>
        <w:pStyle w:val="Heading2"/>
      </w:pPr>
      <w:bookmarkStart w:id="23" w:name="_99e8406cbf7868baeca3afb6b2fcbb237e8940f"/>
      <w:r>
        <w:t xml:space="preserve">2.6 Embodied carbon evaluation framework</w:t>
      </w:r>
      <w:bookmarkEnd w:id="23"/>
    </w:p>
    <w:p>
      <w:pPr>
        <w:pStyle w:val="FirstParagraph"/>
      </w:pPr>
      <w:r>
        <w:t xml:space="preserve">Cradle-to-gate embodied carbon emissions (EN 15978 stages A1–A3) are calculated for the optimal design of each space dome:</w:t>
      </w:r>
    </w:p>
    <w:p>
      <w:pPr>
        <w:pStyle w:val="BodyText"/>
      </w:pPr>
      <m:oMathPara>
        <m:oMathParaPr>
          <m:jc m:val="center"/>
        </m:oMathParaPr>
        <m:oMath>
          <m:sSub>
            <m:e>
              <m:r>
                <m:t>E</m:t>
              </m:r>
            </m:e>
            <m:sub>
              <m:sSub>
                <m:e>
                  <m:r>
                    <m:rPr>
                      <m:nor/>
                    </m:rPr>
                    <m:t>CO</m:t>
                  </m:r>
                </m:e>
                <m:sub>
                  <m:r>
                    <m:t>2</m:t>
                  </m:r>
                </m:sub>
              </m:sSub>
            </m:sub>
          </m:sSub>
          <m:r>
            <m:rPr>
              <m:sty m:val="p"/>
            </m:rPr>
            <m:t>=</m:t>
          </m:r>
          <m:r>
            <m:t>E</m:t>
          </m:r>
          <m:sSub>
            <m:e>
              <m:r>
                <m:t>C</m:t>
              </m:r>
            </m:e>
            <m:sub>
              <m:r>
                <m:t>b</m:t>
              </m:r>
            </m:sub>
          </m:sSub>
          <m:r>
            <m:t> </m:t>
          </m:r>
          <m:sSub>
            <m:e>
              <m:r>
                <m:t>m</m:t>
              </m:r>
            </m:e>
            <m:sub>
              <m:r>
                <m:t>b</m:t>
              </m:r>
            </m:sub>
          </m:sSub>
          <m:r>
            <m:rPr>
              <m:sty m:val="p"/>
            </m:rPr>
            <m:t>+</m:t>
          </m:r>
          <m:r>
            <m:t>E</m:t>
          </m:r>
          <m:sSub>
            <m:e>
              <m:r>
                <m:t>C</m:t>
              </m:r>
            </m:e>
            <m:sub>
              <m:r>
                <m:t>s</m:t>
              </m:r>
            </m:sub>
          </m:sSub>
          <m:r>
            <m:t> </m:t>
          </m:r>
          <m:sSub>
            <m:e>
              <m:r>
                <m:t>m</m:t>
              </m:r>
            </m:e>
            <m:sub>
              <m:r>
                <m:t>s</m:t>
              </m:r>
            </m:sub>
          </m:sSub>
          <m:r>
            <m:rPr>
              <m:sty m:val="p"/>
            </m:rPr>
            <m:t>+</m:t>
          </m:r>
          <m:r>
            <m:t>E</m:t>
          </m:r>
          <m:sSub>
            <m:e>
              <m:r>
                <m:t>C</m:t>
              </m:r>
            </m:e>
            <m:sub>
              <m:r>
                <m:t>m</m:t>
              </m:r>
            </m:sub>
          </m:sSub>
          <m:r>
            <m:t> </m:t>
          </m:r>
          <m:sSub>
            <m:e>
              <m:r>
                <m:t>m</m:t>
              </m:r>
            </m:e>
            <m:sub>
              <m:r>
                <m:t>m</m:t>
              </m:r>
            </m:sub>
          </m:sSub>
        </m:oMath>
      </m:oMathPara>
    </w:p>
    <w:p>
      <w:pPr>
        <w:pStyle w:val="FirstParagraph"/>
      </w:pPr>
      <w:r>
        <w:t xml:space="preserve">where</w:t>
      </w:r>
      <w:r>
        <w:t xml:space="preserve"> </w:t>
      </w:r>
      <m:oMath>
        <m:r>
          <m:t>E</m:t>
        </m:r>
        <m:sSub>
          <m:e>
            <m:r>
              <m:t>C</m:t>
            </m:r>
          </m:e>
          <m:sub>
            <m:r>
              <m:t>b</m:t>
            </m:r>
          </m:sub>
        </m:sSub>
      </m:oMath>
      <w:r>
        <w:t xml:space="preserve">,</w:t>
      </w:r>
      <w:r>
        <w:t xml:space="preserve"> </w:t>
      </w:r>
      <m:oMath>
        <m:r>
          <m:t>E</m:t>
        </m:r>
        <m:sSub>
          <m:e>
            <m:r>
              <m:t>C</m:t>
            </m:r>
          </m:e>
          <m:sub>
            <m:r>
              <m:t>s</m:t>
            </m:r>
          </m:sub>
        </m:sSub>
      </m:oMath>
      <w:r>
        <w:t xml:space="preserve">, and</w:t>
      </w:r>
      <w:r>
        <w:t xml:space="preserve"> </w:t>
      </w:r>
      <m:oMath>
        <m:r>
          <m:t>E</m:t>
        </m:r>
        <m:sSub>
          <m:e>
            <m:r>
              <m:t>C</m:t>
            </m:r>
          </m:e>
          <m:sub>
            <m:r>
              <m:t>m</m:t>
            </m:r>
          </m:sub>
        </m:sSub>
      </m:oMath>
      <w:r>
        <w:t xml:space="preserve"> </w:t>
      </w:r>
      <w:r>
        <w:t xml:space="preserve">represent the carbon emission factors (kg CO₂e/kg) for bamboo culms, structural connection steel, and cementitious grout infill, while</w:t>
      </w:r>
      <w:r>
        <w:t xml:space="preserve"> </w:t>
      </w:r>
      <m:oMath>
        <m:sSub>
          <m:e>
            <m:r>
              <m:t>m</m:t>
            </m:r>
          </m:e>
          <m:sub>
            <m:r>
              <m:t>b</m:t>
            </m:r>
          </m:sub>
        </m:sSub>
      </m:oMath>
      <w:r>
        <w:t xml:space="preserve">,</w:t>
      </w:r>
      <w:r>
        <w:t xml:space="preserve"> </w:t>
      </w:r>
      <m:oMath>
        <m:sSub>
          <m:e>
            <m:r>
              <m:t>m</m:t>
            </m:r>
          </m:e>
          <m:sub>
            <m:r>
              <m:t>s</m:t>
            </m:r>
          </m:sub>
        </m:sSub>
      </m:oMath>
      <w:r>
        <w:t xml:space="preserve">, and</w:t>
      </w:r>
      <w:r>
        <w:t xml:space="preserve"> </w:t>
      </w:r>
      <m:oMath>
        <m:sSub>
          <m:e>
            <m:r>
              <m:t>m</m:t>
            </m:r>
          </m:e>
          <m:sub>
            <m:r>
              <m:t>m</m:t>
            </m:r>
          </m:sub>
        </m:sSub>
      </m:oMath>
      <w:r>
        <w:t xml:space="preserve"> </w:t>
      </w:r>
      <w:r>
        <w:t xml:space="preserve">represent their respective masses. Culm mass is</w:t>
      </w:r>
      <w:r>
        <w:t xml:space="preserve"> </w:t>
      </w:r>
      <m:oMath>
        <m:sSub>
          <m:e>
            <m:r>
              <m:t>m</m:t>
            </m:r>
          </m:e>
          <m:sub>
            <m:r>
              <m:t>b</m:t>
            </m:r>
          </m:sub>
        </m:sSub>
        <m:r>
          <m:rPr>
            <m:sty m:val="p"/>
          </m:rPr>
          <m:t>=</m:t>
        </m:r>
        <m:r>
          <m:t>ρ</m:t>
        </m:r>
        <m:nary>
          <m:naryPr>
            <m:chr m:val="∑"/>
            <m:limLoc m:val="undOvr"/>
            <m:subHide m:val="off"/>
            <m:supHide m:val="on"/>
          </m:naryPr>
          <m:sub>
            <m:r>
              <m:t>i</m:t>
            </m:r>
          </m:sub>
          <m:sup>
            <m:r>
              <m:t>​</m:t>
            </m:r>
          </m:sup>
          <m:e>
            <m:sSub>
              <m:e>
                <m:r>
                  <m:t>A</m:t>
                </m:r>
              </m:e>
              <m:sub>
                <m:r>
                  <m:t>i</m:t>
                </m:r>
              </m:sub>
            </m:sSub>
          </m:e>
        </m:nary>
        <m:sSub>
          <m:e>
            <m:r>
              <m:t>L</m:t>
            </m:r>
          </m:e>
          <m:sub>
            <m:r>
              <m:t>i</m:t>
            </m:r>
          </m:sub>
        </m:sSub>
      </m:oMath>
      <w:r>
        <w:t xml:space="preserve">. Connection steel mass incorporates nodal hubs and member-end connector assemblies:</w:t>
      </w:r>
      <w:r>
        <w:t xml:space="preserve"> </w:t>
      </w:r>
      <m:oMath>
        <m:sSub>
          <m:e>
            <m:r>
              <m:t>m</m:t>
            </m:r>
          </m:e>
          <m:sub>
            <m:r>
              <m:t>s</m:t>
            </m:r>
          </m:sub>
        </m:sSub>
        <m:r>
          <m:rPr>
            <m:sty m:val="p"/>
          </m:rPr>
          <m:t>=</m:t>
        </m:r>
        <m:sSub>
          <m:e>
            <m:r>
              <m:t>m</m:t>
            </m:r>
          </m:e>
          <m:sub>
            <m:r>
              <m:t>h</m:t>
            </m:r>
            <m:r>
              <m:t>u</m:t>
            </m:r>
            <m:r>
              <m:t>b</m:t>
            </m:r>
          </m:sub>
        </m:sSub>
        <m:sSub>
          <m:e>
            <m:r>
              <m:t>N</m:t>
            </m:r>
          </m:e>
          <m:sub>
            <m:r>
              <m:t>n</m:t>
            </m:r>
          </m:sub>
        </m:sSub>
        <m:r>
          <m:rPr>
            <m:sty m:val="p"/>
          </m:rPr>
          <m:t>+</m:t>
        </m:r>
        <m:r>
          <m:t>2</m:t>
        </m:r>
        <m:r>
          <m:t> </m:t>
        </m:r>
        <m:sSub>
          <m:e>
            <m:r>
              <m:t>m</m:t>
            </m:r>
          </m:e>
          <m:sub>
            <m:r>
              <m:t>e</m:t>
            </m:r>
            <m:r>
              <m:t>n</m:t>
            </m:r>
            <m:r>
              <m:t>d</m:t>
            </m:r>
          </m:sub>
        </m:sSub>
        <m:sSub>
          <m:e>
            <m:r>
              <m:t>N</m:t>
            </m:r>
          </m:e>
          <m:sub>
            <m:r>
              <m:t>m</m:t>
            </m:r>
          </m:sub>
        </m:sSub>
      </m:oMath>
      <w:r>
        <w:t xml:space="preserve">, with</w:t>
      </w:r>
      <w:r>
        <w:t xml:space="preserve"> </w:t>
      </w:r>
      <m:oMath>
        <m:sSub>
          <m:e>
            <m:r>
              <m:t>N</m:t>
            </m:r>
          </m:e>
          <m:sub>
            <m:r>
              <m:t>n</m:t>
            </m:r>
          </m:sub>
        </m:sSub>
      </m:oMath>
      <w:r>
        <w:t xml:space="preserve"> </w:t>
      </w:r>
      <w:r>
        <w:t xml:space="preserve">nodes and</w:t>
      </w:r>
      <w:r>
        <w:t xml:space="preserve"> </w:t>
      </w:r>
      <m:oMath>
        <m:sSub>
          <m:e>
            <m:r>
              <m:t>N</m:t>
            </m:r>
          </m:e>
          <m:sub>
            <m:r>
              <m:t>m</m:t>
            </m:r>
          </m:sub>
        </m:sSub>
      </m:oMath>
      <w:r>
        <w:t xml:space="preserve"> </w:t>
      </w:r>
      <w:r>
        <w:t xml:space="preserve">members. Injected grout core mass is calculated across both ends of every bamboo culm:</w:t>
      </w:r>
    </w:p>
    <w:p>
      <w:pPr>
        <w:pStyle w:val="BodyText"/>
      </w:pPr>
      <m:oMathPara>
        <m:oMathParaPr>
          <m:jc m:val="center"/>
        </m:oMathParaPr>
        <m:oMath>
          <m:sSub>
            <m:e>
              <m:r>
                <m:t>m</m:t>
              </m:r>
            </m:e>
            <m:sub>
              <m:r>
                <m:t>m</m:t>
              </m:r>
            </m:sub>
          </m:sSub>
          <m:r>
            <m:rPr>
              <m:sty m:val="p"/>
            </m:rPr>
            <m:t>=</m:t>
          </m:r>
          <m:nary>
            <m:naryPr>
              <m:chr m:val="∑"/>
              <m:limLoc m:val="undOvr"/>
              <m:subHide m:val="off"/>
              <m:supHide m:val="off"/>
            </m:naryPr>
            <m:sub>
              <m:r>
                <m:t>i</m:t>
              </m:r>
              <m:r>
                <m:rPr>
                  <m:sty m:val="p"/>
                </m:rPr>
                <m:t>=</m:t>
              </m:r>
              <m:r>
                <m:t>1</m:t>
              </m:r>
            </m:sub>
            <m:sup>
              <m:sSub>
                <m:e>
                  <m:r>
                    <m:t>N</m:t>
                  </m:r>
                </m:e>
                <m:sub>
                  <m:r>
                    <m:t>m</m:t>
                  </m:r>
                </m:sub>
              </m:sSub>
            </m:sup>
            <m:e>
              <m:r>
                <m:t>2</m:t>
              </m:r>
            </m:e>
          </m:nary>
          <m:r>
            <m:t> </m:t>
          </m:r>
          <m:sSub>
            <m:e>
              <m:r>
                <m:t>ρ</m:t>
              </m:r>
            </m:e>
            <m:sub>
              <m:r>
                <m:t>m</m:t>
              </m:r>
            </m:sub>
          </m:sSub>
          <m:r>
            <m:t> </m:t>
          </m:r>
          <m:f>
            <m:fPr>
              <m:type m:val="bar"/>
            </m:fPr>
            <m:num>
              <m:r>
                <m:t>π</m:t>
              </m:r>
            </m:num>
            <m:den>
              <m:r>
                <m:t>4</m:t>
              </m:r>
            </m:den>
          </m:f>
          <m:r>
            <m:t> </m:t>
          </m:r>
          <m:r>
            <m:rPr>
              <m:sty m:val="p"/>
            </m:rPr>
            <m:t>(</m:t>
          </m:r>
          <m:sSub>
            <m:e>
              <m:r>
                <m:t>D</m:t>
              </m:r>
            </m:e>
            <m:sub>
              <m:r>
                <m:t>i</m:t>
              </m:r>
            </m:sub>
          </m:sSub>
          <m:r>
            <m:rPr>
              <m:sty m:val="p"/>
            </m:rPr>
            <m:t>−</m:t>
          </m:r>
          <m:r>
            <m:t>2</m:t>
          </m:r>
          <m:sSub>
            <m:e>
              <m:r>
                <m:t>t</m:t>
              </m:r>
            </m:e>
            <m:sub>
              <m:r>
                <m:t>i</m:t>
              </m:r>
            </m:sub>
          </m:sSub>
          <m:sSup>
            <m:e>
              <m:r>
                <m:rPr>
                  <m:sty m:val="p"/>
                </m:rPr>
                <m:t>)</m:t>
              </m:r>
            </m:e>
            <m:sup>
              <m:r>
                <m:t>2</m:t>
              </m:r>
            </m:sup>
          </m:sSup>
          <m:r>
            <m:t> </m:t>
          </m:r>
          <m:r>
            <m:rPr>
              <m:sty m:val="p"/>
            </m:rPr>
            <m:t>(</m:t>
          </m:r>
          <m:r>
            <m:t>β</m:t>
          </m:r>
          <m:r>
            <m:t> </m:t>
          </m:r>
          <m:sSub>
            <m:e>
              <m:r>
                <m:t>D</m:t>
              </m:r>
            </m:e>
            <m:sub>
              <m:r>
                <m:t>i</m:t>
              </m:r>
            </m:sub>
          </m:sSub>
          <m:r>
            <m:rPr>
              <m:sty m:val="p"/>
            </m:rPr>
            <m:t>)</m:t>
          </m:r>
        </m:oMath>
      </m:oMathPara>
    </w:p>
    <w:p>
      <w:pPr>
        <w:pStyle w:val="FirstParagraph"/>
      </w:pPr>
      <w:r>
        <w:t xml:space="preserve">where</w:t>
      </w:r>
      <w:r>
        <w:t xml:space="preserve"> </w:t>
      </w:r>
      <m:oMath>
        <m:sSub>
          <m:e>
            <m:r>
              <m:t>ρ</m:t>
            </m:r>
          </m:e>
          <m:sub>
            <m:r>
              <m:t>m</m:t>
            </m:r>
          </m:sub>
        </m:sSub>
      </m:oMath>
      <w:r>
        <w:t xml:space="preserve"> </w:t>
      </w:r>
      <w:r>
        <w:t xml:space="preserve">is grout density,</w:t>
      </w:r>
      <w:r>
        <w:t xml:space="preserve"> </w:t>
      </w:r>
      <m:oMath>
        <m:sSub>
          <m:e>
            <m:r>
              <m:t>D</m:t>
            </m:r>
          </m:e>
          <m:sub>
            <m:r>
              <m:t>i</m:t>
            </m:r>
          </m:sub>
        </m:sSub>
      </m:oMath>
      <w:r>
        <w:t xml:space="preserve"> </w:t>
      </w:r>
      <w:r>
        <w:t xml:space="preserve">is culm outer diameter,</w:t>
      </w:r>
      <w:r>
        <w:t xml:space="preserve"> </w:t>
      </w:r>
      <m:oMath>
        <m:sSub>
          <m:e>
            <m:r>
              <m:t>t</m:t>
            </m:r>
          </m:e>
          <m:sub>
            <m:r>
              <m:t>i</m:t>
            </m:r>
          </m:sub>
        </m:sSub>
      </m:oMath>
      <w:r>
        <w:t xml:space="preserve"> </w:t>
      </w:r>
      <w:r>
        <w:t xml:space="preserve">is wall thickness, and</w:t>
      </w:r>
      <w:r>
        <w:t xml:space="preserve"> </w:t>
      </w:r>
      <m:oMath>
        <m:r>
          <m:t>β</m:t>
        </m:r>
      </m:oMath>
      <w:r>
        <w:t xml:space="preserve"> </w:t>
      </w:r>
      <w:r>
        <w:t xml:space="preserve">is the dimensionless grout infill length ratio (</w:t>
      </w:r>
      <m:oMath>
        <m:r>
          <m:t>β</m:t>
        </m:r>
        <m:r>
          <m:rPr>
            <m:sty m:val="p"/>
          </m:rPr>
          <m:t>=</m:t>
        </m:r>
        <m:sSub>
          <m:e>
            <m:r>
              <m:t>L</m:t>
            </m:r>
          </m:e>
          <m:sub>
            <m:r>
              <m:t>g</m:t>
            </m:r>
            <m:r>
              <m:t>r</m:t>
            </m:r>
            <m:r>
              <m:t>o</m:t>
            </m:r>
            <m:r>
              <m:t>u</m:t>
            </m:r>
            <m:r>
              <m:t>t</m:t>
            </m:r>
          </m:sub>
        </m:sSub>
        <m:r>
          <m:rPr>
            <m:sty m:val="p"/>
          </m:rPr>
          <m:t>/</m:t>
        </m:r>
        <m:r>
          <m:t>D</m:t>
        </m:r>
      </m:oMath>
      <w:r>
        <w:t xml:space="preserve">). For steel domes,</w:t>
      </w:r>
      <w:r>
        <w:t xml:space="preserve"> </w:t>
      </w:r>
      <m:oMath>
        <m:sSub>
          <m:e>
            <m:r>
              <m:t>E</m:t>
            </m:r>
          </m:e>
          <m:sub>
            <m:sSub>
              <m:e>
                <m:r>
                  <m:rPr>
                    <m:nor/>
                  </m:rPr>
                  <m:t>CO</m:t>
                </m:r>
              </m:e>
              <m:sub>
                <m:r>
                  <m:t>2</m:t>
                </m:r>
              </m:sub>
            </m:sSub>
          </m:sub>
        </m:sSub>
        <m:r>
          <m:rPr>
            <m:sty m:val="p"/>
          </m:rPr>
          <m:t>=</m:t>
        </m:r>
        <m:r>
          <m:t>E</m:t>
        </m:r>
        <m:sSub>
          <m:e>
            <m:r>
              <m:t>C</m:t>
            </m:r>
          </m:e>
          <m:sub>
            <m:r>
              <m:t>p</m:t>
            </m:r>
            <m:r>
              <m:t>i</m:t>
            </m:r>
            <m:r>
              <m:t>p</m:t>
            </m:r>
            <m:r>
              <m:t>e</m:t>
            </m:r>
          </m:sub>
        </m:sSub>
        <m:sSub>
          <m:e>
            <m:r>
              <m:t>m</m:t>
            </m:r>
          </m:e>
          <m:sub>
            <m:r>
              <m:t>p</m:t>
            </m:r>
            <m:r>
              <m:t>i</m:t>
            </m:r>
            <m:r>
              <m:t>p</m:t>
            </m:r>
            <m:r>
              <m:t>e</m:t>
            </m:r>
          </m:sub>
        </m:sSub>
        <m:r>
          <m:rPr>
            <m:sty m:val="p"/>
          </m:rPr>
          <m:t>+</m:t>
        </m:r>
        <m:r>
          <m:t>E</m:t>
        </m:r>
        <m:sSub>
          <m:e>
            <m:r>
              <m:t>C</m:t>
            </m:r>
          </m:e>
          <m:sub>
            <m:r>
              <m:t>s</m:t>
            </m:r>
          </m:sub>
        </m:sSub>
        <m:sSub>
          <m:e>
            <m:r>
              <m:t>m</m:t>
            </m:r>
          </m:e>
          <m:sub>
            <m:r>
              <m:t>s</m:t>
            </m:r>
          </m:sub>
        </m:sSub>
      </m:oMath>
      <w:r>
        <w:t xml:space="preserve">, assuming identical steel connection hub mass and zero grout. The joint carbon share, defined as</w:t>
      </w:r>
      <w:r>
        <w:t xml:space="preserve"> </w:t>
      </w:r>
      <m:oMath>
        <m:r>
          <m:rPr>
            <m:sty m:val="p"/>
          </m:rPr>
          <m:t>(</m:t>
        </m:r>
        <m:r>
          <m:t>E</m:t>
        </m:r>
        <m:sSub>
          <m:e>
            <m:r>
              <m:t>C</m:t>
            </m:r>
          </m:e>
          <m:sub>
            <m:r>
              <m:t>s</m:t>
            </m:r>
          </m:sub>
        </m:sSub>
        <m:sSub>
          <m:e>
            <m:r>
              <m:t>m</m:t>
            </m:r>
          </m:e>
          <m:sub>
            <m:r>
              <m:t>s</m:t>
            </m:r>
          </m:sub>
        </m:sSub>
        <m:r>
          <m:rPr>
            <m:sty m:val="p"/>
          </m:rPr>
          <m:t>+</m:t>
        </m:r>
        <m:r>
          <m:t>E</m:t>
        </m:r>
        <m:sSub>
          <m:e>
            <m:r>
              <m:t>C</m:t>
            </m:r>
          </m:e>
          <m:sub>
            <m:r>
              <m:t>m</m:t>
            </m:r>
          </m:sub>
        </m:sSub>
        <m:sSub>
          <m:e>
            <m:r>
              <m:t>m</m:t>
            </m:r>
          </m:e>
          <m:sub>
            <m:r>
              <m:t>m</m:t>
            </m:r>
          </m:sub>
        </m:sSub>
        <m:r>
          <m:rPr>
            <m:sty m:val="p"/>
          </m:rPr>
          <m:t>)</m:t>
        </m:r>
        <m:r>
          <m:rPr>
            <m:sty m:val="p"/>
          </m:rPr>
          <m:t>/</m:t>
        </m:r>
        <m:sSub>
          <m:e>
            <m:r>
              <m:t>E</m:t>
            </m:r>
          </m:e>
          <m:sub>
            <m:sSub>
              <m:e>
                <m:r>
                  <m:rPr>
                    <m:nor/>
                  </m:rPr>
                  <m:t>CO</m:t>
                </m:r>
              </m:e>
              <m:sub>
                <m:r>
                  <m:t>2</m:t>
                </m:r>
              </m:sub>
            </m:sSub>
          </m:sub>
        </m:sSub>
      </m:oMath>
      <w:r>
        <w:t xml:space="preserve">, is subjected to single-parameter and multi-parameter sensitivity sweeps (Section 4.4).</w:t>
      </w:r>
    </w:p>
    <w:p>
      <w:pPr>
        <w:pStyle w:val="Heading2"/>
      </w:pPr>
      <w:bookmarkStart w:id="24" w:name="_98de8c42a417b8c9898955a7a51ae34a1b6efb1"/>
      <w:r>
        <w:t xml:space="preserve">2.7 Material cost formulation</w:t>
      </w:r>
      <w:bookmarkEnd w:id="24"/>
    </w:p>
    <w:p>
      <w:pPr>
        <w:pStyle w:val="FirstParagraph"/>
      </w:pPr>
      <w:r>
        <w:t xml:space="preserve">Direct structural material costs are modeled without consideration of site labor, transportation logistics, or long-term maintenance:</w:t>
      </w:r>
    </w:p>
    <w:p>
      <w:pPr>
        <w:pStyle w:val="BodyText"/>
      </w:pPr>
      <m:oMathPara>
        <m:oMathParaPr>
          <m:jc m:val="center"/>
        </m:oMathParaPr>
        <m:oMath>
          <m:sSub>
            <m:e>
              <m:r>
                <m:t>C</m:t>
              </m:r>
            </m:e>
            <m:sub>
              <m:r>
                <m:t>b</m:t>
              </m:r>
              <m:r>
                <m:t>a</m:t>
              </m:r>
              <m:r>
                <m:t>m</m:t>
              </m:r>
              <m:r>
                <m:t>b</m:t>
              </m:r>
              <m:r>
                <m:t>o</m:t>
              </m:r>
              <m:r>
                <m:t>o</m:t>
              </m:r>
            </m:sub>
          </m:sSub>
          <m:r>
            <m:rPr>
              <m:sty m:val="p"/>
            </m:rPr>
            <m:t>=</m:t>
          </m:r>
          <m:nary>
            <m:naryPr>
              <m:chr m:val="∑"/>
              <m:limLoc m:val="undOvr"/>
              <m:subHide m:val="off"/>
              <m:supHide m:val="off"/>
            </m:naryPr>
            <m:sub>
              <m:r>
                <m:t>i</m:t>
              </m:r>
              <m:r>
                <m:rPr>
                  <m:sty m:val="p"/>
                </m:rPr>
                <m:t>=</m:t>
              </m:r>
              <m:r>
                <m:t>1</m:t>
              </m:r>
            </m:sub>
            <m:sup>
              <m:sSub>
                <m:e>
                  <m:r>
                    <m:t>N</m:t>
                  </m:r>
                </m:e>
                <m:sub>
                  <m:r>
                    <m:t>m</m:t>
                  </m:r>
                </m:sub>
              </m:sSub>
            </m:sup>
            <m:e>
              <m:sSub>
                <m:e>
                  <m:r>
                    <m:t>L</m:t>
                  </m:r>
                </m:e>
                <m:sub>
                  <m:r>
                    <m:t>i</m:t>
                  </m:r>
                </m:sub>
              </m:sSub>
            </m:e>
          </m:nary>
          <m:r>
            <m:t> </m:t>
          </m:r>
          <m:sSub>
            <m:e>
              <m:r>
                <m:t>p</m:t>
              </m:r>
            </m:e>
            <m:sub>
              <m:r>
                <m:t>b</m:t>
              </m:r>
            </m:sub>
          </m:sSub>
          <m:r>
            <m:rPr>
              <m:sty m:val="p"/>
            </m:rPr>
            <m:t>(</m:t>
          </m:r>
          <m:sSub>
            <m:e>
              <m:r>
                <m:t>D</m:t>
              </m:r>
            </m:e>
            <m:sub>
              <m:r>
                <m:t>i</m:t>
              </m:r>
            </m:sub>
          </m:sSub>
          <m:r>
            <m:rPr>
              <m:sty m:val="p"/>
            </m:rPr>
            <m:t>)</m:t>
          </m:r>
          <m:r>
            <m:rPr>
              <m:sty m:val="p"/>
            </m:rPr>
            <m:t>+</m:t>
          </m:r>
          <m:sSub>
            <m:e>
              <m:r>
                <m:t>p</m:t>
              </m:r>
            </m:e>
            <m:sub>
              <m:r>
                <m:t>s</m:t>
              </m:r>
            </m:sub>
          </m:sSub>
          <m:r>
            <m:t> </m:t>
          </m:r>
          <m:sSub>
            <m:e>
              <m:r>
                <m:t>m</m:t>
              </m:r>
            </m:e>
            <m:sub>
              <m:r>
                <m:t>s</m:t>
              </m:r>
            </m:sub>
          </m:sSub>
          <m:r>
            <m:rPr>
              <m:sty m:val="p"/>
            </m:rPr>
            <m:t>+</m:t>
          </m:r>
          <m:sSub>
            <m:e>
              <m:r>
                <m:t>p</m:t>
              </m:r>
            </m:e>
            <m:sub>
              <m:r>
                <m:t>g</m:t>
              </m:r>
            </m:sub>
          </m:sSub>
          <m:r>
            <m:t> </m:t>
          </m:r>
          <m:sSub>
            <m:e>
              <m:r>
                <m:t>m</m:t>
              </m:r>
            </m:e>
            <m:sub>
              <m:r>
                <m:t>m</m:t>
              </m:r>
            </m:sub>
          </m:sSub>
          <m:r>
            <m:rPr>
              <m:sty m:val="p"/>
            </m:rPr>
            <m:t>,</m:t>
          </m:r>
          <m:r>
            <m:t>  </m:t>
          </m:r>
          <m:sSub>
            <m:e>
              <m:r>
                <m:t>p</m:t>
              </m:r>
            </m:e>
            <m:sub>
              <m:r>
                <m:t>b</m:t>
              </m:r>
            </m:sub>
          </m:sSub>
          <m:r>
            <m:rPr>
              <m:sty m:val="p"/>
            </m:rPr>
            <m:t>(</m:t>
          </m:r>
          <m:r>
            <m:t>D</m:t>
          </m:r>
          <m:r>
            <m:rPr>
              <m:sty m:val="p"/>
            </m:rPr>
            <m:t>)</m:t>
          </m:r>
          <m:r>
            <m:rPr>
              <m:sty m:val="p"/>
            </m:rPr>
            <m:t>=</m:t>
          </m:r>
          <m:sSub>
            <m:e>
              <m:r>
                <m:t>p</m:t>
              </m:r>
            </m:e>
            <m:sub>
              <m:r>
                <m:t>r</m:t>
              </m:r>
              <m:r>
                <m:t>e</m:t>
              </m:r>
              <m:r>
                <m:t>f</m:t>
              </m:r>
            </m:sub>
          </m:sSub>
          <m:sSup>
            <m:e>
              <m:d>
                <m:dPr>
                  <m:begChr m:val="("/>
                  <m:sepChr m:val=""/>
                  <m:endChr m:val=")"/>
                  <m:grow/>
                </m:dPr>
                <m:e>
                  <m:f>
                    <m:fPr>
                      <m:type m:val="bar"/>
                    </m:fPr>
                    <m:num>
                      <m:r>
                        <m:t>D</m:t>
                      </m:r>
                    </m:num>
                    <m:den>
                      <m:sSub>
                        <m:e>
                          <m:r>
                            <m:t>D</m:t>
                          </m:r>
                        </m:e>
                        <m:sub>
                          <m:r>
                            <m:t>r</m:t>
                          </m:r>
                          <m:r>
                            <m:t>e</m:t>
                          </m:r>
                          <m:r>
                            <m:t>f</m:t>
                          </m:r>
                        </m:sub>
                      </m:sSub>
                    </m:den>
                  </m:f>
                </m:e>
              </m:d>
            </m:e>
            <m:sup>
              <m:r>
                <m:t>α</m:t>
              </m:r>
            </m:sup>
          </m:sSup>
        </m:oMath>
      </m:oMathPara>
    </w:p>
    <w:p>
      <w:pPr>
        <w:pStyle w:val="FirstParagraph"/>
      </w:pPr>
      <w:r>
        <w:t xml:space="preserve">where</w:t>
      </w:r>
      <w:r>
        <w:t xml:space="preserve"> </w:t>
      </w:r>
      <m:oMath>
        <m:sSub>
          <m:e>
            <m:r>
              <m:t>p</m:t>
            </m:r>
          </m:e>
          <m:sub>
            <m:r>
              <m:t>b</m:t>
            </m:r>
          </m:sub>
        </m:sSub>
        <m:r>
          <m:rPr>
            <m:sty m:val="p"/>
          </m:rPr>
          <m:t>(</m:t>
        </m:r>
        <m:r>
          <m:t>D</m:t>
        </m:r>
        <m:r>
          <m:rPr>
            <m:sty m:val="p"/>
          </m:rPr>
          <m:t>)</m:t>
        </m:r>
      </m:oMath>
      <w:r>
        <w:t xml:space="preserve"> </w:t>
      </w:r>
      <w:r>
        <w:t xml:space="preserve">represents the diameter-dependent bamboo price per linear meter, scaled nonlinearly from reference unit cost</w:t>
      </w:r>
      <w:r>
        <w:t xml:space="preserve"> </w:t>
      </w:r>
      <m:oMath>
        <m:sSub>
          <m:e>
            <m:r>
              <m:t>p</m:t>
            </m:r>
          </m:e>
          <m:sub>
            <m:r>
              <m:t>r</m:t>
            </m:r>
            <m:r>
              <m:t>e</m:t>
            </m:r>
            <m:r>
              <m:t>f</m:t>
            </m:r>
          </m:sub>
        </m:sSub>
      </m:oMath>
      <w:r>
        <w:t xml:space="preserve"> </w:t>
      </w:r>
      <w:r>
        <w:t xml:space="preserve">at base diameter</w:t>
      </w:r>
      <w:r>
        <w:t xml:space="preserve"> </w:t>
      </w:r>
      <m:oMath>
        <m:sSub>
          <m:e>
            <m:r>
              <m:t>D</m:t>
            </m:r>
          </m:e>
          <m:sub>
            <m:r>
              <m:t>r</m:t>
            </m:r>
            <m:r>
              <m:t>e</m:t>
            </m:r>
            <m:r>
              <m:t>f</m:t>
            </m:r>
          </m:sub>
        </m:sSub>
      </m:oMath>
      <w:r>
        <w:t xml:space="preserve"> </w:t>
      </w:r>
      <w:r>
        <w:t xml:space="preserve">through exponent</w:t>
      </w:r>
      <w:r>
        <w:t xml:space="preserve"> </w:t>
      </w:r>
      <m:oMath>
        <m:r>
          <m:t>α</m:t>
        </m:r>
        <m:r>
          <m:rPr>
            <m:sty m:val="p"/>
          </m:rPr>
          <m:t>∈</m:t>
        </m:r>
        <m:r>
          <m:rPr>
            <m:sty m:val="p"/>
          </m:rPr>
          <m:t>[</m:t>
        </m:r>
        <m:r>
          <m:t>1.5</m:t>
        </m:r>
        <m:r>
          <m:rPr>
            <m:sty m:val="p"/>
          </m:rPr>
          <m:t>,</m:t>
        </m:r>
        <m:r>
          <m:t>3.0</m:t>
        </m:r>
        <m:r>
          <m:rPr>
            <m:sty m:val="p"/>
          </m:rPr>
          <m:t>]</m:t>
        </m:r>
      </m:oMath>
      <w:r>
        <w:t xml:space="preserve">;</w:t>
      </w:r>
      <w:r>
        <w:t xml:space="preserve"> </w:t>
      </w:r>
      <m:oMath>
        <m:sSub>
          <m:e>
            <m:r>
              <m:t>p</m:t>
            </m:r>
          </m:e>
          <m:sub>
            <m:r>
              <m:t>s</m:t>
            </m:r>
          </m:sub>
        </m:sSub>
      </m:oMath>
      <w:r>
        <w:t xml:space="preserve"> </w:t>
      </w:r>
      <w:r>
        <w:t xml:space="preserve">and</w:t>
      </w:r>
      <w:r>
        <w:t xml:space="preserve"> </w:t>
      </w:r>
      <m:oMath>
        <m:sSub>
          <m:e>
            <m:r>
              <m:t>p</m:t>
            </m:r>
          </m:e>
          <m:sub>
            <m:r>
              <m:t>g</m:t>
            </m:r>
          </m:sub>
        </m:sSub>
      </m:oMath>
      <w:r>
        <w:t xml:space="preserve"> </w:t>
      </w:r>
      <w:r>
        <w:t xml:space="preserve">denote unit material prices (USD/kg) for steel and grout. For steel domes, total material expenditure is</w:t>
      </w:r>
      <w:r>
        <w:t xml:space="preserve"> </w:t>
      </w:r>
      <m:oMath>
        <m:sSub>
          <m:e>
            <m:r>
              <m:t>C</m:t>
            </m:r>
          </m:e>
          <m:sub>
            <m:r>
              <m:t>s</m:t>
            </m:r>
            <m:r>
              <m:t>t</m:t>
            </m:r>
            <m:r>
              <m:t>e</m:t>
            </m:r>
            <m:r>
              <m:t>e</m:t>
            </m:r>
            <m:r>
              <m:t>l</m:t>
            </m:r>
          </m:sub>
        </m:sSub>
        <m:r>
          <m:rPr>
            <m:sty m:val="p"/>
          </m:rPr>
          <m:t>=</m:t>
        </m:r>
        <m:sSub>
          <m:e>
            <m:r>
              <m:t>p</m:t>
            </m:r>
          </m:e>
          <m:sub>
            <m:r>
              <m:t>s</m:t>
            </m:r>
          </m:sub>
        </m:sSub>
        <m:r>
          <m:rPr>
            <m:sty m:val="p"/>
          </m:rPr>
          <m:t>(</m:t>
        </m:r>
        <m:sSub>
          <m:e>
            <m:r>
              <m:t>m</m:t>
            </m:r>
          </m:e>
          <m:sub>
            <m:r>
              <m:t>p</m:t>
            </m:r>
            <m:r>
              <m:t>i</m:t>
            </m:r>
            <m:r>
              <m:t>p</m:t>
            </m:r>
            <m:r>
              <m:t>e</m:t>
            </m:r>
          </m:sub>
        </m:sSub>
        <m:r>
          <m:rPr>
            <m:sty m:val="p"/>
          </m:rPr>
          <m:t>+</m:t>
        </m:r>
        <m:sSub>
          <m:e>
            <m:r>
              <m:t>m</m:t>
            </m:r>
          </m:e>
          <m:sub>
            <m:r>
              <m:t>s</m:t>
            </m:r>
          </m:sub>
        </m:sSub>
        <m:r>
          <m:rPr>
            <m:sty m:val="p"/>
          </m:rPr>
          <m:t>)</m:t>
        </m:r>
      </m:oMath>
      <w:r>
        <w:t xml:space="preserve">. Unit price inventories across four international economic regions are documented in Section 3.5.</w:t>
      </w:r>
    </w:p>
    <w:p>
      <w:pPr>
        <w:pStyle w:val="Heading1"/>
      </w:pPr>
      <w:bookmarkStart w:id="25" w:name="_583f48d4f63a8d32adb8bd4ca310b5fcf7a171c"/>
      <w:r>
        <w:t xml:space="preserve">3. Numerical examples</w:t>
      </w:r>
      <w:bookmarkEnd w:id="25"/>
    </w:p>
    <w:p>
      <w:pPr>
        <w:pStyle w:val="FirstParagraph"/>
      </w:pPr>
      <w:r>
        <w:t xml:space="preserve">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pPr>
        <w:pStyle w:val="Heading2"/>
      </w:pPr>
      <w:bookmarkStart w:id="26" w:name="_84fb549a87d68f92b523e947af6736bd3a9700d"/>
      <w:r>
        <w:t xml:space="preserve">3.1 Space dome topologies, geometry, and design grouping</w:t>
      </w:r>
      <w:bookmarkEnd w:id="26"/>
    </w:p>
    <w:p>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structural configurations are summarized in Table 1, with the generation algorithms and the wind pressure zoning given in Supplementary Material Appendix S4.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Code Designation</w:t>
            </w:r>
          </w:p>
        </w:tc>
        <w:tc>
          <w:tcPr/>
          <w:p>
            <w:pPr>
              <w:pStyle w:val="Compact"/>
            </w:pPr>
            <w:r>
              <w:t xml:space="preserve">Span [m]</w:t>
            </w:r>
          </w:p>
        </w:tc>
        <w:tc>
          <w:tcPr/>
          <w:p>
            <w:pPr>
              <w:pStyle w:val="Compact"/>
            </w:pPr>
            <w:r>
              <w:t xml:space="preserve">Rise [m]</w:t>
            </w:r>
          </w:p>
        </w:tc>
        <w:tc>
          <w:tcPr/>
          <w:p>
            <w:pPr>
              <w:pStyle w:val="Compact"/>
            </w:pPr>
            <w:r>
              <w:t xml:space="preserve">Nodes (</w:t>
            </w:r>
            <m:oMath>
              <m:sSub>
                <m:e>
                  <m:r>
                    <m:t>N</m:t>
                  </m:r>
                </m:e>
                <m:sub>
                  <m:r>
                    <m:t>n</m:t>
                  </m:r>
                </m:sub>
              </m:sSub>
            </m:oMath>
            <w:r>
              <w:t xml:space="preserve">)</w:t>
            </w:r>
          </w:p>
        </w:tc>
        <w:tc>
          <w:tcPr/>
          <w:p>
            <w:pPr>
              <w:pStyle w:val="Compact"/>
            </w:pPr>
            <w:r>
              <w:t xml:space="preserve">Members (</w:t>
            </w:r>
            <m:oMath>
              <m:sSub>
                <m:e>
                  <m:r>
                    <m:t>N</m:t>
                  </m:r>
                </m:e>
                <m:sub>
                  <m:r>
                    <m:t>m</m:t>
                  </m:r>
                </m:sub>
              </m:sSub>
            </m:oMath>
            <w:r>
              <w:t xml:space="preserve">)</w:t>
            </w:r>
          </w:p>
        </w:tc>
        <w:tc>
          <w:tcPr/>
          <w:p>
            <w:pPr>
              <w:pStyle w:val="Compact"/>
            </w:pPr>
            <w:r>
              <w:t xml:space="preserve">Design Groups (</w:t>
            </w:r>
            <m:oMath>
              <m:sSub>
                <m:e>
                  <m:r>
                    <m:t>N</m:t>
                  </m:r>
                </m:e>
                <m:sub>
                  <m:r>
                    <m:t>g</m:t>
                  </m:r>
                </m:sub>
              </m:sSub>
            </m:oMath>
            <w:r>
              <w:t xml:space="preserve">)</w:t>
            </w:r>
          </w:p>
        </w:tc>
        <w:tc>
          <w:tcPr/>
          <w:p>
            <w:pPr>
              <w:pStyle w:val="Compact"/>
            </w:pPr>
            <w:r>
              <w:t xml:space="preserve">Supported Nodes</w:t>
            </w:r>
          </w:p>
        </w:tc>
        <w:tc>
          <w:tcPr/>
          <w:p>
            <w:pPr>
              <w:pStyle w:val="Compact"/>
            </w:pPr>
            <w:r>
              <w:t xml:space="preserve">Member Length Range [m]</w:t>
            </w:r>
          </w:p>
        </w:tc>
        <w:tc>
          <w:tcPr/>
          <w:p>
            <w:pPr>
              <w:pStyle w:val="Compact"/>
            </w:pPr>
            <m:oMath>
              <m:sSub>
                <m:e>
                  <m:r>
                    <m:t>u</m:t>
                  </m:r>
                </m:e>
                <m:sub>
                  <m:r>
                    <m:t>l</m:t>
                  </m:r>
                  <m:r>
                    <m:t>i</m:t>
                  </m:r>
                  <m:r>
                    <m:t>m</m:t>
                  </m:r>
                </m:sub>
              </m:sSub>
            </m:oMath>
            <w:r>
              <w:t xml:space="preserve"> </w:t>
            </w:r>
            <w:r>
              <w:t xml:space="preserve">[mm]</w:t>
            </w:r>
          </w:p>
        </w:tc>
      </w:tr>
      <w:tr>
        <w:tc>
          <w:tcPr/>
          <w:p>
            <w:pPr>
              <w:pStyle w:val="Compact"/>
            </w:pPr>
            <w:r>
              <w:t xml:space="preserve">Geodesic</w:t>
            </w:r>
          </w:p>
        </w:tc>
        <w:tc>
          <w:tcPr/>
          <w:p>
            <w:pPr>
              <w:pStyle w:val="Compact"/>
            </w:pPr>
            <w:r>
              <w:t xml:space="preserve">geodesic16</w:t>
            </w:r>
          </w:p>
        </w:tc>
        <w:tc>
          <w:tcPr/>
          <w:p>
            <w:pPr>
              <w:pStyle w:val="Compact"/>
            </w:pPr>
            <w:r>
              <w:t xml:space="preserve">16.0 (nominal)</w:t>
            </w:r>
          </w:p>
        </w:tc>
        <w:tc>
          <w:tcPr/>
          <w:p>
            <w:pPr>
              <w:pStyle w:val="Compact"/>
            </w:pPr>
            <w:r>
              <w:t xml:space="preserve">3.72</w:t>
            </w:r>
          </w:p>
        </w:tc>
        <w:tc>
          <w:tcPr/>
          <w:p>
            <w:pPr>
              <w:pStyle w:val="Compact"/>
            </w:pPr>
            <w:r>
              <w:t xml:space="preserve">46</w:t>
            </w:r>
          </w:p>
        </w:tc>
        <w:tc>
          <w:tcPr/>
          <w:p>
            <w:pPr>
              <w:pStyle w:val="Compact"/>
            </w:pPr>
            <w:r>
              <w:t xml:space="preserve">115</w:t>
            </w:r>
          </w:p>
        </w:tc>
        <w:tc>
          <w:tcPr/>
          <w:p>
            <w:pPr>
              <w:pStyle w:val="Compact"/>
            </w:pPr>
            <w:r>
              <w:t xml:space="preserve">23</w:t>
            </w:r>
          </w:p>
        </w:tc>
        <w:tc>
          <w:tcPr/>
          <w:p>
            <w:pPr>
              <w:pStyle w:val="Compact"/>
            </w:pPr>
            <w:r>
              <w:t xml:space="preserve">20</w:t>
            </w:r>
          </w:p>
        </w:tc>
        <w:tc>
          <w:tcPr/>
          <w:p>
            <w:pPr>
              <w:pStyle w:val="Compact"/>
            </w:pPr>
            <w:r>
              <w:t xml:space="preserve">2.24–2.96</w:t>
            </w:r>
          </w:p>
        </w:tc>
        <w:tc>
          <w:tcPr/>
          <w:p>
            <w:pPr>
              <w:pStyle w:val="Compact"/>
            </w:pPr>
            <w:r>
              <w:t xml:space="preserve">107</w:t>
            </w:r>
          </w:p>
        </w:tc>
      </w:tr>
      <w:tr>
        <w:tc>
          <w:tcPr/>
          <w:p>
            <w:pPr>
              <w:pStyle w:val="Compact"/>
            </w:pPr>
            <w:r>
              <w:t xml:space="preserve">Kiewitt</w:t>
            </w:r>
          </w:p>
        </w:tc>
        <w:tc>
          <w:tcPr/>
          <w:p>
            <w:pPr>
              <w:pStyle w:val="Compact"/>
            </w:pPr>
            <w:r>
              <w:t xml:space="preserve">kiewitt32</w:t>
            </w:r>
          </w:p>
        </w:tc>
        <w:tc>
          <w:tcPr/>
          <w:p>
            <w:pPr>
              <w:pStyle w:val="Compact"/>
            </w:pPr>
            <w:r>
              <w:t xml:space="preserve">32.0</w:t>
            </w:r>
          </w:p>
        </w:tc>
        <w:tc>
          <w:tcPr/>
          <w:p>
            <w:pPr>
              <w:pStyle w:val="Compact"/>
            </w:pPr>
            <w:r>
              <w:t xml:space="preserve">6.60</w:t>
            </w:r>
          </w:p>
        </w:tc>
        <w:tc>
          <w:tcPr/>
          <w:p>
            <w:pPr>
              <w:pStyle w:val="Compact"/>
            </w:pPr>
            <w:r>
              <w:t xml:space="preserve">169</w:t>
            </w:r>
          </w:p>
        </w:tc>
        <w:tc>
          <w:tcPr/>
          <w:p>
            <w:pPr>
              <w:pStyle w:val="Compact"/>
            </w:pPr>
            <w:r>
              <w:t xml:space="preserve">456</w:t>
            </w:r>
          </w:p>
        </w:tc>
        <w:tc>
          <w:tcPr/>
          <w:p>
            <w:pPr>
              <w:pStyle w:val="Compact"/>
            </w:pPr>
            <w:r>
              <w:t xml:space="preserve">22</w:t>
            </w:r>
          </w:p>
        </w:tc>
        <w:tc>
          <w:tcPr/>
          <w:p>
            <w:pPr>
              <w:pStyle w:val="Compact"/>
            </w:pPr>
            <w:r>
              <w:t xml:space="preserve">48</w:t>
            </w:r>
          </w:p>
        </w:tc>
        <w:tc>
          <w:tcPr/>
          <w:p>
            <w:pPr>
              <w:pStyle w:val="Compact"/>
            </w:pPr>
            <w:r>
              <w:t xml:space="preserve">2.09–3.55</w:t>
            </w:r>
          </w:p>
        </w:tc>
        <w:tc>
          <w:tcPr/>
          <w:p>
            <w:pPr>
              <w:pStyle w:val="Compact"/>
            </w:pPr>
            <w:r>
              <w:t xml:space="preserve">213</w:t>
            </w:r>
          </w:p>
        </w:tc>
      </w:tr>
      <w:tr>
        <w:tc>
          <w:tcPr/>
          <w:p>
            <w:pPr>
              <w:pStyle w:val="Compact"/>
            </w:pPr>
            <w:r>
              <w:t xml:space="preserve">Ribbed</w:t>
            </w:r>
          </w:p>
        </w:tc>
        <w:tc>
          <w:tcPr/>
          <w:p>
            <w:pPr>
              <w:pStyle w:val="Compact"/>
            </w:pPr>
            <w:r>
              <w:t xml:space="preserve">ribbed40</w:t>
            </w:r>
          </w:p>
        </w:tc>
        <w:tc>
          <w:tcPr/>
          <w:p>
            <w:pPr>
              <w:pStyle w:val="Compact"/>
            </w:pPr>
            <w:r>
              <w:t xml:space="preserve">40.0</w:t>
            </w:r>
          </w:p>
        </w:tc>
        <w:tc>
          <w:tcPr/>
          <w:p>
            <w:pPr>
              <w:pStyle w:val="Compact"/>
            </w:pPr>
            <w:r>
              <w:t xml:space="preserve">8.28</w:t>
            </w:r>
          </w:p>
        </w:tc>
        <w:tc>
          <w:tcPr/>
          <w:p>
            <w:pPr>
              <w:pStyle w:val="Compact"/>
            </w:pPr>
            <w:r>
              <w:t xml:space="preserve">505</w:t>
            </w:r>
          </w:p>
        </w:tc>
        <w:tc>
          <w:tcPr/>
          <w:p>
            <w:pPr>
              <w:pStyle w:val="Compact"/>
            </w:pPr>
            <w:r>
              <w:t xml:space="preserve">1464</w:t>
            </w:r>
          </w:p>
        </w:tc>
        <w:tc>
          <w:tcPr/>
          <w:p>
            <w:pPr>
              <w:pStyle w:val="Compact"/>
            </w:pPr>
            <w:r>
              <w:t xml:space="preserve">43</w:t>
            </w:r>
          </w:p>
        </w:tc>
        <w:tc>
          <w:tcPr/>
          <w:p>
            <w:pPr>
              <w:pStyle w:val="Compact"/>
            </w:pPr>
            <w:r>
              <w:t xml:space="preserve">48</w:t>
            </w:r>
          </w:p>
        </w:tc>
        <w:tc>
          <w:tcPr/>
          <w:p>
            <w:pPr>
              <w:pStyle w:val="Compact"/>
            </w:pPr>
            <w:r>
              <w:t xml:space="preserve">0.76–3.08</w:t>
            </w:r>
          </w:p>
        </w:tc>
        <w:tc>
          <w:tcPr/>
          <w:p>
            <w:pPr>
              <w:pStyle w:val="Compact"/>
            </w:pPr>
            <w:r>
              <w:t xml:space="preserve">267</w:t>
            </w:r>
          </w:p>
        </w:tc>
      </w:tr>
    </w:tbl>
    <w:p>
      <w:pPr>
        <w:pStyle w:val="FirstParagraph"/>
      </w:pPr>
      <w:r>
        <w:rPr>
          <w:b/>
          <w:bCs/>
        </w:rPr>
        <w:t xml:space="preserve">Table 1.</w:t>
      </w:r>
      <w:r>
        <w:t xml:space="preserve"> </w:t>
      </w:r>
      <w:r>
        <w:t xml:space="preserve">Geometric parameters and modeling properties of the benchmark space domes.</w:t>
      </w:r>
      <w:r>
        <w:t xml:space="preserve"> </w:t>
      </w:r>
      <m:oMath>
        <m:sSub>
          <m:e>
            <m:r>
              <m:t>u</m:t>
            </m:r>
          </m:e>
          <m:sub>
            <m:r>
              <m:t>l</m:t>
            </m:r>
            <m:r>
              <m:t>i</m:t>
            </m:r>
            <m:r>
              <m:t>m</m:t>
            </m:r>
          </m:sub>
        </m:sSub>
        <m:r>
          <m:rPr>
            <m:sty m:val="p"/>
          </m:rPr>
          <m:t>=</m:t>
        </m:r>
        <m:r>
          <m:rPr>
            <m:nor/>
          </m:rPr>
          <m:t>span</m:t>
        </m:r>
        <m:r>
          <m:rPr>
            <m:sty m:val="p"/>
          </m:rPr>
          <m:t>/</m:t>
        </m:r>
        <m:r>
          <m:t>150</m:t>
        </m:r>
      </m:oMath>
      <w:r>
        <w:t xml:space="preserve">.</w:t>
      </w:r>
    </w:p>
    <w:p>
      <w:pPr>
        <w:pStyle w:val="BodyText"/>
      </w:pPr>
      <w:r>
        <w:t xml:space="preserve">The spatial layout of each dome configuration reflects standard spatial truss typologies established in the structural optimization literature [20, 29–31]:</w:t>
      </w:r>
      <w:r>
        <w:t xml:space="preserve"> </w:t>
      </w:r>
      <w:r>
        <w:t xml:space="preserve">-</w:t>
      </w:r>
      <w:r>
        <w:t xml:space="preserve"> </w:t>
      </w:r>
      <w:r>
        <w:rPr>
          <w:b/>
          <w:bCs/>
        </w:rPr>
        <w:t xml:space="preserve">Geodesic Dome (16 m span):</w:t>
      </w:r>
      <w:r>
        <w:t xml:space="preserve"> </w:t>
      </w:r>
      <w:r>
        <w:t xml:space="preserve">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w:t>
      </w:r>
      <w:r>
        <w:t xml:space="preserve"> </w:t>
      </w:r>
      <w:r>
        <w:t xml:space="preserve">-</w:t>
      </w:r>
      <w:r>
        <w:t xml:space="preserve"> </w:t>
      </w:r>
      <w:r>
        <w:rPr>
          <w:b/>
          <w:bCs/>
        </w:rPr>
        <w:t xml:space="preserve">Kiewitt Dome (32 m span):</w:t>
      </w:r>
      <w:r>
        <w:t xml:space="preserve"> </w:t>
      </w:r>
      <w:r>
        <w:t xml:space="preserve">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w:t>
      </w:r>
      <w:r>
        <w:t xml:space="preserve"> </w:t>
      </w:r>
      <w:r>
        <w:t xml:space="preserve">-</w:t>
      </w:r>
      <w:r>
        <w:t xml:space="preserve"> </w:t>
      </w:r>
      <w:r>
        <w:rPr>
          <w:b/>
          <w:bCs/>
        </w:rPr>
        <w:t xml:space="preserve">Ribbed (Schwedler-type) Dome (40 m span):</w:t>
      </w:r>
      <w:r>
        <w:t xml:space="preserve"> </w:t>
      </w:r>
      <w:r>
        <w:t xml:space="preserve">Derived from the well-established 40 m, 354-member benchmark space dome extensively investigated in steel optimization literature [20, 29–31]. In the original 354-member geometry, member lengths reach up to 5.97 m, which exceeds practical unbraced buckling limits for naturally grown structural bamboo culms. To make the topology viable for natural bio-materials without violating transportable culm lengths, a frequency-2 topological densification was executed, generating 505 nodes, 1464 members, and 43 design groups with member lengths strictly constrained between 0.76 m and 3.08 m. The 48 foundation support nodes are pinned.</w:t>
      </w:r>
      <w:r>
        <w:t xml:space="preserve"> </w:t>
      </w:r>
      <w:r>
        <w:t xml:space="preserve">-</w:t>
      </w:r>
      <w:r>
        <w:t xml:space="preserve"> </w:t>
      </w:r>
      <w:r>
        <w:rPr>
          <w:b/>
          <w:bCs/>
        </w:rPr>
        <w:t xml:space="preserve">Classical 354-Member Steel Reference Dome:</w:t>
      </w:r>
      <w:r>
        <w:t xml:space="preserve"> </w:t>
      </w:r>
      <w:r>
        <w:t xml:space="preserve">In addition to the three bio-structural benchmark domes, the classical 40 m span, 354-member, 22-group Schwedler-type steel dome [20, 29–31] was analyzed under identical loading conditions as an external literature calibration anchor.</w:t>
      </w:r>
    </w:p>
    <w:p>
      <w:pPr>
        <w:pStyle w:val="BodyText"/>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perspective view, (ii) plan view, and (iii) side elevation view. The generation algorithms of the node coordinates are given in Supplementary Material Appendix S4.</w:t>
      </w:r>
    </w:p>
    <w:p>
      <w:pPr>
        <w:pStyle w:val="CaptionedFigure"/>
      </w:pPr>
      <w:r>
        <w:drawing>
          <wp:inline>
            <wp:extent cx="5334000" cy="7114007"/>
            <wp:effectExtent b="0" l="0" r="0" t="0"/>
            <wp:docPr descr="Figure 2a" title="" id="28" name="Picture"/>
            <a:graphic>
              <a:graphicData uri="http://schemas.openxmlformats.org/drawingml/2006/picture">
                <pic:pic>
                  <pic:nvPicPr>
                    <pic:cNvPr descr="../../04_Results/figures/domes/geodesic16_views.png" id="29" name="Picture"/>
                    <pic:cNvPicPr>
                      <a:picLocks noChangeArrowheads="1" noChangeAspect="1"/>
                    </pic:cNvPicPr>
                  </pic:nvPicPr>
                  <pic:blipFill>
                    <a:blip r:embed="rId27"/>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2a</w:t>
      </w:r>
    </w:p>
    <w:p>
      <w:pPr>
        <w:pStyle w:val="FirstParagraph"/>
      </w:pPr>
      <w:r>
        <w:rPr>
          <w:i/>
          <w:iCs/>
        </w:rPr>
        <w:t xml:space="preserve">(a) 16 m Geodesic dome: (i) 3D view, (ii) plan view, (iii) side view</w:t>
      </w:r>
    </w:p>
    <w:p>
      <w:pPr>
        <w:pStyle w:val="CaptionedFigure"/>
      </w:pPr>
      <w:r>
        <w:drawing>
          <wp:inline>
            <wp:extent cx="5334000" cy="7114007"/>
            <wp:effectExtent b="0" l="0" r="0" t="0"/>
            <wp:docPr descr="Figure 2b" title="" id="31" name="Picture"/>
            <a:graphic>
              <a:graphicData uri="http://schemas.openxmlformats.org/drawingml/2006/picture">
                <pic:pic>
                  <pic:nvPicPr>
                    <pic:cNvPr descr="../../04_Results/figures/domes/kiewitt32_views.png" id="32" name="Picture"/>
                    <pic:cNvPicPr>
                      <a:picLocks noChangeArrowheads="1" noChangeAspect="1"/>
                    </pic:cNvPicPr>
                  </pic:nvPicPr>
                  <pic:blipFill>
                    <a:blip r:embed="rId30"/>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2b</w:t>
      </w:r>
    </w:p>
    <w:p>
      <w:pPr>
        <w:pStyle w:val="FirstParagraph"/>
      </w:pPr>
      <w:r>
        <w:rPr>
          <w:i/>
          <w:iCs/>
        </w:rPr>
        <w:t xml:space="preserve">(b) 32 m Kiewitt dome: (i) 3D view, (ii) plan view, (iii) side view</w:t>
      </w:r>
    </w:p>
    <w:p>
      <w:pPr>
        <w:pStyle w:val="CaptionedFigure"/>
      </w:pPr>
      <w:r>
        <w:drawing>
          <wp:inline>
            <wp:extent cx="5334000" cy="7114007"/>
            <wp:effectExtent b="0" l="0" r="0" t="0"/>
            <wp:docPr descr="Figure 2c" title="" id="34" name="Picture"/>
            <a:graphic>
              <a:graphicData uri="http://schemas.openxmlformats.org/drawingml/2006/picture">
                <pic:pic>
                  <pic:nvPicPr>
                    <pic:cNvPr descr="../../04_Results/figures/domes/ribbed40_views.png" id="35" name="Picture"/>
                    <pic:cNvPicPr>
                      <a:picLocks noChangeArrowheads="1" noChangeAspect="1"/>
                    </pic:cNvPicPr>
                  </pic:nvPicPr>
                  <pic:blipFill>
                    <a:blip r:embed="rId33"/>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2c</w:t>
      </w:r>
    </w:p>
    <w:p>
      <w:pPr>
        <w:pStyle w:val="FirstParagraph"/>
      </w:pPr>
      <w:r>
        <w:rPr>
          <w:i/>
          <w:iCs/>
        </w:rPr>
        <w:t xml:space="preserve">(c) 40 m Ribbed dome: (i) 3D view, (ii) plan view, (iii) side view</w:t>
      </w:r>
    </w:p>
    <w:p>
      <w:pPr>
        <w:pStyle w:val="BodyText"/>
      </w:pPr>
      <w:r>
        <w:rPr>
          <w:b/>
          <w:bCs/>
        </w:rPr>
        <w:t xml:space="preserve">Figure 2.</w:t>
      </w:r>
      <w:r>
        <w:t xml:space="preserve"> </w:t>
      </w:r>
      <w:r>
        <w:t xml:space="preserve">Spatial topology, plan projections, elevation profiles, and optimal cross-sectional diameter allocations across the three benchmark space domes: (a) 16 m Geodesic dome, (b) 32 m Kiewitt dome, and (c) 40 m Ribbed dome. For each dome topology, the respective panel displays: (i) 3D perspective view, (ii) plan view, and (iii) side elevation view, along with the color-coded culm outer diameter</w:t>
      </w:r>
      <w:r>
        <w:t xml:space="preserve"> </w:t>
      </w:r>
      <m:oMath>
        <m:r>
          <m:t>D</m:t>
        </m:r>
      </m:oMath>
      <w:r>
        <w:t xml:space="preserve"> </w:t>
      </w:r>
      <w:r>
        <w:t xml:space="preserve">[mm] scale bar.</w:t>
      </w:r>
    </w:p>
    <w:p>
      <w:pPr>
        <w:pStyle w:val="BodyText"/>
      </w:pPr>
      <w:r>
        <w:t xml:space="preserve">Elastic structural analysis is performed using an in-house direct stiffness solver verified against commercial finite element software (CSI SAP2000 v24). Serviceability displacement thresholds are adopted as an engineering design assumption set to</w:t>
      </w:r>
      <w:r>
        <w:t xml:space="preserve"> </w:t>
      </w:r>
      <m:oMath>
        <m:sSub>
          <m:e>
            <m:r>
              <m:t>u</m:t>
            </m:r>
          </m:e>
          <m:sub>
            <m:r>
              <m:t>l</m:t>
            </m:r>
            <m:r>
              <m:t>i</m:t>
            </m:r>
            <m:r>
              <m:t>m</m:t>
            </m:r>
          </m:sub>
        </m:sSub>
        <m:r>
          <m:rPr>
            <m:sty m:val="p"/>
          </m:rPr>
          <m:t>=</m:t>
        </m:r>
        <m:r>
          <m:rPr>
            <m:nor/>
          </m:rPr>
          <m:t>span</m:t>
        </m:r>
        <m:r>
          <m:rPr>
            <m:sty m:val="p"/>
          </m:rPr>
          <m:t>/</m:t>
        </m:r>
        <m:r>
          <m:t>150</m:t>
        </m:r>
      </m:oMath>
      <w:r>
        <w:t xml:space="preserve">, adapted from general flexural member serviceability guidance in the IStructE design manual [1] (since neither ISO 22156 nor NSR-10 specifies global roof deflection limits for reticulated spatial structures), yielding limits of 107 mm, 213 mm, and 267 mm, respectively.</w:t>
      </w:r>
    </w:p>
    <w:p>
      <w:pPr>
        <w:pStyle w:val="Heading2"/>
      </w:pPr>
      <w:bookmarkStart w:id="36" w:name="_54e6e4f5d4b59115f9bcdde54be14274be763f3"/>
      <w:r>
        <w:t xml:space="preserve">3.2 Material mechanical properties and discrete profile catalogues</w:t>
      </w:r>
      <w:bookmarkEnd w:id="36"/>
    </w:p>
    <w:p>
      <w:pPr>
        <w:pStyle w:val="FirstParagraph"/>
      </w:pPr>
      <w:r>
        <w:t xml:space="preserve">Material properties, allowable stress limits, and design factors for</w:t>
      </w:r>
      <w:r>
        <w:t xml:space="preserve"> </w:t>
      </w:r>
      <w:r>
        <w:rPr>
          <w:i/>
          <w:iCs/>
        </w:rPr>
        <w:t xml:space="preserve">Guadua angustifolia</w:t>
      </w:r>
      <w:r>
        <w:t xml:space="preserve"> </w:t>
      </w:r>
      <w:r>
        <w:t xml:space="preserve">bamboo are established in strict accordance with ISO 22156:2021 [36], the IStructE bamboo design manual [1], and NSR-10 Title G [37], drawing upon characteristic experimental evaluations of structural bamboo culms [13]. Table 2 presents the material parameters and design factors adopted in the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Mechanical / Design Property</w:t>
            </w:r>
          </w:p>
        </w:tc>
        <w:tc>
          <w:tcPr/>
          <w:p>
            <w:pPr>
              <w:pStyle w:val="Compact"/>
            </w:pPr>
            <w:r>
              <w:t xml:space="preserve">Design Value</w:t>
            </w:r>
          </w:p>
        </w:tc>
        <w:tc>
          <w:tcPr/>
          <w:p>
            <w:pPr>
              <w:pStyle w:val="Compact"/>
            </w:pPr>
            <w:r>
              <w:t xml:space="preserve">Codified Source and Justification</w:t>
            </w:r>
          </w:p>
        </w:tc>
      </w:tr>
      <w:tr>
        <w:tc>
          <w:tcPr/>
          <w:p>
            <w:pPr>
              <w:pStyle w:val="Compact"/>
            </w:pPr>
            <w:r>
              <w:t xml:space="preserve">Material density</w:t>
            </w:r>
            <w:r>
              <w:t xml:space="preserve"> </w:t>
            </w:r>
            <m:oMath>
              <m:r>
                <m:t>ρ</m:t>
              </m:r>
            </m:oMath>
          </w:p>
        </w:tc>
        <w:tc>
          <w:tcPr/>
          <w:p>
            <w:pPr>
              <w:pStyle w:val="Compact"/>
            </w:pPr>
            <w:r>
              <w:t xml:space="preserve">700 kg/m³</w:t>
            </w:r>
          </w:p>
        </w:tc>
        <w:tc>
          <w:tcPr/>
          <w:p>
            <w:pPr>
              <w:pStyle w:val="Compact"/>
            </w:pPr>
            <w:r>
              <w:t xml:space="preserve">ISO 22156 / IStructE Manual Table 4.4; Guadua mean is 680 kg/m³</w:t>
            </w:r>
          </w:p>
        </w:tc>
      </w:tr>
      <w:tr>
        <w:tc>
          <w:tcPr/>
          <w:p>
            <w:pPr>
              <w:pStyle w:val="Compact"/>
            </w:pPr>
            <w:r>
              <w:t xml:space="preserve">Characteristic elastic modulus</w:t>
            </w:r>
            <w:r>
              <w:t xml:space="preserve"> </w:t>
            </w:r>
            <m:oMath>
              <m:sSub>
                <m:e>
                  <m:r>
                    <m:t>E</m:t>
                  </m:r>
                </m:e>
                <m:sub>
                  <m:r>
                    <m:t>k</m:t>
                  </m:r>
                </m:sub>
              </m:sSub>
            </m:oMath>
          </w:p>
        </w:tc>
        <w:tc>
          <w:tcPr/>
          <w:p>
            <w:pPr>
              <w:pStyle w:val="Compact"/>
            </w:pPr>
            <w:r>
              <w:t xml:space="preserve">10,000 MPa</w:t>
            </w:r>
          </w:p>
        </w:tc>
        <w:tc>
          <w:tcPr/>
          <w:p>
            <w:pPr>
              <w:pStyle w:val="Compact"/>
            </w:pPr>
            <w:r>
              <w:t xml:space="preserve">Conservative baseline from Table 4.4 of [1]</w:t>
            </w:r>
          </w:p>
        </w:tc>
      </w:tr>
      <w:tr>
        <w:tc>
          <w:tcPr/>
          <w:p>
            <w:pPr>
              <w:pStyle w:val="Compact"/>
            </w:pPr>
            <w:r>
              <w:t xml:space="preserve">Characteristic tensile strength</w:t>
            </w:r>
            <w:r>
              <w:t xml:space="preserve"> </w:t>
            </w:r>
            <m:oMath>
              <m:sSub>
                <m:e>
                  <m:r>
                    <m:t>f</m:t>
                  </m:r>
                </m:e>
                <m:sub>
                  <m:r>
                    <m:t>t</m:t>
                  </m:r>
                  <m:r>
                    <m:rPr>
                      <m:sty m:val="p"/>
                    </m:rPr>
                    <m:t>,</m:t>
                  </m:r>
                  <m:r>
                    <m:t>0</m:t>
                  </m:r>
                  <m:r>
                    <m:rPr>
                      <m:sty m:val="p"/>
                    </m:rPr>
                    <m:t>,</m:t>
                  </m:r>
                  <m:r>
                    <m:t>k</m:t>
                  </m:r>
                </m:sub>
              </m:sSub>
            </m:oMath>
          </w:p>
        </w:tc>
        <w:tc>
          <w:tcPr/>
          <w:p>
            <w:pPr>
              <w:pStyle w:val="Compact"/>
            </w:pPr>
            <w:r>
              <w:t xml:space="preserve">40.0 MPa</w:t>
            </w:r>
          </w:p>
        </w:tc>
        <w:tc>
          <w:tcPr/>
          <w:p>
            <w:pPr>
              <w:pStyle w:val="Compact"/>
            </w:pPr>
            <w:r>
              <w:t xml:space="preserve">Table 4.4 of [1]</w:t>
            </w:r>
          </w:p>
        </w:tc>
      </w:tr>
      <w:tr>
        <w:tc>
          <w:tcPr/>
          <w:p>
            <w:pPr>
              <w:pStyle w:val="Compact"/>
            </w:pPr>
            <w:r>
              <w:t xml:space="preserve">Characteristic compressive strength</w:t>
            </w:r>
            <w:r>
              <w:t xml:space="preserve"> </w:t>
            </w:r>
            <m:oMath>
              <m:sSub>
                <m:e>
                  <m:r>
                    <m:t>f</m:t>
                  </m:r>
                </m:e>
                <m:sub>
                  <m:r>
                    <m:t>c</m:t>
                  </m:r>
                  <m:r>
                    <m:rPr>
                      <m:sty m:val="p"/>
                    </m:rPr>
                    <m:t>,</m:t>
                  </m:r>
                  <m:r>
                    <m:t>0</m:t>
                  </m:r>
                  <m:r>
                    <m:rPr>
                      <m:sty m:val="p"/>
                    </m:rPr>
                    <m:t>,</m:t>
                  </m:r>
                  <m:r>
                    <m:t>k</m:t>
                  </m:r>
                </m:sub>
              </m:sSub>
            </m:oMath>
          </w:p>
        </w:tc>
        <w:tc>
          <w:tcPr/>
          <w:p>
            <w:pPr>
              <w:pStyle w:val="Compact"/>
            </w:pPr>
            <w:r>
              <w:t xml:space="preserve">37.8 MPa</w:t>
            </w:r>
          </w:p>
        </w:tc>
        <w:tc>
          <w:tcPr/>
          <w:p>
            <w:pPr>
              <w:pStyle w:val="Compact"/>
            </w:pPr>
            <w:r>
              <w:t xml:space="preserve">Table A3.4 of [1] (Guadua angustifolia database,</w:t>
            </w:r>
            <w:r>
              <w:t xml:space="preserve"> </w:t>
            </w:r>
            <m:oMath>
              <m:r>
                <m:t>n</m:t>
              </m:r>
              <m:r>
                <m:rPr>
                  <m:sty m:val="p"/>
                </m:rPr>
                <m:t>=</m:t>
              </m:r>
              <m:r>
                <m:t>922</m:t>
              </m:r>
            </m:oMath>
            <w:r>
              <w:t xml:space="preserve">)</w:t>
            </w:r>
          </w:p>
        </w:tc>
      </w:tr>
      <w:tr>
        <w:tc>
          <w:tcPr/>
          <w:p>
            <w:pPr>
              <w:pStyle w:val="Compact"/>
            </w:pPr>
            <w:r>
              <w:t xml:space="preserve">Safety factor</w:t>
            </w:r>
            <w:r>
              <w:t xml:space="preserve"> </w:t>
            </w:r>
            <m:oMath>
              <m:r>
                <m:t>F</m:t>
              </m:r>
              <m:r>
                <m:t>S</m:t>
              </m:r>
            </m:oMath>
          </w:p>
        </w:tc>
        <w:tc>
          <w:tcPr/>
          <w:p>
            <w:pPr>
              <w:pStyle w:val="Compact"/>
            </w:pPr>
            <w:r>
              <w:t xml:space="preserve">2.0</w:t>
            </w:r>
          </w:p>
        </w:tc>
        <w:tc>
          <w:tcPr/>
          <w:p>
            <w:pPr>
              <w:pStyle w:val="Compact"/>
            </w:pPr>
            <w:r>
              <w:t xml:space="preserve">Appendix A3.6 of [1] for axial truss members</w:t>
            </w:r>
          </w:p>
        </w:tc>
      </w:tr>
      <w:tr>
        <w:tc>
          <w:tcPr/>
          <w:p>
            <w:pPr>
              <w:pStyle w:val="Compact"/>
            </w:pPr>
            <w:r>
              <w:t xml:space="preserve">Redundancy factor</w:t>
            </w:r>
            <w:r>
              <w:t xml:space="preserve"> </w:t>
            </w:r>
            <m:oMath>
              <m:sSub>
                <m:e>
                  <m:r>
                    <m:t>C</m:t>
                  </m:r>
                </m:e>
                <m:sub>
                  <m:r>
                    <m:t>R</m:t>
                  </m:r>
                </m:sub>
              </m:sSub>
            </m:oMath>
          </w:p>
        </w:tc>
        <w:tc>
          <w:tcPr/>
          <w:p>
            <w:pPr>
              <w:pStyle w:val="Compact"/>
            </w:pPr>
            <w:r>
              <w:t xml:space="preserve">0.90</w:t>
            </w:r>
          </w:p>
        </w:tc>
        <w:tc>
          <w:tcPr/>
          <w:p>
            <w:pPr>
              <w:pStyle w:val="Compact"/>
            </w:pPr>
            <w:r>
              <w:t xml:space="preserve">IStructE Manual Section 6.3 and ISO 22156:2021 Clause 5.4 for single-culm primary members</w:t>
            </w:r>
          </w:p>
        </w:tc>
      </w:tr>
      <w:tr>
        <w:tc>
          <w:tcPr/>
          <w:p>
            <w:pPr>
              <w:pStyle w:val="Compact"/>
            </w:pPr>
            <w:r>
              <w:t xml:space="preserve">Temperature adjustment factor</w:t>
            </w:r>
            <w:r>
              <w:t xml:space="preserve"> </w:t>
            </w:r>
            <m:oMath>
              <m:sSub>
                <m:e>
                  <m:r>
                    <m:t>C</m:t>
                  </m:r>
                </m:e>
                <m:sub>
                  <m:r>
                    <m:t>T</m:t>
                  </m:r>
                </m:sub>
              </m:sSub>
            </m:oMath>
          </w:p>
        </w:tc>
        <w:tc>
          <w:tcPr/>
          <w:p>
            <w:pPr>
              <w:pStyle w:val="Compact"/>
            </w:pPr>
            <w:r>
              <w:t xml:space="preserve">1.00</w:t>
            </w:r>
          </w:p>
        </w:tc>
        <w:tc>
          <w:tcPr/>
          <w:p>
            <w:pPr>
              <w:pStyle w:val="Compact"/>
            </w:pPr>
            <w:r>
              <w:t xml:space="preserve">Service temperatures</w:t>
            </w:r>
            <w:r>
              <w:t xml:space="preserve"> </w:t>
            </w:r>
            <m:oMath>
              <m:r>
                <m:rPr>
                  <m:sty m:val="p"/>
                </m:rPr>
                <m:t>≤</m:t>
              </m:r>
              <m:sSup>
                <m:e>
                  <m:r>
                    <m:t>38</m:t>
                  </m:r>
                </m:e>
                <m:sup>
                  <m:r>
                    <m:rPr>
                      <m:sty m:val="p"/>
                    </m:rPr>
                    <m:t>∘</m:t>
                  </m:r>
                </m:sup>
              </m:sSup>
              <m:r>
                <m:rPr>
                  <m:nor/>
                </m:rPr>
                <m:t>C</m:t>
              </m:r>
            </m:oMath>
            <w:r>
              <w:t xml:space="preserve"> </w:t>
            </w:r>
            <w:r>
              <w:t xml:space="preserve">[1]</w:t>
            </w:r>
          </w:p>
        </w:tc>
      </w:tr>
      <w:tr>
        <w:tc>
          <w:tcPr/>
          <w:p>
            <w:pPr>
              <w:pStyle w:val="Compact"/>
            </w:pPr>
            <w:r>
              <w:t xml:space="preserve">Load duration factors</w:t>
            </w:r>
            <w:r>
              <w:t xml:space="preserve"> </w:t>
            </w:r>
            <m:oMath>
              <m:sSub>
                <m:e>
                  <m:r>
                    <m:t>C</m:t>
                  </m:r>
                </m:e>
                <m:sub>
                  <m:r>
                    <m:t>D</m:t>
                  </m:r>
                  <m:r>
                    <m:t>F</m:t>
                  </m:r>
                </m:sub>
              </m:sSub>
            </m:oMath>
          </w:p>
        </w:tc>
        <w:tc>
          <w:tcPr/>
          <w:p>
            <w:pPr>
              <w:pStyle w:val="Compact"/>
            </w:pPr>
            <w:r>
              <w:t xml:space="preserve">0.55 / 0.65 / 0.85</w:t>
            </w:r>
          </w:p>
        </w:tc>
        <w:tc>
          <w:tcPr/>
          <w:p>
            <w:pPr>
              <w:pStyle w:val="Compact"/>
            </w:pPr>
            <w:r>
              <w:t xml:space="preserve">Permanent (D) / Transient (S) / Instantaneous (W) [1]</w:t>
            </w:r>
          </w:p>
        </w:tc>
      </w:tr>
      <w:tr>
        <w:tc>
          <w:tcPr/>
          <w:p>
            <w:pPr>
              <w:pStyle w:val="Compact"/>
            </w:pPr>
            <w:r>
              <w:t xml:space="preserve">Ylinen non-linear interaction constant</w:t>
            </w:r>
            <w:r>
              <w:t xml:space="preserve"> </w:t>
            </w:r>
            <m:oMath>
              <m:r>
                <m:t>c</m:t>
              </m:r>
            </m:oMath>
          </w:p>
        </w:tc>
        <w:tc>
          <w:tcPr/>
          <w:p>
            <w:pPr>
              <w:pStyle w:val="Compact"/>
            </w:pPr>
            <w:r>
              <w:t xml:space="preserve">0.80</w:t>
            </w:r>
          </w:p>
        </w:tc>
        <w:tc>
          <w:tcPr/>
          <w:p>
            <w:pPr>
              <w:pStyle w:val="Compact"/>
            </w:pPr>
            <w:r>
              <w:t xml:space="preserve">Appendix A6.2 of [1]</w:t>
            </w:r>
          </w:p>
        </w:tc>
      </w:tr>
      <w:tr>
        <w:tc>
          <w:tcPr/>
          <w:p>
            <w:pPr>
              <w:pStyle w:val="Compact"/>
            </w:pPr>
            <w:r>
              <w:t xml:space="preserve">Dimensionless initial culm crookedness</w:t>
            </w:r>
            <w:r>
              <w:t xml:space="preserve"> </w:t>
            </w:r>
            <m:oMath>
              <m:sSub>
                <m:e>
                  <m:r>
                    <m:t>b</m:t>
                  </m:r>
                </m:e>
                <m:sub>
                  <m:r>
                    <m:t>0</m:t>
                  </m:r>
                </m:sub>
              </m:sSub>
            </m:oMath>
          </w:p>
        </w:tc>
        <w:tc>
          <w:tcPr/>
          <w:p>
            <w:pPr>
              <w:pStyle w:val="Compact"/>
            </w:pPr>
            <w:r>
              <w:t xml:space="preserve">0.01</w:t>
            </w:r>
          </w:p>
        </w:tc>
        <w:tc>
          <w:tcPr/>
          <w:p>
            <w:pPr>
              <w:pStyle w:val="Compact"/>
            </w:pPr>
            <w:r>
              <w:t xml:space="preserve">Typical natural bow, yielding</w:t>
            </w:r>
            <w:r>
              <w:t xml:space="preserve"> </w:t>
            </w:r>
            <m:oMath>
              <m:sSub>
                <m:e>
                  <m:r>
                    <m:t>C</m:t>
                  </m:r>
                </m:e>
                <m:sub>
                  <m:r>
                    <m:t>b</m:t>
                  </m:r>
                  <m:r>
                    <m:t>o</m:t>
                  </m:r>
                  <m:r>
                    <m:t>w</m:t>
                  </m:r>
                </m:sub>
              </m:sSub>
              <m:r>
                <m:rPr>
                  <m:sty m:val="p"/>
                </m:rPr>
                <m:t>=</m:t>
              </m:r>
              <m:r>
                <m:t>0.50</m:t>
              </m:r>
            </m:oMath>
            <w:r>
              <w:t xml:space="preserve"> </w:t>
            </w:r>
            <w:r>
              <w:t xml:space="preserve">[1]</w:t>
            </w:r>
          </w:p>
        </w:tc>
      </w:tr>
      <w:tr>
        <w:tc>
          <w:tcPr/>
          <w:p>
            <w:pPr>
              <w:pStyle w:val="Compact"/>
            </w:pPr>
            <w:r>
              <w:t xml:space="preserve">Effective column length factor</w:t>
            </w:r>
            <w:r>
              <w:t xml:space="preserve"> </w:t>
            </w:r>
            <m:oMath>
              <m:r>
                <m:t>K</m:t>
              </m:r>
            </m:oMath>
          </w:p>
        </w:tc>
        <w:tc>
          <w:tcPr/>
          <w:p>
            <w:pPr>
              <w:pStyle w:val="Compact"/>
            </w:pPr>
            <w:r>
              <w:t xml:space="preserve">1.00</w:t>
            </w:r>
          </w:p>
        </w:tc>
        <w:tc>
          <w:tcPr/>
          <w:p>
            <w:pPr>
              <w:pStyle w:val="Compact"/>
            </w:pPr>
            <w:r>
              <w:t xml:space="preserve">Table 6.1 of [1] for pin-jointed space truss members</w:t>
            </w:r>
          </w:p>
        </w:tc>
      </w:tr>
      <w:tr>
        <w:tc>
          <w:tcPr/>
          <w:p>
            <w:pPr>
              <w:pStyle w:val="Compact"/>
            </w:pPr>
            <w:r>
              <w:t xml:space="preserve">Maximum slenderness limit</w:t>
            </w:r>
            <w:r>
              <w:t xml:space="preserve"> </w:t>
            </w:r>
            <m:oMath>
              <m:sSub>
                <m:e>
                  <m:r>
                    <m:t>λ</m:t>
                  </m:r>
                </m:e>
                <m:sub>
                  <m:r>
                    <m:t>m</m:t>
                  </m:r>
                  <m:r>
                    <m:t>a</m:t>
                  </m:r>
                  <m:r>
                    <m:t>x</m:t>
                  </m:r>
                </m:sub>
              </m:sSub>
            </m:oMath>
          </w:p>
        </w:tc>
        <w:tc>
          <w:tcPr/>
          <w:p>
            <w:pPr>
              <w:pStyle w:val="Compact"/>
            </w:pPr>
            <w:r>
              <w:t xml:space="preserve">150</w:t>
            </w:r>
          </w:p>
        </w:tc>
        <w:tc>
          <w:tcPr/>
          <w:p>
            <w:pPr>
              <w:pStyle w:val="Compact"/>
            </w:pPr>
            <w:r>
              <w:t xml:space="preserve">NSR-10 Section G.12.9.2.6 [37] applied to all members</w:t>
            </w:r>
          </w:p>
        </w:tc>
      </w:tr>
      <w:tr>
        <w:tc>
          <w:tcPr/>
          <w:p>
            <w:pPr>
              <w:pStyle w:val="Compact"/>
            </w:pPr>
            <w:r>
              <w:t xml:space="preserve">Codified connection joint capacity</w:t>
            </w:r>
            <w:r>
              <w:t xml:space="preserve"> </w:t>
            </w:r>
            <m:oMath>
              <m:sSub>
                <m:e>
                  <m:r>
                    <m:t>F</m:t>
                  </m:r>
                </m:e>
                <m:sub>
                  <m:r>
                    <m:t>j</m:t>
                  </m:r>
                  <m:r>
                    <m:rPr>
                      <m:sty m:val="p"/>
                    </m:rPr>
                    <m:t>,</m:t>
                  </m:r>
                  <m:r>
                    <m:t>R</m:t>
                  </m:r>
                  <m:r>
                    <m:t>d</m:t>
                  </m:r>
                </m:sub>
              </m:sSub>
            </m:oMath>
          </w:p>
        </w:tc>
        <w:tc>
          <w:tcPr/>
          <w:p>
            <w:pPr>
              <w:pStyle w:val="Compact"/>
            </w:pPr>
            <w:r>
              <w:t xml:space="preserve">49.3 kN</w:t>
            </w:r>
          </w:p>
        </w:tc>
        <w:tc>
          <w:tcPr/>
          <w:p>
            <w:pPr>
              <w:pStyle w:val="Compact"/>
            </w:pPr>
            <w:r>
              <w:t xml:space="preserve">Nominal baseline from NSR-10 Tables G.12.11-2 and G.12.11-3 for</w:t>
            </w:r>
            <w:r>
              <w:t xml:space="preserve"> </w:t>
            </w:r>
            <m:oMath>
              <m:r>
                <m:t>D</m:t>
              </m:r>
              <m:r>
                <m:rPr>
                  <m:sty m:val="p"/>
                </m:rPr>
                <m:t>≥</m:t>
              </m:r>
              <m:r>
                <m:t>100</m:t>
              </m:r>
            </m:oMath>
            <w:r>
              <w:t xml:space="preserve"> </w:t>
            </w:r>
            <w:r>
              <w:t xml:space="preserve">mm (</w:t>
            </w:r>
            <m:oMath>
              <m:sSub>
                <m:e>
                  <m:r>
                    <m:t>F</m:t>
                  </m:r>
                </m:e>
                <m:sub>
                  <m:r>
                    <m:t>b</m:t>
                  </m:r>
                  <m:r>
                    <m:t>o</m:t>
                  </m:r>
                  <m:r>
                    <m:t>l</m:t>
                  </m:r>
                  <m:r>
                    <m:t>t</m:t>
                  </m:r>
                  <m:r>
                    <m:rPr>
                      <m:sty m:val="p"/>
                    </m:rPr>
                    <m:t>,</m:t>
                  </m:r>
                  <m:r>
                    <m:t>a</m:t>
                  </m:r>
                  <m:r>
                    <m:t>d</m:t>
                  </m:r>
                  <m:r>
                    <m:t>m</m:t>
                  </m:r>
                </m:sub>
              </m:sSub>
              <m:r>
                <m:rPr>
                  <m:sty m:val="p"/>
                </m:rPr>
                <m:t>=</m:t>
              </m:r>
              <m:r>
                <m:t>13.25</m:t>
              </m:r>
              <m:r>
                <m:rPr>
                  <m:nor/>
                </m:rPr>
                <m:t> kN</m:t>
              </m:r>
            </m:oMath>
            <w:r>
              <w:t xml:space="preserve">,</w:t>
            </w:r>
            <w:r>
              <w:t xml:space="preserve"> </w:t>
            </w:r>
            <m:oMath>
              <m:sSub>
                <m:e>
                  <m:r>
                    <m:t>n</m:t>
                  </m:r>
                </m:e>
                <m:sub>
                  <m:r>
                    <m:t>b</m:t>
                  </m:r>
                  <m:r>
                    <m:t>o</m:t>
                  </m:r>
                  <m:r>
                    <m:t>l</m:t>
                  </m:r>
                  <m:r>
                    <m:t>t</m:t>
                  </m:r>
                </m:sub>
              </m:sSub>
              <m:r>
                <m:rPr>
                  <m:sty m:val="p"/>
                </m:rPr>
                <m:t>=</m:t>
              </m:r>
              <m:r>
                <m:t>4</m:t>
              </m:r>
            </m:oMath>
            <w:r>
              <w:t xml:space="preserve">,</w:t>
            </w:r>
            <w:r>
              <w:t xml:space="preserve"> </w:t>
            </w:r>
            <m:oMath>
              <m:sSub>
                <m:e>
                  <m:r>
                    <m:t>C</m:t>
                  </m:r>
                </m:e>
                <m:sub>
                  <m:r>
                    <m:t>g</m:t>
                  </m:r>
                </m:sub>
              </m:sSub>
              <m:r>
                <m:rPr>
                  <m:sty m:val="p"/>
                </m:rPr>
                <m:t>=</m:t>
              </m:r>
              <m:r>
                <m:t>0.93</m:t>
              </m:r>
            </m:oMath>
            <w:r>
              <w:t xml:space="preserve">; for</w:t>
            </w:r>
            <w:r>
              <w:t xml:space="preserve"> </w:t>
            </w:r>
            <m:oMath>
              <m:r>
                <m:t>D</m:t>
              </m:r>
              <m:r>
                <m:rPr>
                  <m:sty m:val="p"/>
                </m:rPr>
                <m:t>=</m:t>
              </m:r>
              <m:r>
                <m:t>80</m:t>
              </m:r>
            </m:oMath>
            <w:r>
              <w:t xml:space="preserve"> </w:t>
            </w:r>
            <w:r>
              <w:t xml:space="preserve">mm NSR-10 specifies 11.54 kN)</w:t>
            </w:r>
          </w:p>
        </w:tc>
      </w:tr>
      <w:tr>
        <w:tc>
          <w:tcPr/>
          <w:p>
            <w:pPr>
              <w:pStyle w:val="Compact"/>
            </w:pPr>
            <w:r>
              <w:t xml:space="preserve">Maximum nodal deflection limit</w:t>
            </w:r>
            <w:r>
              <w:t xml:space="preserve"> </w:t>
            </w:r>
            <m:oMath>
              <m:sSub>
                <m:e>
                  <m:r>
                    <m:t>u</m:t>
                  </m:r>
                </m:e>
                <m:sub>
                  <m:r>
                    <m:t>l</m:t>
                  </m:r>
                  <m:r>
                    <m:t>i</m:t>
                  </m:r>
                  <m:r>
                    <m:t>m</m:t>
                  </m:r>
                </m:sub>
              </m:sSub>
            </m:oMath>
          </w:p>
        </w:tc>
        <w:tc>
          <w:tcPr/>
          <w:p>
            <w:pPr>
              <w:pStyle w:val="Compact"/>
            </w:pPr>
            <m:oMath>
              <m:r>
                <m:rPr>
                  <m:nor/>
                </m:rPr>
                <m:t>span</m:t>
              </m:r>
              <m:r>
                <m:rPr>
                  <m:sty m:val="p"/>
                </m:rPr>
                <m:t>/</m:t>
              </m:r>
              <m:r>
                <m:t>150</m:t>
              </m:r>
            </m:oMath>
            <w:r>
              <w:t xml:space="preserve">​</w:t>
            </w:r>
          </w:p>
        </w:tc>
        <w:tc>
          <w:tcPr/>
          <w:p>
            <w:pPr>
              <w:pStyle w:val="Compact"/>
            </w:pPr>
            <w:r>
              <w:t xml:space="preserve">Engineering design assumption adapted from IStructE Manual guidance [1] (Section 3.1)</w:t>
            </w:r>
          </w:p>
        </w:tc>
      </w:tr>
    </w:tbl>
    <w:p>
      <w:pPr>
        <w:pStyle w:val="FirstParagraph"/>
      </w:pPr>
      <w:r>
        <w:rPr>
          <w:b/>
          <w:bCs/>
        </w:rPr>
        <w:t xml:space="preserve">Table 2.</w:t>
      </w:r>
      <w:r>
        <w:t xml:space="preserve"> </w:t>
      </w:r>
      <w:r>
        <w:t xml:space="preserve">Mechanical properties, partial factors, and design parameters for the Guadua bamboo space domes.</w:t>
      </w:r>
    </w:p>
    <w:p>
      <w:pPr>
        <w:pStyle w:val="BodyText"/>
      </w:pPr>
      <w:r>
        <w:t xml:space="preserve">The discrete bamboo catalogue comprises</w:t>
      </w:r>
      <w:r>
        <w:t xml:space="preserve"> </w:t>
      </w:r>
      <m:oMath>
        <m:sSub>
          <m:e>
            <m:r>
              <m:t>n</m:t>
            </m:r>
          </m:e>
          <m:sub>
            <m:r>
              <m:t>s</m:t>
            </m:r>
          </m:sub>
        </m:sSub>
        <m:r>
          <m:rPr>
            <m:sty m:val="p"/>
          </m:rPr>
          <m:t>=</m:t>
        </m:r>
        <m:r>
          <m:t>24</m:t>
        </m:r>
      </m:oMath>
      <w:r>
        <w:t xml:space="preserve"> </w:t>
      </w:r>
      <w:r>
        <w:t xml:space="preserve">commercially viable Guadua culm cross-sections, with outer diameters ranging from</w:t>
      </w:r>
      <w:r>
        <w:t xml:space="preserve"> </w:t>
      </w:r>
      <m:oMath>
        <m:r>
          <m:t>D</m:t>
        </m:r>
        <m:r>
          <m:rPr>
            <m:sty m:val="p"/>
          </m:rPr>
          <m:t>=</m:t>
        </m:r>
        <m:r>
          <m:t>80</m:t>
        </m:r>
      </m:oMath>
      <w:r>
        <w:t xml:space="preserve"> </w:t>
      </w:r>
      <w:r>
        <w:t xml:space="preserve">mm to</w:t>
      </w:r>
      <w:r>
        <w:t xml:space="preserve"> </w:t>
      </w:r>
      <m:oMath>
        <m:r>
          <m:t>160</m:t>
        </m:r>
      </m:oMath>
      <w:r>
        <w:t xml:space="preserve"> </w:t>
      </w:r>
      <w:r>
        <w:t xml:space="preserve">mm and wall thicknesses from</w:t>
      </w:r>
      <w:r>
        <w:t xml:space="preserve"> </w:t>
      </w:r>
      <m:oMath>
        <m:r>
          <m:t>t</m:t>
        </m:r>
        <m:r>
          <m:rPr>
            <m:sty m:val="p"/>
          </m:rPr>
          <m:t>=</m:t>
        </m:r>
        <m:r>
          <m:t>6</m:t>
        </m:r>
      </m:oMath>
      <w:r>
        <w:t xml:space="preserve"> </w:t>
      </w:r>
      <w:r>
        <w:t xml:space="preserve">mm to</w:t>
      </w:r>
      <w:r>
        <w:t xml:space="preserve"> </w:t>
      </w:r>
      <m:oMath>
        <m:r>
          <m:t>22</m:t>
        </m:r>
      </m:oMath>
      <w:r>
        <w:t xml:space="preserve"> </w:t>
      </w:r>
      <w:r>
        <w:t xml:space="preserve">mm (detailed in Supplementary Material Table S1).</w:t>
      </w:r>
    </w:p>
    <w:p>
      <w:pPr>
        <w:pStyle w:val="BodyText"/>
      </w:pPr>
      <w:r>
        <w:t xml:space="preserve">The baseline joint design specifies four through-bolts (</w:t>
      </w:r>
      <m:oMath>
        <m:sSub>
          <m:e>
            <m:r>
              <m:t>n</m:t>
            </m:r>
          </m:e>
          <m:sub>
            <m:r>
              <m:t>b</m:t>
            </m:r>
            <m:r>
              <m:t>o</m:t>
            </m:r>
            <m:r>
              <m:t>l</m:t>
            </m:r>
            <m:r>
              <m:t>t</m:t>
            </m:r>
          </m:sub>
        </m:sSub>
        <m:r>
          <m:rPr>
            <m:sty m:val="p"/>
          </m:rPr>
          <m:t>=</m:t>
        </m:r>
        <m:r>
          <m:t>4</m:t>
        </m:r>
      </m:oMath>
      <w:r>
        <w:t xml:space="preserve">) of grade #5 (5/8 in / 15.9 mm diameter) embedded in an injected mortar/grout core at each member end, providing an allowable design capacity of</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 pursuant to NSR-10 Title G [37]. Standard bolt spacing requirements in NSR-10 Title G prescribe a minimum pitch of 150 mm between successive bolts and end distances of 150 mm for tension members and 100 mm for compression members. Housing four bolts across both member ends requires</w:t>
      </w:r>
      <w:r>
        <w:t xml:space="preserve"> </w:t>
      </w:r>
      <m:oMath>
        <m:r>
          <m:t>2</m:t>
        </m:r>
        <m:r>
          <m:rPr>
            <m:sty m:val="p"/>
          </m:rPr>
          <m:t>×</m:t>
        </m:r>
        <m:r>
          <m:rPr>
            <m:sty m:val="p"/>
          </m:rPr>
          <m:t>[</m:t>
        </m:r>
        <m:r>
          <m:t>e</m:t>
        </m:r>
        <m:r>
          <m:rPr>
            <m:sty m:val="p"/>
          </m:rPr>
          <m:t>+</m:t>
        </m:r>
        <m:r>
          <m:rPr>
            <m:sty m:val="p"/>
          </m:rPr>
          <m:t>(</m:t>
        </m:r>
        <m:sSub>
          <m:e>
            <m:r>
              <m:t>n</m:t>
            </m:r>
          </m:e>
          <m:sub>
            <m:r>
              <m:t>b</m:t>
            </m:r>
            <m:r>
              <m:t>o</m:t>
            </m:r>
            <m:r>
              <m:t>l</m:t>
            </m:r>
            <m:r>
              <m:t>t</m:t>
            </m:r>
          </m:sub>
        </m:sSub>
        <m:r>
          <m:rPr>
            <m:sty m:val="p"/>
          </m:rPr>
          <m:t>−</m:t>
        </m:r>
        <m:r>
          <m:t>1</m:t>
        </m:r>
        <m:r>
          <m:rPr>
            <m:sty m:val="p"/>
          </m:rPr>
          <m:t>)</m:t>
        </m:r>
        <m:r>
          <m:t>p</m:t>
        </m:r>
        <m:r>
          <m:rPr>
            <m:sty m:val="p"/>
          </m:rPr>
          <m:t>]</m:t>
        </m:r>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m:t>
        </m:r>
      </m:oMath>
      <w:r>
        <w:t xml:space="preserve"> </w:t>
      </w:r>
      <w:r>
        <w:t xml:space="preserve">m of culm length, which expands to approximately 1.35 m when maintaining a nominal 150 mm unperforated mid-span clearance between opposite connection zones.</w:t>
      </w:r>
    </w:p>
    <w:p>
      <w:pPr>
        <w:pStyle w:val="BodyText"/>
      </w:pPr>
      <w:r>
        <w:t xml:space="preserve">For the benchmark steel domes, the discrete catalogue consists of 37 standard AISC steel pipe sections with yield strength</w:t>
      </w:r>
      <w:r>
        <w:t xml:space="preserve"> </w:t>
      </w:r>
      <m:oMath>
        <m:sSub>
          <m:e>
            <m:r>
              <m:t>F</m:t>
            </m:r>
          </m:e>
          <m:sub>
            <m:r>
              <m:t>y</m:t>
            </m:r>
          </m:sub>
        </m:sSub>
        <m:r>
          <m:rPr>
            <m:sty m:val="p"/>
          </m:rPr>
          <m:t>=</m:t>
        </m:r>
        <m:r>
          <m:t>248.2</m:t>
        </m:r>
      </m:oMath>
      <w:r>
        <w:t xml:space="preserve"> </w:t>
      </w:r>
      <w:r>
        <w:t xml:space="preserve">MPa, Young’s modulus</w:t>
      </w:r>
      <w:r>
        <w:t xml:space="preserve"> </w:t>
      </w:r>
      <m:oMath>
        <m:r>
          <m:t>E</m:t>
        </m:r>
        <m:r>
          <m:rPr>
            <m:sty m:val="p"/>
          </m:rPr>
          <m:t>=</m:t>
        </m:r>
        <m:r>
          <m:t>205</m:t>
        </m:r>
      </m:oMath>
      <w:r>
        <w:t xml:space="preserve"> </w:t>
      </w:r>
      <w:r>
        <w:t xml:space="preserve">GPa, and steel density</w:t>
      </w:r>
      <w:r>
        <w:t xml:space="preserve"> </w:t>
      </w:r>
      <m:oMath>
        <m:r>
          <m:t>ρ</m:t>
        </m:r>
        <m:r>
          <m:rPr>
            <m:sty m:val="p"/>
          </m:rPr>
          <m:t>=</m:t>
        </m:r>
        <m:r>
          <m:t>7850</m:t>
        </m:r>
      </m:oMath>
      <w:r>
        <w:t xml:space="preserve"> </w:t>
      </w:r>
      <w:r>
        <w:t xml:space="preserve">kg/m³ [20, 34], designed under AISC ASD specifications.</w:t>
      </w:r>
    </w:p>
    <w:p>
      <w:pPr>
        <w:pStyle w:val="Heading2"/>
      </w:pPr>
      <w:bookmarkStart w:id="37" w:name="_a5614c358b4c3ae567ea973c7b63310aa6c15fd"/>
      <w:r>
        <w:t xml:space="preserve">3.3 Design loads and ASD load combinations</w:t>
      </w:r>
      <w:bookmarkEnd w:id="37"/>
    </w:p>
    <w:p>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w:t>
      </w:r>
      <w:r>
        <w:t xml:space="preserve"> </w:t>
      </w:r>
      <w:r>
        <w:t xml:space="preserve">-</w:t>
      </w:r>
      <w:r>
        <w:t xml:space="preserve"> </w:t>
      </w:r>
      <w:r>
        <w:rPr>
          <w:b/>
          <w:bCs/>
        </w:rPr>
        <w:t xml:space="preserve">Nominal Dead Load (</w:t>
      </w:r>
      <m:oMath>
        <m:r>
          <m:t>D</m:t>
        </m:r>
      </m:oMath>
      <w:r>
        <w:rPr>
          <w:b/>
          <w:bCs/>
        </w:rPr>
        <w:t xml:space="preserve">):</w:t>
      </w:r>
      <w:r>
        <w:t xml:space="preserve"> </w:t>
      </w:r>
      <w:r>
        <w:t xml:space="preserve">0.20 kN/m² applied vertically downward on the horizontal projected area.</w:t>
      </w:r>
      <w:r>
        <w:t xml:space="preserve"> </w:t>
      </w:r>
      <w:r>
        <w:t xml:space="preserve">-</w:t>
      </w:r>
      <w:r>
        <w:t xml:space="preserve"> </w:t>
      </w:r>
      <w:r>
        <w:rPr>
          <w:b/>
          <w:bCs/>
        </w:rPr>
        <w:t xml:space="preserve">Nominal Snow Load (</w:t>
      </w:r>
      <m:oMath>
        <m:r>
          <m:t>S</m:t>
        </m:r>
      </m:oMath>
      <w:r>
        <w:rPr>
          <w:b/>
          <w:bCs/>
        </w:rPr>
        <w:t xml:space="preserve">):</w:t>
      </w:r>
      <w:r>
        <w:t xml:space="preserve"> </w:t>
      </w:r>
      <w:r>
        <w:t xml:space="preserve">0.83 kN/m² applied vertically downward on the horizontal projected area.</w:t>
      </w:r>
      <w:r>
        <w:t xml:space="preserve"> </w:t>
      </w:r>
      <w:r>
        <w:t xml:space="preserve">-</w:t>
      </w:r>
      <w:r>
        <w:t xml:space="preserve"> </w:t>
      </w:r>
      <w:r>
        <w:rPr>
          <w:b/>
          <w:bCs/>
        </w:rPr>
        <w:t xml:space="preserve">Wind Actions (</w:t>
      </w:r>
      <m:oMath>
        <m:r>
          <m:t>W</m:t>
        </m:r>
      </m:oMath>
      <w:r>
        <w:rPr>
          <w:b/>
          <w:bCs/>
        </w:rPr>
        <w:t xml:space="preserve">):</w:t>
      </w:r>
      <w:r>
        <w:t xml:space="preserve"> </w:t>
      </w:r>
      <w:r>
        <w:t xml:space="preserve">Computed using wind velocity pressure</w:t>
      </w:r>
      <w:r>
        <w:t xml:space="preserve"> </w:t>
      </w:r>
      <m:oMath>
        <m:sSub>
          <m:e>
            <m:r>
              <m:t>q</m:t>
            </m:r>
          </m:e>
          <m:sub>
            <m:r>
              <m:t>h</m:t>
            </m:r>
          </m:sub>
        </m:sSub>
        <m:r>
          <m:rPr>
            <m:sty m:val="p"/>
          </m:rPr>
          <m:t>=</m:t>
        </m:r>
        <m:r>
          <m:t>1.115</m:t>
        </m:r>
      </m:oMath>
      <w:r>
        <w:t xml:space="preserve"> </w:t>
      </w:r>
      <w:r>
        <w:t xml:space="preserve">kN/m², gust factor</w:t>
      </w:r>
      <w:r>
        <w:t xml:space="preserve"> </w:t>
      </w:r>
      <m:oMath>
        <m:r>
          <m:t>G</m:t>
        </m:r>
        <m:r>
          <m:rPr>
            <m:sty m:val="p"/>
          </m:rPr>
          <m:t>=</m:t>
        </m:r>
        <m:r>
          <m:t>0.85</m:t>
        </m:r>
      </m:oMath>
      <w:r>
        <w:t xml:space="preserve">, and aerodynamic pressure coefficients</w:t>
      </w:r>
      <w:r>
        <w:t xml:space="preserve"> </w:t>
      </w:r>
      <m:oMath>
        <m:sSub>
          <m:e>
            <m:r>
              <m:t>C</m:t>
            </m:r>
          </m:e>
          <m:sub>
            <m:r>
              <m:t>p</m:t>
            </m:r>
          </m:sub>
        </m:sSub>
      </m:oMath>
      <w:r>
        <w:t xml:space="preserve"> </w:t>
      </w:r>
      <w:r>
        <w:t xml:space="preserve">distributed across three spatial windward, leeward, and crest zones along the wind axis</w:t>
      </w:r>
      <w:r>
        <w:t xml:space="preserve"> </w:t>
      </w:r>
      <m:oMath>
        <m:r>
          <m:t>x</m:t>
        </m:r>
      </m:oMath>
      <w:r>
        <w:t xml:space="preserve">:</w:t>
      </w:r>
      <w:r>
        <w:t xml:space="preserve"> </w:t>
      </w:r>
      <m:oMath>
        <m:sSub>
          <m:e>
            <m:r>
              <m:t>C</m:t>
            </m:r>
          </m:e>
          <m:sub>
            <m:r>
              <m:t>p</m:t>
            </m:r>
          </m:sub>
        </m:sSub>
        <m:r>
          <m:rPr>
            <m:sty m:val="p"/>
          </m:rPr>
          <m:t>=</m:t>
        </m:r>
        <m:r>
          <m:rPr>
            <m:sty m:val="p"/>
          </m:rPr>
          <m:t>+</m:t>
        </m:r>
        <m:r>
          <m:t>0.0105</m:t>
        </m:r>
      </m:oMath>
      <w:r>
        <w:t xml:space="preserve"> </w:t>
      </w:r>
      <w:r>
        <w:t xml:space="preserve">for</w:t>
      </w:r>
      <w:r>
        <w:t xml:space="preserve"> </w:t>
      </w:r>
      <m:oMath>
        <m:r>
          <m:t>x</m:t>
        </m:r>
        <m:r>
          <m:rPr>
            <m:sty m:val="p"/>
          </m:rPr>
          <m:t>&lt;</m:t>
        </m:r>
        <m:r>
          <m:rPr>
            <m:sty m:val="p"/>
          </m:rPr>
          <m:t>−</m:t>
        </m:r>
        <m:sSub>
          <m:e>
            <m:r>
              <m:t>L</m:t>
            </m:r>
          </m:e>
          <m:sub>
            <m:r>
              <m:t>d</m:t>
            </m:r>
          </m:sub>
        </m:sSub>
        <m:r>
          <m:rPr>
            <m:sty m:val="p"/>
          </m:rPr>
          <m:t>/</m:t>
        </m:r>
        <m:r>
          <m:t>4</m:t>
        </m:r>
      </m:oMath>
      <w:r>
        <w:t xml:space="preserve">,</w:t>
      </w:r>
      <w:r>
        <w:t xml:space="preserve"> </w:t>
      </w:r>
      <m:oMath>
        <m:sSub>
          <m:e>
            <m:r>
              <m:t>C</m:t>
            </m:r>
          </m:e>
          <m:sub>
            <m:r>
              <m:t>p</m:t>
            </m:r>
          </m:sub>
        </m:sSub>
        <m:r>
          <m:rPr>
            <m:sty m:val="p"/>
          </m:rPr>
          <m:t>=</m:t>
        </m:r>
        <m:r>
          <m:rPr>
            <m:sty m:val="p"/>
          </m:rPr>
          <m:t>−</m:t>
        </m:r>
        <m:r>
          <m:t>0.907</m:t>
        </m:r>
      </m:oMath>
      <w:r>
        <w:t xml:space="preserve"> </w:t>
      </w:r>
      <w:r>
        <w:t xml:space="preserve">for</w:t>
      </w:r>
      <w:r>
        <w:t xml:space="preserve"> </w:t>
      </w:r>
      <m:oMath>
        <m:r>
          <m:rPr>
            <m:sty m:val="p"/>
          </m:rPr>
          <m:t>|</m:t>
        </m:r>
        <m:r>
          <m:t>x</m:t>
        </m:r>
        <m:r>
          <m:rPr>
            <m:sty m:val="p"/>
          </m:rPr>
          <m:t>|</m:t>
        </m:r>
        <m:r>
          <m:rPr>
            <m:sty m:val="p"/>
          </m:rPr>
          <m:t>≤</m:t>
        </m:r>
        <m:sSub>
          <m:e>
            <m:r>
              <m:t>L</m:t>
            </m:r>
          </m:e>
          <m:sub>
            <m:r>
              <m:t>d</m:t>
            </m:r>
          </m:sub>
        </m:sSub>
        <m:r>
          <m:rPr>
            <m:sty m:val="p"/>
          </m:rPr>
          <m:t>/</m:t>
        </m:r>
        <m:r>
          <m:t>4</m:t>
        </m:r>
      </m:oMath>
      <w:r>
        <w:t xml:space="preserve">, and</w:t>
      </w:r>
      <w:r>
        <w:t xml:space="preserve"> </w:t>
      </w:r>
      <m:oMath>
        <m:sSub>
          <m:e>
            <m:r>
              <m:t>C</m:t>
            </m:r>
          </m:e>
          <m:sub>
            <m:r>
              <m:t>p</m:t>
            </m:r>
          </m:sub>
        </m:sSub>
        <m:r>
          <m:rPr>
            <m:sty m:val="p"/>
          </m:rPr>
          <m:t>=</m:t>
        </m:r>
        <m:r>
          <m:rPr>
            <m:sty m:val="p"/>
          </m:rPr>
          <m:t>−</m:t>
        </m:r>
        <m:r>
          <m:t>0.50</m:t>
        </m:r>
      </m:oMath>
      <w:r>
        <w:t xml:space="preserve"> </w:t>
      </w:r>
      <w:r>
        <w:t xml:space="preserve">for</w:t>
      </w:r>
      <w:r>
        <w:t xml:space="preserve"> </w:t>
      </w:r>
      <m:oMath>
        <m:r>
          <m:t>x</m:t>
        </m:r>
        <m:r>
          <m:rPr>
            <m:sty m:val="p"/>
          </m:rPr>
          <m:t>&gt;</m:t>
        </m:r>
        <m:sSub>
          <m:e>
            <m:r>
              <m:t>L</m:t>
            </m:r>
          </m:e>
          <m:sub>
            <m:r>
              <m:t>d</m:t>
            </m:r>
          </m:sub>
        </m:sSub>
        <m:r>
          <m:rPr>
            <m:sty m:val="p"/>
          </m:rPr>
          <m:t>/</m:t>
        </m:r>
        <m:r>
          <m:t>4</m:t>
        </m:r>
      </m:oMath>
      <w:r>
        <w:t xml:space="preserve"> </w:t>
      </w:r>
      <w:r>
        <w:t xml:space="preserve">(</w:t>
      </w:r>
      <m:oMath>
        <m:sSub>
          <m:e>
            <m:r>
              <m:t>L</m:t>
            </m:r>
          </m:e>
          <m:sub>
            <m:r>
              <m:t>d</m:t>
            </m:r>
          </m:sub>
        </m:sSub>
      </m:oMath>
      <w:r>
        <w:t xml:space="preserve"> </w:t>
      </w:r>
      <w:r>
        <w:t xml:space="preserve">is the dome span). Internal pressure coefficients are taken as</w:t>
      </w:r>
      <w:r>
        <w:t xml:space="preserve"> </w:t>
      </w:r>
      <m:oMath>
        <m:r>
          <m:t>G</m:t>
        </m:r>
        <m:sSub>
          <m:e>
            <m:r>
              <m:t>C</m:t>
            </m:r>
          </m:e>
          <m:sub>
            <m:r>
              <m:t>p</m:t>
            </m:r>
            <m:r>
              <m:t>i</m:t>
            </m:r>
          </m:sub>
        </m:sSub>
        <m:r>
          <m:rPr>
            <m:sty m:val="p"/>
          </m:rPr>
          <m:t>=</m:t>
        </m:r>
        <m:r>
          <m:rPr>
            <m:sty m:val="p"/>
          </m:rPr>
          <m:t>−</m:t>
        </m:r>
        <m:r>
          <m:t>0.18</m:t>
        </m:r>
      </m:oMath>
      <w:r>
        <w:t xml:space="preserve"> </w:t>
      </w:r>
      <w:r>
        <w:t xml:space="preserve">(pattern</w:t>
      </w:r>
      <w:r>
        <w:t xml:space="preserve"> </w:t>
      </w:r>
      <m:oMath>
        <m:sSub>
          <m:e>
            <m:r>
              <m:t>W</m:t>
            </m:r>
          </m:e>
          <m:sub>
            <m:r>
              <m:t>N</m:t>
            </m:r>
          </m:sub>
        </m:sSub>
      </m:oMath>
      <w:r>
        <w:t xml:space="preserve">) and</w:t>
      </w:r>
      <w:r>
        <w:t xml:space="preserve"> </w:t>
      </w:r>
      <m:oMath>
        <m:r>
          <m:rPr>
            <m:sty m:val="p"/>
          </m:rPr>
          <m:t>+</m:t>
        </m:r>
        <m:r>
          <m:t>0.18</m:t>
        </m:r>
      </m:oMath>
      <w:r>
        <w:t xml:space="preserve"> </w:t>
      </w:r>
      <w:r>
        <w:t xml:space="preserve">(pattern</w:t>
      </w:r>
      <w:r>
        <w:t xml:space="preserve"> </w:t>
      </w:r>
      <m:oMath>
        <m:sSub>
          <m:e>
            <m:r>
              <m:t>W</m:t>
            </m:r>
          </m:e>
          <m:sub>
            <m:r>
              <m:t>P</m:t>
            </m:r>
          </m:sub>
        </m:sSub>
      </m:oMath>
      <w:r>
        <w:t xml:space="preserve">), producing the net surface pressures documented in Table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Wind Load Pattern</w:t>
            </w:r>
          </w:p>
        </w:tc>
        <w:tc>
          <w:tcPr/>
          <w:p>
            <w:pPr>
              <w:pStyle w:val="Compact"/>
            </w:pPr>
            <w:r>
              <w:t xml:space="preserve">Windward Zone (</w:t>
            </w:r>
            <m:oMath>
              <m:r>
                <m:t>x</m:t>
              </m:r>
              <m:r>
                <m:rPr>
                  <m:sty m:val="p"/>
                </m:rPr>
                <m:t>&lt;</m:t>
              </m:r>
              <m:r>
                <m:rPr>
                  <m:sty m:val="p"/>
                </m:rPr>
                <m:t>−</m:t>
              </m:r>
              <m:sSub>
                <m:e>
                  <m:r>
                    <m:t>L</m:t>
                  </m:r>
                </m:e>
                <m:sub>
                  <m:r>
                    <m:t>d</m:t>
                  </m:r>
                </m:sub>
              </m:sSub>
              <m:r>
                <m:rPr>
                  <m:sty m:val="p"/>
                </m:rPr>
                <m:t>/</m:t>
              </m:r>
              <m:r>
                <m:t>4</m:t>
              </m:r>
            </m:oMath>
            <w:r>
              <w:t xml:space="preserve">)</w:t>
            </w:r>
          </w:p>
        </w:tc>
        <w:tc>
          <w:tcPr/>
          <w:p>
            <w:pPr>
              <w:pStyle w:val="Compact"/>
            </w:pPr>
            <w:r>
              <w:t xml:space="preserve">Central Crest Zone (</w:t>
            </w:r>
            <m:oMath>
              <m:r>
                <m:rPr>
                  <m:sty m:val="p"/>
                </m:rPr>
                <m:t>|</m:t>
              </m:r>
              <m:r>
                <m:t>x</m:t>
              </m:r>
              <m:r>
                <m:rPr>
                  <m:sty m:val="p"/>
                </m:rPr>
                <m:t>|</m:t>
              </m:r>
              <m:r>
                <m:rPr>
                  <m:sty m:val="p"/>
                </m:rPr>
                <m:t>≤</m:t>
              </m:r>
              <m:sSub>
                <m:e>
                  <m:r>
                    <m:t>L</m:t>
                  </m:r>
                </m:e>
                <m:sub>
                  <m:r>
                    <m:t>d</m:t>
                  </m:r>
                </m:sub>
              </m:sSub>
              <m:r>
                <m:rPr>
                  <m:sty m:val="p"/>
                </m:rPr>
                <m:t>/</m:t>
              </m:r>
              <m:r>
                <m:t>4</m:t>
              </m:r>
            </m:oMath>
            <w:r>
              <w:t xml:space="preserve">)</w:t>
            </w:r>
          </w:p>
        </w:tc>
        <w:tc>
          <w:tcPr/>
          <w:p>
            <w:pPr>
              <w:pStyle w:val="Compact"/>
            </w:pPr>
            <w:r>
              <w:t xml:space="preserve">Leeward Zone (</w:t>
            </w:r>
            <m:oMath>
              <m:r>
                <m:t>x</m:t>
              </m:r>
              <m:r>
                <m:rPr>
                  <m:sty m:val="p"/>
                </m:rPr>
                <m:t>&gt;</m:t>
              </m:r>
              <m:sSub>
                <m:e>
                  <m:r>
                    <m:t>L</m:t>
                  </m:r>
                </m:e>
                <m:sub>
                  <m:r>
                    <m:t>d</m:t>
                  </m:r>
                </m:sub>
              </m:sSub>
              <m:r>
                <m:rPr>
                  <m:sty m:val="p"/>
                </m:rPr>
                <m:t>/</m:t>
              </m:r>
              <m:r>
                <m:t>4</m:t>
              </m:r>
            </m:oMath>
            <w:r>
              <w:t xml:space="preserve">)</w:t>
            </w:r>
          </w:p>
        </w:tc>
      </w:tr>
      <w:tr>
        <w:tc>
          <w:tcPr/>
          <w:p>
            <w:pPr>
              <w:pStyle w:val="Compact"/>
            </w:pPr>
            <w:r>
              <w:t xml:space="preserve">Pattern</w:t>
            </w:r>
            <w:r>
              <w:t xml:space="preserve"> </w:t>
            </w:r>
            <m:oMath>
              <m:sSub>
                <m:e>
                  <m:r>
                    <m:t>W</m:t>
                  </m:r>
                </m:e>
                <m:sub>
                  <m:r>
                    <m:t>N</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0.211</m:t>
              </m:r>
              <m:sSup>
                <m:e>
                  <m:r>
                    <m:rPr>
                      <m:nor/>
                    </m:rPr>
                    <m:t> kN/m</m:t>
                  </m:r>
                </m:e>
                <m:sup>
                  <m:r>
                    <m:t>2</m:t>
                  </m:r>
                </m:sup>
              </m:sSup>
            </m:oMath>
            <w:r>
              <w:t xml:space="preserve">​</w:t>
            </w:r>
          </w:p>
        </w:tc>
        <w:tc>
          <w:tcPr/>
          <w:p>
            <w:pPr>
              <w:pStyle w:val="Compact"/>
            </w:pPr>
            <m:oMath>
              <m:r>
                <m:rPr>
                  <m:sty m:val="p"/>
                </m:rPr>
                <m:t>−</m:t>
              </m:r>
              <m:r>
                <m:t>0.659</m:t>
              </m:r>
              <m:sSup>
                <m:e>
                  <m:r>
                    <m:rPr>
                      <m:nor/>
                    </m:rPr>
                    <m:t> kN/m</m:t>
                  </m:r>
                </m:e>
                <m:sup>
                  <m:r>
                    <m:t>2</m:t>
                  </m:r>
                </m:sup>
              </m:sSup>
            </m:oMath>
            <w:r>
              <w:t xml:space="preserve">​</w:t>
            </w:r>
          </w:p>
        </w:tc>
        <w:tc>
          <w:tcPr/>
          <w:p>
            <w:pPr>
              <w:pStyle w:val="Compact"/>
            </w:pPr>
            <m:oMath>
              <m:r>
                <m:rPr>
                  <m:sty m:val="p"/>
                </m:rPr>
                <m:t>−</m:t>
              </m:r>
              <m:r>
                <m:t>0.273</m:t>
              </m:r>
              <m:sSup>
                <m:e>
                  <m:r>
                    <m:rPr>
                      <m:nor/>
                    </m:rPr>
                    <m:t> kN/m</m:t>
                  </m:r>
                </m:e>
                <m:sup>
                  <m:r>
                    <m:t>2</m:t>
                  </m:r>
                </m:sup>
              </m:sSup>
            </m:oMath>
            <w:r>
              <w:t xml:space="preserve">​</w:t>
            </w:r>
          </w:p>
        </w:tc>
      </w:tr>
      <w:tr>
        <w:tc>
          <w:tcPr/>
          <w:p>
            <w:pPr>
              <w:pStyle w:val="Compact"/>
            </w:pPr>
            <w:r>
              <w:t xml:space="preserve">Pattern</w:t>
            </w:r>
            <w:r>
              <w:t xml:space="preserve"> </w:t>
            </w:r>
            <m:oMath>
              <m:sSub>
                <m:e>
                  <m:r>
                    <m:t>W</m:t>
                  </m:r>
                </m:e>
                <m:sub>
                  <m:r>
                    <m:t>P</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0.191</m:t>
              </m:r>
              <m:sSup>
                <m:e>
                  <m:r>
                    <m:rPr>
                      <m:nor/>
                    </m:rPr>
                    <m:t> kN/m</m:t>
                  </m:r>
                </m:e>
                <m:sup>
                  <m:r>
                    <m:t>2</m:t>
                  </m:r>
                </m:sup>
              </m:sSup>
            </m:oMath>
            <w:r>
              <w:t xml:space="preserve">​</w:t>
            </w:r>
          </w:p>
        </w:tc>
        <w:tc>
          <w:tcPr/>
          <w:p>
            <w:pPr>
              <w:pStyle w:val="Compact"/>
            </w:pPr>
            <m:oMath>
              <m:r>
                <m:rPr>
                  <m:sty m:val="p"/>
                </m:rPr>
                <m:t>−</m:t>
              </m:r>
              <m:r>
                <m:t>1.060</m:t>
              </m:r>
              <m:sSup>
                <m:e>
                  <m:r>
                    <m:rPr>
                      <m:nor/>
                    </m:rPr>
                    <m:t> kN/m</m:t>
                  </m:r>
                </m:e>
                <m:sup>
                  <m:r>
                    <m:t>2</m:t>
                  </m:r>
                </m:sup>
              </m:sSup>
            </m:oMath>
            <w:r>
              <w:t xml:space="preserve">​</w:t>
            </w:r>
          </w:p>
        </w:tc>
        <w:tc>
          <w:tcPr/>
          <w:p>
            <w:pPr>
              <w:pStyle w:val="Compact"/>
            </w:pPr>
            <m:oMath>
              <m:r>
                <m:rPr>
                  <m:sty m:val="p"/>
                </m:rPr>
                <m:t>−</m:t>
              </m:r>
              <m:r>
                <m:t>0.675</m:t>
              </m:r>
              <m:sSup>
                <m:e>
                  <m:r>
                    <m:rPr>
                      <m:nor/>
                    </m:rPr>
                    <m:t> kN/m</m:t>
                  </m:r>
                </m:e>
                <m:sup>
                  <m:r>
                    <m:t>2</m:t>
                  </m:r>
                </m:sup>
              </m:sSup>
            </m:oMath>
            <w:r>
              <w:t xml:space="preserve">​</w:t>
            </w:r>
          </w:p>
        </w:tc>
      </w:tr>
    </w:tbl>
    <w:p>
      <w:pPr>
        <w:pStyle w:val="FirstParagraph"/>
      </w:pPr>
      <w:r>
        <w:rPr>
          <w:b/>
          <w:bCs/>
        </w:rPr>
        <w:t xml:space="preserve">Table 3.</w:t>
      </w:r>
      <w:r>
        <w:t xml:space="preserve"> </w:t>
      </w:r>
      <w:r>
        <w:t xml:space="preserve">Distributed aerodynamic wind surface pressures. Positive values denote inward pressure.</w:t>
      </w:r>
    </w:p>
    <w:p>
      <w:pPr>
        <w:pStyle w:val="BodyText"/>
      </w:pPr>
      <w:r>
        <w:t xml:space="preserve">Surface tributary loads are lumped onto structural joints via surface triangular discretization. Eight unfactored ASD load combinations are systematically evaluated in accordance with ASCE 7-22 [35], as summarized in Table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Load Combination</w:t>
            </w:r>
          </w:p>
        </w:tc>
        <w:tc>
          <w:tcPr/>
          <w:p>
            <w:pPr>
              <w:pStyle w:val="Compact"/>
            </w:pPr>
            <w:r>
              <w:t xml:space="preserve">Governing Duration Class</w:t>
            </w:r>
          </w:p>
        </w:tc>
        <w:tc>
          <w:tcPr/>
          <w:p>
            <w:pPr>
              <w:pStyle w:val="Compact"/>
            </w:pPr>
            <m:oMath>
              <m:sSub>
                <m:e>
                  <m:r>
                    <m:t>C</m:t>
                  </m:r>
                </m:e>
                <m:sub>
                  <m:r>
                    <m:t>D</m:t>
                  </m:r>
                  <m:r>
                    <m:t>F</m:t>
                  </m:r>
                </m:sub>
              </m:sSub>
            </m:oMath>
            <w:r>
              <w:t xml:space="preserve">​</w:t>
            </w:r>
          </w:p>
        </w:tc>
        <w:tc>
          <w:tcPr/>
          <w:p>
            <w:pPr>
              <w:pStyle w:val="Compact"/>
            </w:pPr>
            <w:r>
              <w:t xml:space="preserve">Combined ASD Scaling Factor</w:t>
            </w:r>
            <w:r>
              <w:t xml:space="preserve"> </w:t>
            </w:r>
            <m:oMath>
              <m:sSub>
                <m:e>
                  <m:r>
                    <m:t>k</m:t>
                  </m:r>
                </m:e>
                <m:sub>
                  <m:r>
                    <m:t>j</m:t>
                  </m:r>
                </m:sub>
              </m:sSub>
            </m:oMath>
          </w:p>
        </w:tc>
      </w:tr>
      <w:tr>
        <w:tc>
          <w:tcPr/>
          <w:p>
            <w:pPr>
              <w:pStyle w:val="Compact"/>
            </w:pPr>
            <w:r>
              <w:t xml:space="preserve">1</w:t>
            </w:r>
          </w:p>
        </w:tc>
        <w:tc>
          <w:tcPr/>
          <w:p>
            <w:pPr>
              <w:pStyle w:val="Compact"/>
            </w:pPr>
            <m:oMath>
              <m:r>
                <m:t>D</m:t>
              </m:r>
            </m:oMath>
            <w:r>
              <w:t xml:space="preserve">​</w:t>
            </w:r>
          </w:p>
        </w:tc>
        <w:tc>
          <w:tcPr/>
          <w:p>
            <w:pPr>
              <w:pStyle w:val="Compact"/>
            </w:pPr>
            <w:r>
              <w:t xml:space="preserve">Permanent</w:t>
            </w:r>
          </w:p>
        </w:tc>
        <w:tc>
          <w:tcPr/>
          <w:p>
            <w:pPr>
              <w:pStyle w:val="Compact"/>
            </w:pPr>
            <w:r>
              <w:t xml:space="preserve">0.55</w:t>
            </w:r>
          </w:p>
        </w:tc>
        <w:tc>
          <w:tcPr/>
          <w:p>
            <w:pPr>
              <w:pStyle w:val="Compact"/>
            </w:pPr>
            <w:r>
              <w:t xml:space="preserve">0.2475</w:t>
            </w:r>
          </w:p>
        </w:tc>
      </w:tr>
      <w:tr>
        <w:tc>
          <w:tcPr/>
          <w:p>
            <w:pPr>
              <w:pStyle w:val="Compact"/>
            </w:pPr>
            <w:r>
              <w:t xml:space="preserve">2</w:t>
            </w:r>
          </w:p>
        </w:tc>
        <w:tc>
          <w:tcPr/>
          <w:p>
            <w:pPr>
              <w:pStyle w:val="Compact"/>
            </w:pPr>
            <m:oMath>
              <m:r>
                <m:t>D</m:t>
              </m:r>
              <m:r>
                <m:rPr>
                  <m:sty m:val="p"/>
                </m:rPr>
                <m:t>+</m:t>
              </m:r>
              <m:r>
                <m:t>S</m:t>
              </m:r>
            </m:oMath>
            <w:r>
              <w:t xml:space="preserve">​</w:t>
            </w:r>
          </w:p>
        </w:tc>
        <w:tc>
          <w:tcPr/>
          <w:p>
            <w:pPr>
              <w:pStyle w:val="Compact"/>
            </w:pPr>
            <w:r>
              <w:t xml:space="preserve">Transient</w:t>
            </w:r>
          </w:p>
        </w:tc>
        <w:tc>
          <w:tcPr/>
          <w:p>
            <w:pPr>
              <w:pStyle w:val="Compact"/>
            </w:pPr>
            <w:r>
              <w:t xml:space="preserve">0.65</w:t>
            </w:r>
          </w:p>
        </w:tc>
        <w:tc>
          <w:tcPr/>
          <w:p>
            <w:pPr>
              <w:pStyle w:val="Compact"/>
            </w:pPr>
            <w:r>
              <w:t xml:space="preserve">0.2925</w:t>
            </w:r>
          </w:p>
        </w:tc>
      </w:tr>
      <w:tr>
        <w:tc>
          <w:tcPr/>
          <w:p>
            <w:pPr>
              <w:pStyle w:val="Compact"/>
            </w:pPr>
            <w:r>
              <w:t xml:space="preserve">3</w:t>
            </w:r>
          </w:p>
        </w:tc>
        <w:tc>
          <w:tcPr/>
          <w:p>
            <w:pPr>
              <w:pStyle w:val="Compact"/>
            </w:pPr>
            <m:oMath>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4</w:t>
            </w:r>
          </w:p>
        </w:tc>
        <w:tc>
          <w:tcPr/>
          <w:p>
            <w:pPr>
              <w:pStyle w:val="Compact"/>
            </w:pPr>
            <m:oMath>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5</w:t>
            </w:r>
          </w:p>
        </w:tc>
        <w:tc>
          <w:tcPr/>
          <w:p>
            <w:pPr>
              <w:pStyle w:val="Compact"/>
            </w:pPr>
            <m:oMath>
              <m:r>
                <m:t>D</m:t>
              </m:r>
              <m:r>
                <m:rPr>
                  <m:sty m:val="p"/>
                </m:rPr>
                <m:t>+</m:t>
              </m:r>
              <m:r>
                <m:t>0.75</m:t>
              </m:r>
              <m:r>
                <m:t>S</m:t>
              </m:r>
              <m:r>
                <m:rPr>
                  <m:sty m:val="p"/>
                </m:rPr>
                <m:t>+</m:t>
              </m:r>
              <m:r>
                <m:t>0.45</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6</w:t>
            </w:r>
          </w:p>
        </w:tc>
        <w:tc>
          <w:tcPr/>
          <w:p>
            <w:pPr>
              <w:pStyle w:val="Compact"/>
            </w:pPr>
            <m:oMath>
              <m:r>
                <m:t>D</m:t>
              </m:r>
              <m:r>
                <m:rPr>
                  <m:sty m:val="p"/>
                </m:rPr>
                <m:t>+</m:t>
              </m:r>
              <m:r>
                <m:t>0.75</m:t>
              </m:r>
              <m:r>
                <m:t>S</m:t>
              </m:r>
              <m:r>
                <m:rPr>
                  <m:sty m:val="p"/>
                </m:rPr>
                <m:t>+</m:t>
              </m:r>
              <m:r>
                <m:t>0.45</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7</w:t>
            </w:r>
          </w:p>
        </w:tc>
        <w:tc>
          <w:tcPr/>
          <w:p>
            <w:pPr>
              <w:pStyle w:val="Compact"/>
            </w:pPr>
            <m:oMath>
              <m:r>
                <m:t>0.6</m:t>
              </m:r>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8</w:t>
            </w:r>
          </w:p>
        </w:tc>
        <w:tc>
          <w:tcPr/>
          <w:p>
            <w:pPr>
              <w:pStyle w:val="Compact"/>
            </w:pPr>
            <m:oMath>
              <m:r>
                <m:t>0.6</m:t>
              </m:r>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bl>
    <w:p>
      <w:pPr>
        <w:pStyle w:val="FirstParagraph"/>
      </w:pPr>
      <w:r>
        <w:rPr>
          <w:b/>
          <w:bCs/>
        </w:rPr>
        <w:t xml:space="preserve">Table 4.</w:t>
      </w:r>
      <w:r>
        <w:t xml:space="preserve"> </w:t>
      </w:r>
      <w:r>
        <w:t xml:space="preserve">ASD load combinations, duration categories, and resulting capacity factors</w:t>
      </w:r>
      <w:r>
        <w:t xml:space="preserve"> </w:t>
      </w:r>
      <m:oMath>
        <m:sSub>
          <m:e>
            <m:r>
              <m:t>k</m:t>
            </m:r>
          </m:e>
          <m:sub>
            <m:r>
              <m:t>j</m:t>
            </m:r>
          </m:sub>
        </m:sSub>
      </m:oMath>
      <w:r>
        <w:t xml:space="preserve"> </w:t>
      </w:r>
      <w:r>
        <w:t xml:space="preserve">(Equation 5).</w:t>
      </w:r>
    </w:p>
    <w:p>
      <w:pPr>
        <w:pStyle w:val="Heading2"/>
      </w:pPr>
      <w:bookmarkStart w:id="38" w:name="_0024e23da9e8ed4e667e3b46f16cc4313aad464"/>
      <w:r>
        <w:t xml:space="preserve">3.4 Optimization algorithm execution settings</w:t>
      </w:r>
      <w:bookmarkEnd w:id="38"/>
    </w:p>
    <w:p>
      <w:pPr>
        <w:pStyle w:val="FirstParagraph"/>
      </w:pPr>
      <w:r>
        <w:t xml:space="preserve">To ensure equitable computational budgets across topologies of varying dimensionality, each algorithmic run terminates strictly after</w:t>
      </w:r>
      <w:r>
        <w:t xml:space="preserve"> </w:t>
      </w:r>
      <m:oMath>
        <m:r>
          <m:t>N</m:t>
        </m:r>
        <m:r>
          <m:t>F</m:t>
        </m:r>
        <m:r>
          <m:t>E</m:t>
        </m:r>
        <m:r>
          <m:rPr>
            <m:sty m:val="p"/>
          </m:rPr>
          <m:t>=</m:t>
        </m:r>
        <m:r>
          <m:t>1000</m:t>
        </m:r>
        <m:r>
          <m:t> </m:t>
        </m:r>
        <m:sSub>
          <m:e>
            <m:r>
              <m:t>N</m:t>
            </m:r>
          </m:e>
          <m:sub>
            <m:r>
              <m:t>g</m:t>
            </m:r>
          </m:sub>
        </m:sSub>
      </m:oMath>
      <w:r>
        <w:t xml:space="preserve"> </w:t>
      </w:r>
      <w:r>
        <w:t xml:space="preserve">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domes (Table S1.1), and the production runs kept one size for each of the two methods on all domes.</w:t>
      </w:r>
    </w:p>
    <w:p>
      <w:pPr>
        <w:pStyle w:val="BodyText"/>
      </w:pPr>
      <w:r>
        <w:t xml:space="preserve">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pPr>
        <w:pStyle w:val="Heading2"/>
      </w:pPr>
      <w:bookmarkStart w:id="39" w:name="_5662b2024590b73919c9bf81e7af5992b5b82ce"/>
      <w:r>
        <w:t xml:space="preserve">3.5 Embodied carbon factors and international material cost inventories</w:t>
      </w:r>
      <w:bookmarkEnd w:id="39"/>
    </w:p>
    <w:p>
      <w:pPr>
        <w:pStyle w:val="FirstParagraph"/>
      </w:pPr>
      <w:r>
        <w:rPr>
          <w:b/>
          <w:bCs/>
        </w:rPr>
        <w:t xml:space="preserve">Connection detailing hardware.</w:t>
      </w:r>
      <w:r>
        <w:t xml:space="preserve"> </w:t>
      </w:r>
      <w:r>
        <w:t xml:space="preserve">The baseline spatial truss connection detailing incorporates a central spherical steel hub of</w:t>
      </w:r>
      <w:r>
        <w:t xml:space="preserve"> </w:t>
      </w:r>
      <m:oMath>
        <m:sSub>
          <m:e>
            <m:r>
              <m:t>m</m:t>
            </m:r>
          </m:e>
          <m:sub>
            <m:r>
              <m:t>h</m:t>
            </m:r>
            <m:r>
              <m:t>u</m:t>
            </m:r>
            <m:r>
              <m:t>b</m:t>
            </m:r>
          </m:sub>
        </m:sSub>
        <m:r>
          <m:rPr>
            <m:sty m:val="p"/>
          </m:rPr>
          <m:t>=</m:t>
        </m:r>
        <m:r>
          <m:t>2.0</m:t>
        </m:r>
      </m:oMath>
      <w:r>
        <w:t xml:space="preserve"> </w:t>
      </w:r>
      <w:r>
        <w:t xml:space="preserve">kg per node, member-end steel connector assemblies of</w:t>
      </w:r>
      <w:r>
        <w:t xml:space="preserve"> </w:t>
      </w:r>
      <m:oMath>
        <m:sSub>
          <m:e>
            <m:r>
              <m:t>m</m:t>
            </m:r>
          </m:e>
          <m:sub>
            <m:r>
              <m:t>e</m:t>
            </m:r>
            <m:r>
              <m:t>n</m:t>
            </m:r>
            <m:r>
              <m:t>d</m:t>
            </m:r>
          </m:sub>
        </m:sSub>
        <m:r>
          <m:rPr>
            <m:sty m:val="p"/>
          </m:rPr>
          <m:t>=</m:t>
        </m:r>
        <m:r>
          <m:t>0.5</m:t>
        </m:r>
      </m:oMath>
      <w:r>
        <w:t xml:space="preserve"> </w:t>
      </w:r>
      <w:r>
        <w:t xml:space="preserve">kg per member end (threaded stud, washers, nuts, and insert sleeve), and an injected non-shrink cementitious grout infill column of length</w:t>
      </w:r>
      <w:r>
        <w:t xml:space="preserve"> </w:t>
      </w:r>
      <m:oMath>
        <m:sSub>
          <m:e>
            <m:r>
              <m:t>L</m:t>
            </m:r>
          </m:e>
          <m:sub>
            <m:r>
              <m:t>g</m:t>
            </m:r>
            <m:r>
              <m:t>r</m:t>
            </m:r>
            <m:r>
              <m:t>o</m:t>
            </m:r>
            <m:r>
              <m:t>u</m:t>
            </m:r>
            <m:r>
              <m:t>t</m:t>
            </m:r>
          </m:sub>
        </m:sSub>
        <m:r>
          <m:rPr>
            <m:sty m:val="p"/>
          </m:rPr>
          <m:t>=</m:t>
        </m:r>
        <m:r>
          <m:t>β</m:t>
        </m:r>
        <m:r>
          <m:t> </m:t>
        </m:r>
        <m:r>
          <m:t>D</m:t>
        </m:r>
      </m:oMath>
      <w:r>
        <w:t xml:space="preserve"> </w:t>
      </w:r>
      <w:r>
        <w:t xml:space="preserve">with baseline ratio</w:t>
      </w:r>
      <w:r>
        <w:t xml:space="preserve"> </w:t>
      </w:r>
      <m:oMath>
        <m:r>
          <m:t>β</m:t>
        </m:r>
        <m:r>
          <m:rPr>
            <m:sty m:val="p"/>
          </m:rPr>
          <m:t>=</m:t>
        </m:r>
        <m:r>
          <m:t>2.5</m:t>
        </m:r>
      </m:oMath>
      <w:r>
        <w:t xml:space="preserve"> </w:t>
      </w:r>
      <w:r>
        <w:t xml:space="preserve">and density</w:t>
      </w:r>
      <w:r>
        <w:t xml:space="preserve"> </w:t>
      </w:r>
      <m:oMath>
        <m:sSub>
          <m:e>
            <m:r>
              <m:t>ρ</m:t>
            </m:r>
          </m:e>
          <m:sub>
            <m:r>
              <m:t>m</m:t>
            </m:r>
          </m:sub>
        </m:sSub>
        <m:r>
          <m:rPr>
            <m:sty m:val="p"/>
          </m:rPr>
          <m:t>=</m:t>
        </m:r>
        <m:r>
          <m:t>2100</m:t>
        </m:r>
      </m:oMath>
      <w:r>
        <w:t xml:space="preserve"> </w:t>
      </w:r>
      <w:r>
        <w:t xml:space="preserve">kg/m³.</w:t>
      </w:r>
    </w:p>
    <w:p>
      <w:pPr>
        <w:pStyle w:val="BodyText"/>
      </w:pPr>
      <w:r>
        <w:rPr>
          <w:b/>
          <w:bCs/>
        </w:rPr>
        <w:t xml:space="preserve">Cradle-to-gate carbon emission factors.</w:t>
      </w:r>
      <w:r>
        <w:t xml:space="preserve"> </w:t>
      </w:r>
      <w:r>
        <w:t xml:space="preserve">Embodied carbon intensity coefficients (stages A1–A3) are drawn from verified life cycle databases and international technical reports, as summarized in Table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Structural Component</w:t>
            </w:r>
          </w:p>
        </w:tc>
        <w:tc>
          <w:tcPr/>
          <w:p>
            <w:pPr>
              <w:pStyle w:val="Compact"/>
            </w:pPr>
            <w:r>
              <w:t xml:space="preserve">Emission Factor [kg CO₂e/kg]</w:t>
            </w:r>
          </w:p>
        </w:tc>
        <w:tc>
          <w:tcPr/>
          <w:p>
            <w:pPr>
              <w:pStyle w:val="Compact"/>
            </w:pPr>
            <w:r>
              <w:t xml:space="preserve">Reference Basis and Derivation</w:t>
            </w:r>
          </w:p>
        </w:tc>
      </w:tr>
      <w:tr>
        <w:tc>
          <w:tcPr/>
          <w:p>
            <w:pPr>
              <w:pStyle w:val="Compact"/>
            </w:pPr>
            <w:r>
              <w:t xml:space="preserve">Bamboo culm (</w:t>
            </w:r>
            <m:oMath>
              <m:r>
                <m:t>E</m:t>
              </m:r>
              <m:sSub>
                <m:e>
                  <m:r>
                    <m:t>C</m:t>
                  </m:r>
                </m:e>
                <m:sub>
                  <m:r>
                    <m:t>b</m:t>
                  </m:r>
                </m:sub>
              </m:sSub>
            </m:oMath>
            <w:r>
              <w:t xml:space="preserve">)</w:t>
            </w:r>
          </w:p>
        </w:tc>
        <w:tc>
          <w:tcPr/>
          <w:p>
            <w:pPr>
              <w:pStyle w:val="Compact"/>
            </w:pPr>
            <w:r>
              <w:t xml:space="preserve">0.243 (sensitivity range: 0.0324–1.23)</w:t>
            </w:r>
          </w:p>
        </w:tc>
        <w:tc>
          <w:tcPr/>
          <w:p>
            <w:pPr>
              <w:pStyle w:val="Compact"/>
            </w:pPr>
            <w:r>
              <w:t xml:space="preserve">Author’s baseline derivation: cultivation, harvesting and local hauling 0.0324 (0.0156 + 0.0168, INBAR TR35 Table 1 [38]) + regional delivery to site 0.211 (</w:t>
            </w:r>
            <m:oMath>
              <m:r>
                <m:t>0.185</m:t>
              </m:r>
              <m:r>
                <m:rPr>
                  <m:sty m:val="p"/>
                </m:rPr>
                <m:t>×</m:t>
              </m:r>
              <m:f>
                <m:fPr>
                  <m:type m:val="bar"/>
                </m:fPr>
                <m:num>
                  <m:r>
                    <m:t>300</m:t>
                  </m:r>
                </m:num>
                <m:den>
                  <m:r>
                    <m:t>1000</m:t>
                  </m:r>
                </m:den>
              </m:f>
              <m:r>
                <m:rPr>
                  <m:sty m:val="p"/>
                </m:rPr>
                <m:t>×</m:t>
              </m:r>
              <m:r>
                <m:t>3.8</m:t>
              </m:r>
            </m:oMath>
            <w:r>
              <w:t xml:space="preserve"> </w:t>
            </w:r>
            <w:r>
              <w:t xml:space="preserve">[2, 42]); sum 0.243; highest value tested 1.23 [2]</w:t>
            </w:r>
          </w:p>
        </w:tc>
      </w:tr>
      <w:tr>
        <w:tc>
          <w:tcPr/>
          <w:p>
            <w:pPr>
              <w:pStyle w:val="Compact"/>
            </w:pPr>
            <w:r>
              <w:t xml:space="preserve">Connection steel hardware (</w:t>
            </w:r>
            <m:oMath>
              <m:r>
                <m:t>E</m:t>
              </m:r>
              <m:sSub>
                <m:e>
                  <m:r>
                    <m:t>C</m:t>
                  </m:r>
                </m:e>
                <m:sub>
                  <m:r>
                    <m:t>s</m:t>
                  </m:r>
                </m:sub>
              </m:sSub>
            </m:oMath>
            <w:r>
              <w:t xml:space="preserve">)</w:t>
            </w:r>
          </w:p>
        </w:tc>
        <w:tc>
          <w:tcPr/>
          <w:p>
            <w:pPr>
              <w:pStyle w:val="Compact"/>
            </w:pPr>
            <w:r>
              <w:t xml:space="preserve">1.13</w:t>
            </w:r>
          </w:p>
        </w:tc>
        <w:tc>
          <w:tcPr/>
          <w:p>
            <w:pPr>
              <w:pStyle w:val="Compact"/>
            </w:pPr>
            <w:r>
              <w:t xml:space="preserve">Structural steel plates and sections, A1–A3, declared average of the producing plants [39]</w:t>
            </w:r>
          </w:p>
        </w:tc>
      </w:tr>
      <w:tr>
        <w:tc>
          <w:tcPr/>
          <w:p>
            <w:pPr>
              <w:pStyle w:val="Compact"/>
            </w:pPr>
            <w:r>
              <w:t xml:space="preserve">Non-shrink cementitious grout (</w:t>
            </w:r>
            <m:oMath>
              <m:r>
                <m:t>E</m:t>
              </m:r>
              <m:sSub>
                <m:e>
                  <m:r>
                    <m:t>C</m:t>
                  </m:r>
                </m:e>
                <m:sub>
                  <m:r>
                    <m:t>m</m:t>
                  </m:r>
                </m:sub>
              </m:sSub>
            </m:oMath>
            <w:r>
              <w:t xml:space="preserve">)</w:t>
            </w:r>
          </w:p>
        </w:tc>
        <w:tc>
          <w:tcPr/>
          <w:p>
            <w:pPr>
              <w:pStyle w:val="Compact"/>
            </w:pPr>
            <w:r>
              <w:t xml:space="preserve">0.310</w:t>
            </w:r>
          </w:p>
        </w:tc>
        <w:tc>
          <w:tcPr/>
          <w:p>
            <w:pPr>
              <w:pStyle w:val="Compact"/>
            </w:pPr>
            <w:r>
              <w:t xml:space="preserve">SikaGrout-312 HP, A1–A3, declared unit 1 kg [41]</w:t>
            </w:r>
          </w:p>
        </w:tc>
      </w:tr>
      <w:tr>
        <w:tc>
          <w:tcPr/>
          <w:p>
            <w:pPr>
              <w:pStyle w:val="Compact"/>
            </w:pPr>
            <w:r>
              <w:t xml:space="preserve">Structural steel pipe (</w:t>
            </w:r>
            <m:oMath>
              <m:r>
                <m:t>E</m:t>
              </m:r>
              <m:sSub>
                <m:e>
                  <m:r>
                    <m:t>C</m:t>
                  </m:r>
                </m:e>
                <m:sub>
                  <m:r>
                    <m:t>p</m:t>
                  </m:r>
                  <m:r>
                    <m:t>i</m:t>
                  </m:r>
                  <m:r>
                    <m:t>p</m:t>
                  </m:r>
                  <m:r>
                    <m:t>e</m:t>
                  </m:r>
                </m:sub>
              </m:sSub>
            </m:oMath>
            <w:r>
              <w:t xml:space="preserve">)</w:t>
            </w:r>
          </w:p>
        </w:tc>
        <w:tc>
          <w:tcPr/>
          <w:p>
            <w:pPr>
              <w:pStyle w:val="Compact"/>
            </w:pPr>
            <w:r>
              <w:t xml:space="preserve">1.701</w:t>
            </w:r>
          </w:p>
        </w:tc>
        <w:tc>
          <w:tcPr/>
          <w:p>
            <w:pPr>
              <w:pStyle w:val="Compact"/>
            </w:pPr>
            <w:r>
              <w:t xml:space="preserve">Welded hollow structural sections, A1–A3, declared unit 1 tonne [40]</w:t>
            </w:r>
          </w:p>
        </w:tc>
      </w:tr>
    </w:tbl>
    <w:p>
      <w:pPr>
        <w:pStyle w:val="FirstParagraph"/>
      </w:pPr>
      <w:r>
        <w:rPr>
          <w:b/>
          <w:bCs/>
        </w:rPr>
        <w:t xml:space="preserve">Table 5.</w:t>
      </w:r>
      <w:r>
        <w:t xml:space="preserve"> </w:t>
      </w:r>
      <w:r>
        <w:t xml:space="preserve">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w:t>
      </w:r>
    </w:p>
    <w:p>
      <w:pPr>
        <w:pStyle w:val="BodyText"/>
      </w:pPr>
      <w:r>
        <w:rPr>
          <w:b/>
          <w:bCs/>
        </w:rPr>
        <w:t xml:space="preserve">International material cost scenarios.</w:t>
      </w:r>
      <w:r>
        <w:t xml:space="preserve"> </w:t>
      </w:r>
      <w:r>
        <w:t xml:space="preserve">Direct material cost parameters are compiled across four developing and emerging market regions to capture geographic cost variations (Table 6). Indonesia serves as the baseline empirical reference market, where regional government schedules of rates (Jawa Tengah HSD 2024; exchange rate 15,855 IDR/USD) provide simultaneous local unit rates for bamboo culms, structural steel, and cementitious materials. For sensitivity analysis, illustrative cost models are developed for India (CPWD DSR 2023; 82.60 INR/USD), Türkiye (CSB 2026; 47.49 TRY/USD), and Colombia (commercial Guadua quotation 2026; exchange rate 4,053 COP/USD, where 38,500 COP per 6 m culm yields 1.583 USD/m). In these sensitivity scenarios, Indian and Turkish culm prices are scaled from the empirical Indonesian bamboo-to-steel price ratio, whereas Colombian steel and grout prices represent an emerging-market proxy (mean of Indonesian and Indian rates) combined with Colombian commercial Guadua pole quotes (Table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Economic Market Scenario</w:t>
            </w:r>
          </w:p>
        </w:tc>
        <w:tc>
          <w:tcPr/>
          <w:p>
            <w:pPr>
              <w:pStyle w:val="Compact"/>
            </w:pPr>
            <w:r>
              <w:t xml:space="preserve">Structural Steel [</w:t>
            </w:r>
            <m:oMath>
              <m:sSub>
                <m:e>
                  <m:r>
                    <m:t>p</m:t>
                  </m:r>
                </m:e>
                <m:sub>
                  <m:r>
                    <m:t>s</m:t>
                  </m:r>
                </m:sub>
              </m:sSub>
            </m:oMath>
            <w:r>
              <w:t xml:space="preserve">, USD/kg]</w:t>
            </w:r>
          </w:p>
        </w:tc>
        <w:tc>
          <w:tcPr/>
          <w:p>
            <w:pPr>
              <w:pStyle w:val="Compact"/>
            </w:pPr>
            <w:r>
              <w:t xml:space="preserve">Grout [</w:t>
            </w:r>
            <m:oMath>
              <m:sSub>
                <m:e>
                  <m:r>
                    <m:t>p</m:t>
                  </m:r>
                </m:e>
                <m:sub>
                  <m:r>
                    <m:t>g</m:t>
                  </m:r>
                </m:sub>
              </m:sSub>
            </m:oMath>
            <w:r>
              <w:t xml:space="preserve">, USD/kg]</w:t>
            </w:r>
          </w:p>
        </w:tc>
        <w:tc>
          <w:tcPr/>
          <w:p>
            <w:pPr>
              <w:pStyle w:val="Compact"/>
            </w:pPr>
            <w:r>
              <w:t xml:space="preserve">Bamboo at</w:t>
            </w:r>
            <w:r>
              <w:t xml:space="preserve"> </w:t>
            </w:r>
            <m:oMath>
              <m:sSub>
                <m:e>
                  <m:r>
                    <m:t>D</m:t>
                  </m:r>
                </m:e>
                <m:sub>
                  <m:r>
                    <m:t>r</m:t>
                  </m:r>
                  <m:r>
                    <m:t>e</m:t>
                  </m:r>
                  <m:r>
                    <m:t>f</m:t>
                  </m:r>
                </m:sub>
              </m:sSub>
            </m:oMath>
            <w:r>
              <w:t xml:space="preserve"> </w:t>
            </w:r>
            <w:r>
              <w:t xml:space="preserve">[</w:t>
            </w:r>
            <m:oMath>
              <m:sSub>
                <m:e>
                  <m:r>
                    <m:t>p</m:t>
                  </m:r>
                </m:e>
                <m:sub>
                  <m:r>
                    <m:t>r</m:t>
                  </m:r>
                  <m:r>
                    <m:t>e</m:t>
                  </m:r>
                  <m:r>
                    <m:t>f</m:t>
                  </m:r>
                </m:sub>
              </m:sSub>
            </m:oMath>
            <w:r>
              <w:t xml:space="preserve">, USD/m]</w:t>
            </w:r>
          </w:p>
        </w:tc>
        <w:tc>
          <w:tcPr/>
          <w:p>
            <w:pPr>
              <w:pStyle w:val="Compact"/>
            </w:pPr>
            <w:r>
              <w:t xml:space="preserve">Reference Culm Diameter [</w:t>
            </w:r>
            <m:oMath>
              <m:sSub>
                <m:e>
                  <m:r>
                    <m:t>D</m:t>
                  </m:r>
                </m:e>
                <m:sub>
                  <m:r>
                    <m:t>r</m:t>
                  </m:r>
                  <m:r>
                    <m:t>e</m:t>
                  </m:r>
                  <m:r>
                    <m:t>f</m:t>
                  </m:r>
                </m:sub>
              </m:sSub>
            </m:oMath>
            <w:r>
              <w:t xml:space="preserve">, mm]</w:t>
            </w:r>
          </w:p>
        </w:tc>
      </w:tr>
      <w:tr>
        <w:tc>
          <w:tcPr/>
          <w:p>
            <w:pPr>
              <w:pStyle w:val="Compact"/>
            </w:pPr>
            <w:r>
              <w:t xml:space="preserve">Indonesia 2024 (Jateng HSD)</w:t>
            </w:r>
          </w:p>
        </w:tc>
        <w:tc>
          <w:tcPr/>
          <w:p>
            <w:pPr>
              <w:pStyle w:val="Compact"/>
            </w:pPr>
            <w:r>
              <w:t xml:space="preserve">1.141</w:t>
            </w:r>
          </w:p>
        </w:tc>
        <w:tc>
          <w:tcPr/>
          <w:p>
            <w:pPr>
              <w:pStyle w:val="Compact"/>
            </w:pPr>
            <w:r>
              <w:t xml:space="preserve">0.5388</w:t>
            </w:r>
          </w:p>
        </w:tc>
        <w:tc>
          <w:tcPr/>
          <w:p>
            <w:pPr>
              <w:pStyle w:val="Compact"/>
            </w:pPr>
            <w:r>
              <w:t xml:space="preserve">0.2304</w:t>
            </w:r>
          </w:p>
        </w:tc>
        <w:tc>
          <w:tcPr/>
          <w:p>
            <w:pPr>
              <w:pStyle w:val="Compact"/>
            </w:pPr>
            <w:r>
              <w:t xml:space="preserve">70</w:t>
            </w:r>
          </w:p>
        </w:tc>
      </w:tr>
      <w:tr>
        <w:tc>
          <w:tcPr/>
          <w:p>
            <w:pPr>
              <w:pStyle w:val="Compact"/>
            </w:pPr>
            <w:r>
              <w:t xml:space="preserve">India 2023 (CPWD DSR)</w:t>
            </w:r>
          </w:p>
        </w:tc>
        <w:tc>
          <w:tcPr/>
          <w:p>
            <w:pPr>
              <w:pStyle w:val="Compact"/>
            </w:pPr>
            <w:r>
              <w:t xml:space="preserve">0.7222</w:t>
            </w:r>
          </w:p>
        </w:tc>
        <w:tc>
          <w:tcPr/>
          <w:p>
            <w:pPr>
              <w:pStyle w:val="Compact"/>
            </w:pPr>
            <w:r>
              <w:t xml:space="preserve">0.3390</w:t>
            </w:r>
          </w:p>
        </w:tc>
        <w:tc>
          <w:tcPr/>
          <w:p>
            <w:pPr>
              <w:pStyle w:val="Compact"/>
            </w:pPr>
            <w:r>
              <w:t xml:space="preserve">0.1459</w:t>
            </w:r>
          </w:p>
        </w:tc>
        <w:tc>
          <w:tcPr/>
          <w:p>
            <w:pPr>
              <w:pStyle w:val="Compact"/>
            </w:pPr>
            <w:r>
              <w:t xml:space="preserve">70</w:t>
            </w:r>
          </w:p>
        </w:tc>
      </w:tr>
      <w:tr>
        <w:tc>
          <w:tcPr/>
          <w:p>
            <w:pPr>
              <w:pStyle w:val="Compact"/>
            </w:pPr>
            <w:r>
              <w:t xml:space="preserve">Türkiye 2026 (CSB August)</w:t>
            </w:r>
          </w:p>
        </w:tc>
        <w:tc>
          <w:tcPr/>
          <w:p>
            <w:pPr>
              <w:pStyle w:val="Compact"/>
            </w:pPr>
            <w:r>
              <w:t xml:space="preserve">0.6894</w:t>
            </w:r>
          </w:p>
        </w:tc>
        <w:tc>
          <w:tcPr/>
          <w:p>
            <w:pPr>
              <w:pStyle w:val="Compact"/>
            </w:pPr>
            <w:r>
              <w:t xml:space="preserve">0.3246</w:t>
            </w:r>
          </w:p>
        </w:tc>
        <w:tc>
          <w:tcPr/>
          <w:p>
            <w:pPr>
              <w:pStyle w:val="Compact"/>
            </w:pPr>
            <w:r>
              <w:t xml:space="preserve">0.1392</w:t>
            </w:r>
          </w:p>
        </w:tc>
        <w:tc>
          <w:tcPr/>
          <w:p>
            <w:pPr>
              <w:pStyle w:val="Compact"/>
            </w:pPr>
            <w:r>
              <w:t xml:space="preserve">70</w:t>
            </w:r>
          </w:p>
        </w:tc>
      </w:tr>
      <w:tr>
        <w:tc>
          <w:tcPr/>
          <w:p>
            <w:pPr>
              <w:pStyle w:val="Compact"/>
            </w:pPr>
            <w:r>
              <w:t xml:space="preserve">Colombia 2026 (Guadua national)</w:t>
            </w:r>
          </w:p>
        </w:tc>
        <w:tc>
          <w:tcPr/>
          <w:p>
            <w:pPr>
              <w:pStyle w:val="Compact"/>
            </w:pPr>
            <w:r>
              <w:t xml:space="preserve">0.9315</w:t>
            </w:r>
          </w:p>
        </w:tc>
        <w:tc>
          <w:tcPr/>
          <w:p>
            <w:pPr>
              <w:pStyle w:val="Compact"/>
            </w:pPr>
            <w:r>
              <w:t xml:space="preserve">0.4389</w:t>
            </w:r>
          </w:p>
        </w:tc>
        <w:tc>
          <w:tcPr/>
          <w:p>
            <w:pPr>
              <w:pStyle w:val="Compact"/>
            </w:pPr>
            <w:r>
              <w:t xml:space="preserve">1.5830</w:t>
            </w:r>
          </w:p>
        </w:tc>
        <w:tc>
          <w:tcPr/>
          <w:p>
            <w:pPr>
              <w:pStyle w:val="Compact"/>
            </w:pPr>
            <w:r>
              <w:t xml:space="preserve">120</w:t>
            </w:r>
          </w:p>
        </w:tc>
      </w:tr>
    </w:tbl>
    <w:p>
      <w:pPr>
        <w:pStyle w:val="FirstParagraph"/>
      </w:pPr>
      <w:r>
        <w:rPr>
          <w:b/>
          <w:bCs/>
        </w:rPr>
        <w:t xml:space="preserve">Table 6.</w:t>
      </w:r>
      <w:r>
        <w:t xml:space="preserve"> </w:t>
      </w:r>
      <w:r>
        <w:t xml:space="preserve">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pPr>
        <w:pStyle w:val="Heading1"/>
      </w:pPr>
      <w:bookmarkStart w:id="40" w:name="_results"/>
      <w:r>
        <w:t xml:space="preserve">4. Results</w:t>
      </w:r>
      <w:bookmarkEnd w:id="40"/>
    </w:p>
    <w:p>
      <w:pPr>
        <w:pStyle w:val="FirstParagraph"/>
      </w:pPr>
      <w:r>
        <w:t xml:space="preserve">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pPr>
        <w:pStyle w:val="Heading2"/>
      </w:pPr>
      <w:bookmarkStart w:id="41" w:name="_f3db1733165d2ca8e1b920c983bec577ebecedc"/>
      <w:r>
        <w:t xml:space="preserve">4.1 Metaheuristic algorithm convergence and statistical benchmark</w:t>
      </w:r>
      <w:bookmarkEnd w:id="41"/>
    </w:p>
    <w:p>
      <w:pPr>
        <w:pStyle w:val="FirstParagraph"/>
      </w:pPr>
      <w:r>
        <w:t xml:space="preserve">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Optimizer</w:t>
            </w:r>
          </w:p>
        </w:tc>
        <w:tc>
          <w:tcPr/>
          <w:p>
            <w:pPr>
              <w:pStyle w:val="Compact"/>
            </w:pPr>
            <w:r>
              <w:t xml:space="preserve">Feasible Runs</w:t>
            </w:r>
          </w:p>
        </w:tc>
        <w:tc>
          <w:tcPr/>
          <w:p>
            <w:pPr>
              <w:pStyle w:val="Compact"/>
            </w:pPr>
            <w:r>
              <w:t xml:space="preserve">Best Weight [kN]</w:t>
            </w:r>
          </w:p>
        </w:tc>
        <w:tc>
          <w:tcPr/>
          <w:p>
            <w:pPr>
              <w:pStyle w:val="Compact"/>
            </w:pPr>
            <w:r>
              <w:t xml:space="preserve">Median Weight [kN]</w:t>
            </w:r>
          </w:p>
        </w:tc>
        <w:tc>
          <w:tcPr/>
          <w:p>
            <w:pPr>
              <w:pStyle w:val="Compact"/>
            </w:pPr>
            <w:r>
              <w:t xml:space="preserve">Mean Weight [kN]</w:t>
            </w:r>
          </w:p>
        </w:tc>
        <w:tc>
          <w:tcPr/>
          <w:p>
            <w:pPr>
              <w:pStyle w:val="Compact"/>
            </w:pPr>
            <w:r>
              <w:t xml:space="preserve">Std. Dev. [kN]</w:t>
            </w:r>
          </w:p>
        </w:tc>
        <w:tc>
          <w:tcPr/>
          <w:p>
            <w:pPr>
              <w:pStyle w:val="Compact"/>
            </w:pPr>
            <w:r>
              <w:t xml:space="preserve">Worst Weight [kN]</w:t>
            </w:r>
          </w:p>
        </w:tc>
        <w:tc>
          <w:tcPr/>
          <w:p>
            <w:pPr>
              <w:pStyle w:val="Compact"/>
            </w:pPr>
            <w:r>
              <w:t xml:space="preserve">NFE Budget</w:t>
            </w:r>
          </w:p>
        </w:tc>
        <w:tc>
          <w:tcPr/>
          <w:p>
            <w:pPr>
              <w:pStyle w:val="Compact"/>
            </w:pPr>
            <w:r>
              <w:t xml:space="preserve">Mean Execution Time [min]</w:t>
            </w:r>
          </w:p>
        </w:tc>
      </w:tr>
      <w:tr>
        <w:tc>
          <w:tcPr/>
          <w:p>
            <w:pPr>
              <w:pStyle w:val="Compact"/>
            </w:pPr>
            <w:r>
              <w:t xml:space="preserve">Geodesic</w:t>
            </w:r>
          </w:p>
        </w:tc>
        <w:tc>
          <w:tcPr/>
          <w:p>
            <w:pPr>
              <w:pStyle w:val="Compact"/>
            </w:pPr>
            <w:r>
              <w:t xml:space="preserve">ABC</w:t>
            </w:r>
          </w:p>
        </w:tc>
        <w:tc>
          <w:tcPr/>
          <w:p>
            <w:pPr>
              <w:pStyle w:val="Compact"/>
            </w:pPr>
            <w:r>
              <w:t xml:space="preserve">30/30</w:t>
            </w:r>
          </w:p>
        </w:tc>
        <w:tc>
          <w:tcPr/>
          <w:p>
            <w:pPr>
              <w:pStyle w:val="Compact"/>
            </w:pPr>
            <w:r>
              <w:t xml:space="preserve">5.800</w:t>
            </w:r>
          </w:p>
        </w:tc>
        <w:tc>
          <w:tcPr/>
          <w:p>
            <w:pPr>
              <w:pStyle w:val="Compact"/>
            </w:pPr>
            <w:r>
              <w:t xml:space="preserve">5.894</w:t>
            </w:r>
          </w:p>
        </w:tc>
        <w:tc>
          <w:tcPr/>
          <w:p>
            <w:pPr>
              <w:pStyle w:val="Compact"/>
            </w:pPr>
            <w:r>
              <w:t xml:space="preserve">5.880</w:t>
            </w:r>
          </w:p>
        </w:tc>
        <w:tc>
          <w:tcPr/>
          <w:p>
            <w:pPr>
              <w:pStyle w:val="Compact"/>
            </w:pPr>
            <w:r>
              <w:t xml:space="preserve">0.051</w:t>
            </w:r>
          </w:p>
        </w:tc>
        <w:tc>
          <w:tcPr/>
          <w:p>
            <w:pPr>
              <w:pStyle w:val="Compact"/>
            </w:pPr>
            <w:r>
              <w:t xml:space="preserve">5.980</w:t>
            </w:r>
          </w:p>
        </w:tc>
        <w:tc>
          <w:tcPr/>
          <w:p>
            <w:pPr>
              <w:pStyle w:val="Compact"/>
            </w:pPr>
            <w:r>
              <w:t xml:space="preserve">23,000</w:t>
            </w:r>
          </w:p>
        </w:tc>
        <w:tc>
          <w:tcPr/>
          <w:p>
            <w:pPr>
              <w:pStyle w:val="Compact"/>
            </w:pPr>
            <w:r>
              <w:t xml:space="preserve">0.39</w:t>
            </w:r>
          </w:p>
        </w:tc>
      </w:tr>
      <w:tr>
        <w:tc>
          <w:tcPr/>
          <w:p>
            <w:pPr>
              <w:pStyle w:val="Compact"/>
            </w:pPr>
            <w:r>
              <w:t xml:space="preserve">Geodesic</w:t>
            </w:r>
          </w:p>
        </w:tc>
        <w:tc>
          <w:tcPr/>
          <w:p>
            <w:pPr>
              <w:pStyle w:val="Compact"/>
            </w:pPr>
            <w:r>
              <w:t xml:space="preserve">ACO</w:t>
            </w:r>
          </w:p>
        </w:tc>
        <w:tc>
          <w:tcPr/>
          <w:p>
            <w:pPr>
              <w:pStyle w:val="Compact"/>
            </w:pPr>
            <w:r>
              <w:t xml:space="preserve">30/30</w:t>
            </w:r>
          </w:p>
        </w:tc>
        <w:tc>
          <w:tcPr/>
          <w:p>
            <w:pPr>
              <w:pStyle w:val="Compact"/>
            </w:pPr>
            <w:r>
              <w:t xml:space="preserve">5.842</w:t>
            </w:r>
          </w:p>
        </w:tc>
        <w:tc>
          <w:tcPr/>
          <w:p>
            <w:pPr>
              <w:pStyle w:val="Compact"/>
            </w:pPr>
            <w:r>
              <w:t xml:space="preserve">6.122</w:t>
            </w:r>
          </w:p>
        </w:tc>
        <w:tc>
          <w:tcPr/>
          <w:p>
            <w:pPr>
              <w:pStyle w:val="Compact"/>
            </w:pPr>
            <w:r>
              <w:t xml:space="preserve">6.183</w:t>
            </w:r>
          </w:p>
        </w:tc>
        <w:tc>
          <w:tcPr/>
          <w:p>
            <w:pPr>
              <w:pStyle w:val="Compact"/>
            </w:pPr>
            <w:r>
              <w:t xml:space="preserve">0.311</w:t>
            </w:r>
          </w:p>
        </w:tc>
        <w:tc>
          <w:tcPr/>
          <w:p>
            <w:pPr>
              <w:pStyle w:val="Compact"/>
            </w:pPr>
            <w:r>
              <w:t xml:space="preserve">7.151</w:t>
            </w:r>
          </w:p>
        </w:tc>
        <w:tc>
          <w:tcPr/>
          <w:p>
            <w:pPr>
              <w:pStyle w:val="Compact"/>
            </w:pPr>
            <w:r>
              <w:t xml:space="preserve">23,000</w:t>
            </w:r>
          </w:p>
        </w:tc>
        <w:tc>
          <w:tcPr/>
          <w:p>
            <w:pPr>
              <w:pStyle w:val="Compact"/>
            </w:pPr>
            <w:r>
              <w:t xml:space="preserve">0.83</w:t>
            </w:r>
          </w:p>
        </w:tc>
      </w:tr>
      <w:tr>
        <w:tc>
          <w:tcPr/>
          <w:p>
            <w:pPr>
              <w:pStyle w:val="Compact"/>
            </w:pPr>
            <w:r>
              <w:t xml:space="preserve">Geodesic</w:t>
            </w:r>
          </w:p>
        </w:tc>
        <w:tc>
          <w:tcPr/>
          <w:p>
            <w:pPr>
              <w:pStyle w:val="Compact"/>
            </w:pPr>
            <w:r>
              <w:t xml:space="preserve">DO</w:t>
            </w:r>
          </w:p>
        </w:tc>
        <w:tc>
          <w:tcPr/>
          <w:p>
            <w:pPr>
              <w:pStyle w:val="Compact"/>
            </w:pPr>
            <w:r>
              <w:t xml:space="preserve">30/30</w:t>
            </w:r>
          </w:p>
        </w:tc>
        <w:tc>
          <w:tcPr/>
          <w:p>
            <w:pPr>
              <w:pStyle w:val="Compact"/>
            </w:pPr>
            <w:r>
              <w:t xml:space="preserve">6.178</w:t>
            </w:r>
          </w:p>
        </w:tc>
        <w:tc>
          <w:tcPr/>
          <w:p>
            <w:pPr>
              <w:pStyle w:val="Compact"/>
            </w:pPr>
            <w:r>
              <w:t xml:space="preserve">6.448</w:t>
            </w:r>
          </w:p>
        </w:tc>
        <w:tc>
          <w:tcPr/>
          <w:p>
            <w:pPr>
              <w:pStyle w:val="Compact"/>
            </w:pPr>
            <w:r>
              <w:t xml:space="preserve">6.488</w:t>
            </w:r>
          </w:p>
        </w:tc>
        <w:tc>
          <w:tcPr/>
          <w:p>
            <w:pPr>
              <w:pStyle w:val="Compact"/>
            </w:pPr>
            <w:r>
              <w:t xml:space="preserve">0.209</w:t>
            </w:r>
          </w:p>
        </w:tc>
        <w:tc>
          <w:tcPr/>
          <w:p>
            <w:pPr>
              <w:pStyle w:val="Compact"/>
            </w:pPr>
            <w:r>
              <w:t xml:space="preserve">7.168</w:t>
            </w:r>
          </w:p>
        </w:tc>
        <w:tc>
          <w:tcPr/>
          <w:p>
            <w:pPr>
              <w:pStyle w:val="Compact"/>
            </w:pPr>
            <w:r>
              <w:t xml:space="preserve">23,000</w:t>
            </w:r>
          </w:p>
        </w:tc>
        <w:tc>
          <w:tcPr/>
          <w:p>
            <w:pPr>
              <w:pStyle w:val="Compact"/>
            </w:pPr>
            <w:r>
              <w:t xml:space="preserve">0.54</w:t>
            </w:r>
          </w:p>
        </w:tc>
      </w:tr>
      <w:tr>
        <w:tc>
          <w:tcPr/>
          <w:p>
            <w:pPr>
              <w:pStyle w:val="Compact"/>
            </w:pPr>
            <w:r>
              <w:t xml:space="preserve">Kiewitt</w:t>
            </w:r>
          </w:p>
        </w:tc>
        <w:tc>
          <w:tcPr/>
          <w:p>
            <w:pPr>
              <w:pStyle w:val="Compact"/>
            </w:pPr>
            <w:r>
              <w:t xml:space="preserve">ABC</w:t>
            </w:r>
          </w:p>
        </w:tc>
        <w:tc>
          <w:tcPr/>
          <w:p>
            <w:pPr>
              <w:pStyle w:val="Compact"/>
            </w:pPr>
            <w:r>
              <w:t xml:space="preserve">30/30</w:t>
            </w:r>
          </w:p>
        </w:tc>
        <w:tc>
          <w:tcPr/>
          <w:p>
            <w:pPr>
              <w:pStyle w:val="Compact"/>
            </w:pPr>
            <w:r>
              <w:t xml:space="preserve">41.058</w:t>
            </w:r>
          </w:p>
        </w:tc>
        <w:tc>
          <w:tcPr/>
          <w:p>
            <w:pPr>
              <w:pStyle w:val="Compact"/>
            </w:pPr>
            <w:r>
              <w:t xml:space="preserve">41.058</w:t>
            </w:r>
          </w:p>
        </w:tc>
        <w:tc>
          <w:tcPr/>
          <w:p>
            <w:pPr>
              <w:pStyle w:val="Compact"/>
            </w:pPr>
            <w:r>
              <w:t xml:space="preserve">41.058</w:t>
            </w:r>
          </w:p>
        </w:tc>
        <w:tc>
          <w:tcPr/>
          <w:p>
            <w:pPr>
              <w:pStyle w:val="Compact"/>
            </w:pPr>
            <w:r>
              <w:t xml:space="preserve">0.000</w:t>
            </w:r>
          </w:p>
        </w:tc>
        <w:tc>
          <w:tcPr/>
          <w:p>
            <w:pPr>
              <w:pStyle w:val="Compact"/>
            </w:pPr>
            <w:r>
              <w:t xml:space="preserve">41.058</w:t>
            </w:r>
          </w:p>
        </w:tc>
        <w:tc>
          <w:tcPr/>
          <w:p>
            <w:pPr>
              <w:pStyle w:val="Compact"/>
            </w:pPr>
            <w:r>
              <w:t xml:space="preserve">22,000</w:t>
            </w:r>
          </w:p>
        </w:tc>
        <w:tc>
          <w:tcPr/>
          <w:p>
            <w:pPr>
              <w:pStyle w:val="Compact"/>
            </w:pPr>
            <w:r>
              <w:t xml:space="preserve">1.69</w:t>
            </w:r>
          </w:p>
        </w:tc>
      </w:tr>
      <w:tr>
        <w:tc>
          <w:tcPr/>
          <w:p>
            <w:pPr>
              <w:pStyle w:val="Compact"/>
            </w:pPr>
            <w:r>
              <w:t xml:space="preserve">Kiewitt</w:t>
            </w:r>
          </w:p>
        </w:tc>
        <w:tc>
          <w:tcPr/>
          <w:p>
            <w:pPr>
              <w:pStyle w:val="Compact"/>
            </w:pPr>
            <w:r>
              <w:t xml:space="preserve">ACO</w:t>
            </w:r>
          </w:p>
        </w:tc>
        <w:tc>
          <w:tcPr/>
          <w:p>
            <w:pPr>
              <w:pStyle w:val="Compact"/>
            </w:pPr>
            <w:r>
              <w:t xml:space="preserve">30/30</w:t>
            </w:r>
          </w:p>
        </w:tc>
        <w:tc>
          <w:tcPr/>
          <w:p>
            <w:pPr>
              <w:pStyle w:val="Compact"/>
            </w:pPr>
            <w:r>
              <w:t xml:space="preserve">41.058</w:t>
            </w:r>
          </w:p>
        </w:tc>
        <w:tc>
          <w:tcPr/>
          <w:p>
            <w:pPr>
              <w:pStyle w:val="Compact"/>
            </w:pPr>
            <w:r>
              <w:t xml:space="preserve">41.761</w:t>
            </w:r>
          </w:p>
        </w:tc>
        <w:tc>
          <w:tcPr/>
          <w:p>
            <w:pPr>
              <w:pStyle w:val="Compact"/>
            </w:pPr>
            <w:r>
              <w:t xml:space="preserve">42.281</w:t>
            </w:r>
          </w:p>
        </w:tc>
        <w:tc>
          <w:tcPr/>
          <w:p>
            <w:pPr>
              <w:pStyle w:val="Compact"/>
            </w:pPr>
            <w:r>
              <w:t xml:space="preserve">1.393</w:t>
            </w:r>
          </w:p>
        </w:tc>
        <w:tc>
          <w:tcPr/>
          <w:p>
            <w:pPr>
              <w:pStyle w:val="Compact"/>
            </w:pPr>
            <w:r>
              <w:t xml:space="preserve">45.422</w:t>
            </w:r>
          </w:p>
        </w:tc>
        <w:tc>
          <w:tcPr/>
          <w:p>
            <w:pPr>
              <w:pStyle w:val="Compact"/>
            </w:pPr>
            <w:r>
              <w:t xml:space="preserve">22,000</w:t>
            </w:r>
          </w:p>
        </w:tc>
        <w:tc>
          <w:tcPr/>
          <w:p>
            <w:pPr>
              <w:pStyle w:val="Compact"/>
            </w:pPr>
            <w:r>
              <w:t xml:space="preserve">2.13</w:t>
            </w:r>
          </w:p>
        </w:tc>
      </w:tr>
      <w:tr>
        <w:tc>
          <w:tcPr/>
          <w:p>
            <w:pPr>
              <w:pStyle w:val="Compact"/>
            </w:pPr>
            <w:r>
              <w:t xml:space="preserve">Kiewitt</w:t>
            </w:r>
          </w:p>
        </w:tc>
        <w:tc>
          <w:tcPr/>
          <w:p>
            <w:pPr>
              <w:pStyle w:val="Compact"/>
            </w:pPr>
            <w:r>
              <w:t xml:space="preserve">DO</w:t>
            </w:r>
          </w:p>
        </w:tc>
        <w:tc>
          <w:tcPr/>
          <w:p>
            <w:pPr>
              <w:pStyle w:val="Compact"/>
            </w:pPr>
            <w:r>
              <w:t xml:space="preserve">30/30</w:t>
            </w:r>
          </w:p>
        </w:tc>
        <w:tc>
          <w:tcPr/>
          <w:p>
            <w:pPr>
              <w:pStyle w:val="Compact"/>
            </w:pPr>
            <w:r>
              <w:t xml:space="preserve">41.348</w:t>
            </w:r>
          </w:p>
        </w:tc>
        <w:tc>
          <w:tcPr/>
          <w:p>
            <w:pPr>
              <w:pStyle w:val="Compact"/>
            </w:pPr>
            <w:r>
              <w:t xml:space="preserve">43.045</w:t>
            </w:r>
          </w:p>
        </w:tc>
        <w:tc>
          <w:tcPr/>
          <w:p>
            <w:pPr>
              <w:pStyle w:val="Compact"/>
            </w:pPr>
            <w:r>
              <w:t xml:space="preserve">42.922</w:t>
            </w:r>
          </w:p>
        </w:tc>
        <w:tc>
          <w:tcPr/>
          <w:p>
            <w:pPr>
              <w:pStyle w:val="Compact"/>
            </w:pPr>
            <w:r>
              <w:t xml:space="preserve">0.876</w:t>
            </w:r>
          </w:p>
        </w:tc>
        <w:tc>
          <w:tcPr/>
          <w:p>
            <w:pPr>
              <w:pStyle w:val="Compact"/>
            </w:pPr>
            <w:r>
              <w:t xml:space="preserve">44.482</w:t>
            </w:r>
          </w:p>
        </w:tc>
        <w:tc>
          <w:tcPr/>
          <w:p>
            <w:pPr>
              <w:pStyle w:val="Compact"/>
            </w:pPr>
            <w:r>
              <w:t xml:space="preserve">22,000</w:t>
            </w:r>
          </w:p>
        </w:tc>
        <w:tc>
          <w:tcPr/>
          <w:p>
            <w:pPr>
              <w:pStyle w:val="Compact"/>
            </w:pPr>
            <w:r>
              <w:t xml:space="preserve">1.84</w:t>
            </w:r>
          </w:p>
        </w:tc>
      </w:tr>
      <w:tr>
        <w:tc>
          <w:tcPr/>
          <w:p>
            <w:pPr>
              <w:pStyle w:val="Compact"/>
            </w:pPr>
            <w:r>
              <w:t xml:space="preserve">Ribbed</w:t>
            </w:r>
          </w:p>
        </w:tc>
        <w:tc>
          <w:tcPr/>
          <w:p>
            <w:pPr>
              <w:pStyle w:val="Compact"/>
            </w:pPr>
            <w:r>
              <w:t xml:space="preserve">ABC</w:t>
            </w:r>
          </w:p>
        </w:tc>
        <w:tc>
          <w:tcPr/>
          <w:p>
            <w:pPr>
              <w:pStyle w:val="Compact"/>
            </w:pPr>
            <w:r>
              <w:t xml:space="preserve">30/30</w:t>
            </w:r>
          </w:p>
        </w:tc>
        <w:tc>
          <w:tcPr/>
          <w:p>
            <w:pPr>
              <w:pStyle w:val="Compact"/>
            </w:pPr>
            <w:r>
              <w:t xml:space="preserve">66.352</w:t>
            </w:r>
          </w:p>
        </w:tc>
        <w:tc>
          <w:tcPr/>
          <w:p>
            <w:pPr>
              <w:pStyle w:val="Compact"/>
            </w:pPr>
            <w:r>
              <w:t xml:space="preserve">66.365</w:t>
            </w:r>
          </w:p>
        </w:tc>
        <w:tc>
          <w:tcPr/>
          <w:p>
            <w:pPr>
              <w:pStyle w:val="Compact"/>
            </w:pPr>
            <w:r>
              <w:t xml:space="preserve">66.452</w:t>
            </w:r>
          </w:p>
        </w:tc>
        <w:tc>
          <w:tcPr/>
          <w:p>
            <w:pPr>
              <w:pStyle w:val="Compact"/>
            </w:pPr>
            <w:r>
              <w:t xml:space="preserve">0.194</w:t>
            </w:r>
          </w:p>
        </w:tc>
        <w:tc>
          <w:tcPr/>
          <w:p>
            <w:pPr>
              <w:pStyle w:val="Compact"/>
            </w:pPr>
            <w:r>
              <w:t xml:space="preserve">67.000</w:t>
            </w:r>
          </w:p>
        </w:tc>
        <w:tc>
          <w:tcPr/>
          <w:p>
            <w:pPr>
              <w:pStyle w:val="Compact"/>
            </w:pPr>
            <w:r>
              <w:t xml:space="preserve">43,000</w:t>
            </w:r>
          </w:p>
        </w:tc>
        <w:tc>
          <w:tcPr/>
          <w:p>
            <w:pPr>
              <w:pStyle w:val="Compact"/>
            </w:pPr>
            <w:r>
              <w:t xml:space="preserve">12.16</w:t>
            </w:r>
          </w:p>
        </w:tc>
      </w:tr>
      <w:tr>
        <w:tc>
          <w:tcPr/>
          <w:p>
            <w:pPr>
              <w:pStyle w:val="Compact"/>
            </w:pPr>
            <w:r>
              <w:t xml:space="preserve">Ribbed</w:t>
            </w:r>
          </w:p>
        </w:tc>
        <w:tc>
          <w:tcPr/>
          <w:p>
            <w:pPr>
              <w:pStyle w:val="Compact"/>
            </w:pPr>
            <w:r>
              <w:t xml:space="preserve">ACO</w:t>
            </w:r>
          </w:p>
        </w:tc>
        <w:tc>
          <w:tcPr/>
          <w:p>
            <w:pPr>
              <w:pStyle w:val="Compact"/>
            </w:pPr>
            <w:r>
              <w:t xml:space="preserve">30/30</w:t>
            </w:r>
          </w:p>
        </w:tc>
        <w:tc>
          <w:tcPr/>
          <w:p>
            <w:pPr>
              <w:pStyle w:val="Compact"/>
            </w:pPr>
            <w:r>
              <w:t xml:space="preserve">66.352</w:t>
            </w:r>
          </w:p>
        </w:tc>
        <w:tc>
          <w:tcPr/>
          <w:p>
            <w:pPr>
              <w:pStyle w:val="Compact"/>
            </w:pPr>
            <w:r>
              <w:t xml:space="preserve">67.050</w:t>
            </w:r>
          </w:p>
        </w:tc>
        <w:tc>
          <w:tcPr/>
          <w:p>
            <w:pPr>
              <w:pStyle w:val="Compact"/>
            </w:pPr>
            <w:r>
              <w:t xml:space="preserve">66.908</w:t>
            </w:r>
          </w:p>
        </w:tc>
        <w:tc>
          <w:tcPr/>
          <w:p>
            <w:pPr>
              <w:pStyle w:val="Compact"/>
            </w:pPr>
            <w:r>
              <w:t xml:space="preserve">0.474</w:t>
            </w:r>
          </w:p>
        </w:tc>
        <w:tc>
          <w:tcPr/>
          <w:p>
            <w:pPr>
              <w:pStyle w:val="Compact"/>
            </w:pPr>
            <w:r>
              <w:t xml:space="preserve">67.741</w:t>
            </w:r>
          </w:p>
        </w:tc>
        <w:tc>
          <w:tcPr/>
          <w:p>
            <w:pPr>
              <w:pStyle w:val="Compact"/>
            </w:pPr>
            <w:r>
              <w:t xml:space="preserve">43,000</w:t>
            </w:r>
          </w:p>
        </w:tc>
        <w:tc>
          <w:tcPr/>
          <w:p>
            <w:pPr>
              <w:pStyle w:val="Compact"/>
            </w:pPr>
            <w:r>
              <w:t xml:space="preserve">13.77</w:t>
            </w:r>
          </w:p>
        </w:tc>
      </w:tr>
      <w:tr>
        <w:tc>
          <w:tcPr/>
          <w:p>
            <w:pPr>
              <w:pStyle w:val="Compact"/>
            </w:pPr>
            <w:r>
              <w:t xml:space="preserve">Ribbed</w:t>
            </w:r>
          </w:p>
        </w:tc>
        <w:tc>
          <w:tcPr/>
          <w:p>
            <w:pPr>
              <w:pStyle w:val="Compact"/>
            </w:pPr>
            <w:r>
              <w:t xml:space="preserve">DO</w:t>
            </w:r>
          </w:p>
        </w:tc>
        <w:tc>
          <w:tcPr/>
          <w:p>
            <w:pPr>
              <w:pStyle w:val="Compact"/>
            </w:pPr>
            <w:r>
              <w:t xml:space="preserve">30/30</w:t>
            </w:r>
          </w:p>
        </w:tc>
        <w:tc>
          <w:tcPr/>
          <w:p>
            <w:pPr>
              <w:pStyle w:val="Compact"/>
            </w:pPr>
            <w:r>
              <w:t xml:space="preserve">71.803</w:t>
            </w:r>
          </w:p>
        </w:tc>
        <w:tc>
          <w:tcPr/>
          <w:p>
            <w:pPr>
              <w:pStyle w:val="Compact"/>
            </w:pPr>
            <w:r>
              <w:t xml:space="preserve">74.394</w:t>
            </w:r>
          </w:p>
        </w:tc>
        <w:tc>
          <w:tcPr/>
          <w:p>
            <w:pPr>
              <w:pStyle w:val="Compact"/>
            </w:pPr>
            <w:r>
              <w:t xml:space="preserve">74.404</w:t>
            </w:r>
          </w:p>
        </w:tc>
        <w:tc>
          <w:tcPr/>
          <w:p>
            <w:pPr>
              <w:pStyle w:val="Compact"/>
            </w:pPr>
            <w:r>
              <w:t xml:space="preserve">1.396</w:t>
            </w:r>
          </w:p>
        </w:tc>
        <w:tc>
          <w:tcPr/>
          <w:p>
            <w:pPr>
              <w:pStyle w:val="Compact"/>
            </w:pPr>
            <w:r>
              <w:t xml:space="preserve">77.079</w:t>
            </w:r>
          </w:p>
        </w:tc>
        <w:tc>
          <w:tcPr/>
          <w:p>
            <w:pPr>
              <w:pStyle w:val="Compact"/>
            </w:pPr>
            <w:r>
              <w:t xml:space="preserve">43,000</w:t>
            </w:r>
          </w:p>
        </w:tc>
        <w:tc>
          <w:tcPr/>
          <w:p>
            <w:pPr>
              <w:pStyle w:val="Compact"/>
            </w:pPr>
            <w:r>
              <w:t xml:space="preserve">12.66</w:t>
            </w:r>
          </w:p>
        </w:tc>
      </w:tr>
    </w:tbl>
    <w:p>
      <w:pPr>
        <w:pStyle w:val="FirstParagraph"/>
      </w:pPr>
      <w:r>
        <w:rPr>
          <w:b/>
          <w:bCs/>
        </w:rPr>
        <w:t xml:space="preserve">Table 7.</w:t>
      </w:r>
      <w:r>
        <w:t xml:space="preserve"> </w:t>
      </w:r>
      <w:r>
        <w:t xml:space="preserve">Best structural weight statistics across 30 independent runs per algorithm and dome topology (seeds 1001–1030).</w:t>
      </w:r>
    </w:p>
    <w:p>
      <w:pPr>
        <w:pStyle w:val="BodyText"/>
      </w:pPr>
      <w:r>
        <w:t xml:space="preserve">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pPr>
        <w:pStyle w:val="CaptionedFigure"/>
      </w:pPr>
      <w:r>
        <w:drawing>
          <wp:inline>
            <wp:extent cx="5334000" cy="7000963"/>
            <wp:effectExtent b="0" l="0" r="0" t="0"/>
            <wp:docPr descr="Figure 3" title="" id="43" name="Picture"/>
            <a:graphic>
              <a:graphicData uri="http://schemas.openxmlformats.org/drawingml/2006/picture">
                <pic:pic>
                  <pic:nvPicPr>
                    <pic:cNvPr descr="../../04_Results/figures/F2_convergence.png" id="44" name="Picture"/>
                    <pic:cNvPicPr>
                      <a:picLocks noChangeArrowheads="1" noChangeAspect="1"/>
                    </pic:cNvPicPr>
                  </pic:nvPicPr>
                  <pic:blipFill>
                    <a:blip r:embed="rId42"/>
                    <a:stretch>
                      <a:fillRect/>
                    </a:stretch>
                  </pic:blipFill>
                  <pic:spPr bwMode="auto">
                    <a:xfrm>
                      <a:off x="0" y="0"/>
                      <a:ext cx="5334000" cy="7000963"/>
                    </a:xfrm>
                    <a:prstGeom prst="rect">
                      <a:avLst/>
                    </a:prstGeom>
                    <a:noFill/>
                    <a:ln w="9525">
                      <a:noFill/>
                      <a:headEnd/>
                      <a:tailEnd/>
                    </a:ln>
                  </pic:spPr>
                </pic:pic>
              </a:graphicData>
            </a:graphic>
          </wp:inline>
        </w:drawing>
      </w:r>
    </w:p>
    <w:p>
      <w:pPr>
        <w:pStyle w:val="ImageCaption"/>
      </w:pPr>
      <w:r>
        <w:t xml:space="preserve">Figure 3</w:t>
      </w:r>
    </w:p>
    <w:p>
      <w:pPr>
        <w:pStyle w:val="FirstParagraph"/>
      </w:pPr>
      <w:r>
        <w:rPr>
          <w:b/>
          <w:bCs/>
        </w:rPr>
        <w:t xml:space="preserve">Figure 3.</w:t>
      </w:r>
      <w:r>
        <w:t xml:space="preserve"> </w:t>
      </w:r>
      <w:r>
        <w:t xml:space="preserve">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pPr>
        <w:pStyle w:val="BodyText"/>
      </w:pPr>
      <w:r>
        <w:t xml:space="preserve">The statistical dispersion of the best structural weights across the 30 independent seeds is illustrated in Figure 4. ABC shows zero variance on the Kiewitt dome across all 30 seeds and narrow interquartile ranges on both the Geodesic and Ribbed domes.</w:t>
      </w:r>
    </w:p>
    <w:p>
      <w:pPr>
        <w:pStyle w:val="CaptionedFigure"/>
      </w:pPr>
      <w:r>
        <w:drawing>
          <wp:inline>
            <wp:extent cx="5334000" cy="2666294"/>
            <wp:effectExtent b="0" l="0" r="0" t="0"/>
            <wp:docPr descr="Figure 4" title="" id="46" name="Picture"/>
            <a:graphic>
              <a:graphicData uri="http://schemas.openxmlformats.org/drawingml/2006/picture">
                <pic:pic>
                  <pic:nvPicPr>
                    <pic:cNvPr descr="../../04_Results/figures/F3_boxplots.png" id="47" name="Picture"/>
                    <pic:cNvPicPr>
                      <a:picLocks noChangeArrowheads="1" noChangeAspect="1"/>
                    </pic:cNvPicPr>
                  </pic:nvPicPr>
                  <pic:blipFill>
                    <a:blip r:embed="rId45"/>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4</w:t>
      </w:r>
    </w:p>
    <w:p>
      <w:pPr>
        <w:pStyle w:val="FirstParagraph"/>
      </w:pPr>
      <w:r>
        <w:rPr>
          <w:b/>
          <w:bCs/>
        </w:rPr>
        <w:t xml:space="preserve">Figure 4.</w:t>
      </w:r>
      <w:r>
        <w:t xml:space="preserve"> </w:t>
      </w:r>
      <w:r>
        <w:t xml:space="preserve">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pPr>
        <w:pStyle w:val="BodyText"/>
      </w:pPr>
      <w:r>
        <w:t xml:space="preserve">The seed-blocked Friedman test rejected the null hypothesis of equal algorithmic performance across all three topologies (</w:t>
      </w:r>
      <m:oMath>
        <m:r>
          <m:t>p</m:t>
        </m:r>
        <m:r>
          <m:rPr>
            <m:sty m:val="p"/>
          </m:rPr>
          <m:t>&lt;</m:t>
        </m:r>
        <m:sSup>
          <m:e>
            <m:r>
              <m:t>10</m:t>
            </m:r>
          </m:e>
          <m:sup>
            <m:r>
              <m:rPr>
                <m:sty m:val="p"/>
              </m:rPr>
              <m:t>−</m:t>
            </m:r>
            <m:r>
              <m:t>8</m:t>
            </m:r>
          </m:sup>
        </m:sSup>
      </m:oMath>
      <w:r>
        <w:t xml:space="preserve">, Table 8). ABC achieved the lowest mean rank (1.100, 1.233, and 1.250), followed by ACO (2.000, 2.033, and 1.750) and DO (2.900, 2.733, and 3.000).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Friedman Statistic (</w:t>
            </w:r>
            <m:oMath>
              <m:sSubSup>
                <m:e>
                  <m:r>
                    <m:t>χ</m:t>
                  </m:r>
                </m:e>
                <m:sub>
                  <m:r>
                    <m:t>F</m:t>
                  </m:r>
                </m:sub>
                <m:sup>
                  <m:r>
                    <m:t>2</m:t>
                  </m:r>
                </m:sup>
              </m:sSubSup>
            </m:oMath>
            <w:r>
              <w:t xml:space="preserve">)</w:t>
            </w:r>
          </w:p>
        </w:tc>
        <w:tc>
          <w:tcPr/>
          <w:p>
            <w:pPr>
              <w:pStyle w:val="Compact"/>
            </w:pPr>
            <m:oMath>
              <m:r>
                <m:t>p</m:t>
              </m:r>
            </m:oMath>
            <w:r>
              <w:t xml:space="preserve">-value</w:t>
            </w:r>
          </w:p>
        </w:tc>
        <w:tc>
          <w:tcPr/>
          <w:p>
            <w:pPr>
              <w:pStyle w:val="Compact"/>
            </w:pPr>
            <w:r>
              <w:t xml:space="preserve">Mean Rank ABC</w:t>
            </w:r>
          </w:p>
        </w:tc>
        <w:tc>
          <w:tcPr/>
          <w:p>
            <w:pPr>
              <w:pStyle w:val="Compact"/>
            </w:pPr>
            <w:r>
              <w:t xml:space="preserve">Mean Rank ACO</w:t>
            </w:r>
          </w:p>
        </w:tc>
        <w:tc>
          <w:tcPr/>
          <w:p>
            <w:pPr>
              <w:pStyle w:val="Compact"/>
            </w:pPr>
            <w:r>
              <w:t xml:space="preserve">Mean Rank DO</w:t>
            </w:r>
          </w:p>
        </w:tc>
      </w:tr>
      <w:tr>
        <w:tc>
          <w:tcPr/>
          <w:p>
            <w:pPr>
              <w:pStyle w:val="Compact"/>
            </w:pPr>
            <w:r>
              <w:t xml:space="preserve">Geodesic</w:t>
            </w:r>
          </w:p>
        </w:tc>
        <w:tc>
          <w:tcPr/>
          <w:p>
            <w:pPr>
              <w:pStyle w:val="Compact"/>
            </w:pPr>
            <w:r>
              <w:t xml:space="preserve">48.600</w:t>
            </w:r>
          </w:p>
        </w:tc>
        <w:tc>
          <w:tcPr/>
          <w:p>
            <w:pPr>
              <w:pStyle w:val="Compact"/>
            </w:pPr>
            <m:oMath>
              <m:r>
                <m:t>2.80</m:t>
              </m:r>
              <m:r>
                <m:rPr>
                  <m:sty m:val="p"/>
                </m:rPr>
                <m:t>×</m:t>
              </m:r>
              <m:sSup>
                <m:e>
                  <m:r>
                    <m:t>10</m:t>
                  </m:r>
                </m:e>
                <m:sup>
                  <m:r>
                    <m:rPr>
                      <m:sty m:val="p"/>
                    </m:rPr>
                    <m:t>−</m:t>
                  </m:r>
                  <m:r>
                    <m:t>11</m:t>
                  </m:r>
                </m:sup>
              </m:sSup>
            </m:oMath>
            <w:r>
              <w:t xml:space="preserve">​</w:t>
            </w:r>
          </w:p>
        </w:tc>
        <w:tc>
          <w:tcPr/>
          <w:p>
            <w:pPr>
              <w:pStyle w:val="Compact"/>
            </w:pPr>
            <w:r>
              <w:t xml:space="preserve">1.1000</w:t>
            </w:r>
          </w:p>
        </w:tc>
        <w:tc>
          <w:tcPr/>
          <w:p>
            <w:pPr>
              <w:pStyle w:val="Compact"/>
            </w:pPr>
            <w:r>
              <w:t xml:space="preserve">2.0000</w:t>
            </w:r>
          </w:p>
        </w:tc>
        <w:tc>
          <w:tcPr/>
          <w:p>
            <w:pPr>
              <w:pStyle w:val="Compact"/>
            </w:pPr>
            <w:r>
              <w:t xml:space="preserve">2.9000</w:t>
            </w:r>
          </w:p>
        </w:tc>
      </w:tr>
      <w:tr>
        <w:tc>
          <w:tcPr/>
          <w:p>
            <w:pPr>
              <w:pStyle w:val="Compact"/>
            </w:pPr>
            <w:r>
              <w:t xml:space="preserve">Kiewitt</w:t>
            </w:r>
          </w:p>
        </w:tc>
        <w:tc>
          <w:tcPr/>
          <w:p>
            <w:pPr>
              <w:pStyle w:val="Compact"/>
            </w:pPr>
            <w:r>
              <w:t xml:space="preserve">38.264</w:t>
            </w:r>
          </w:p>
        </w:tc>
        <w:tc>
          <w:tcPr/>
          <w:p>
            <w:pPr>
              <w:pStyle w:val="Compact"/>
            </w:pPr>
            <m:oMath>
              <m:r>
                <m:t>4.91</m:t>
              </m:r>
              <m:r>
                <m:rPr>
                  <m:sty m:val="p"/>
                </m:rPr>
                <m:t>×</m:t>
              </m:r>
              <m:sSup>
                <m:e>
                  <m:r>
                    <m:t>10</m:t>
                  </m:r>
                </m:e>
                <m:sup>
                  <m:r>
                    <m:rPr>
                      <m:sty m:val="p"/>
                    </m:rPr>
                    <m:t>−</m:t>
                  </m:r>
                  <m:r>
                    <m:t>9</m:t>
                  </m:r>
                </m:sup>
              </m:sSup>
            </m:oMath>
            <w:r>
              <w:t xml:space="preserve">​</w:t>
            </w:r>
          </w:p>
        </w:tc>
        <w:tc>
          <w:tcPr/>
          <w:p>
            <w:pPr>
              <w:pStyle w:val="Compact"/>
            </w:pPr>
            <w:r>
              <w:t xml:space="preserve">1.2333</w:t>
            </w:r>
          </w:p>
        </w:tc>
        <w:tc>
          <w:tcPr/>
          <w:p>
            <w:pPr>
              <w:pStyle w:val="Compact"/>
            </w:pPr>
            <w:r>
              <w:t xml:space="preserve">2.0333</w:t>
            </w:r>
          </w:p>
        </w:tc>
        <w:tc>
          <w:tcPr/>
          <w:p>
            <w:pPr>
              <w:pStyle w:val="Compact"/>
            </w:pPr>
            <w:r>
              <w:t xml:space="preserve">2.7333</w:t>
            </w:r>
          </w:p>
        </w:tc>
      </w:tr>
      <w:tr>
        <w:tc>
          <w:tcPr/>
          <w:p>
            <w:pPr>
              <w:pStyle w:val="Compact"/>
            </w:pPr>
            <w:r>
              <w:t xml:space="preserve">Ribbed</w:t>
            </w:r>
          </w:p>
        </w:tc>
        <w:tc>
          <w:tcPr/>
          <w:p>
            <w:pPr>
              <w:pStyle w:val="Compact"/>
            </w:pPr>
            <w:r>
              <w:t xml:space="preserve">49.160</w:t>
            </w:r>
          </w:p>
        </w:tc>
        <w:tc>
          <w:tcPr/>
          <w:p>
            <w:pPr>
              <w:pStyle w:val="Compact"/>
            </w:pPr>
            <m:oMath>
              <m:r>
                <m:t>2.11</m:t>
              </m:r>
              <m:r>
                <m:rPr>
                  <m:sty m:val="p"/>
                </m:rPr>
                <m:t>×</m:t>
              </m:r>
              <m:sSup>
                <m:e>
                  <m:r>
                    <m:t>10</m:t>
                  </m:r>
                </m:e>
                <m:sup>
                  <m:r>
                    <m:rPr>
                      <m:sty m:val="p"/>
                    </m:rPr>
                    <m:t>−</m:t>
                  </m:r>
                  <m:r>
                    <m:t>11</m:t>
                  </m:r>
                </m:sup>
              </m:sSup>
            </m:oMath>
            <w:r>
              <w:t xml:space="preserve">​</w:t>
            </w:r>
          </w:p>
        </w:tc>
        <w:tc>
          <w:tcPr/>
          <w:p>
            <w:pPr>
              <w:pStyle w:val="Compact"/>
            </w:pPr>
            <w:r>
              <w:t xml:space="preserve">1.2500</w:t>
            </w:r>
          </w:p>
        </w:tc>
        <w:tc>
          <w:tcPr/>
          <w:p>
            <w:pPr>
              <w:pStyle w:val="Compact"/>
            </w:pPr>
            <w:r>
              <w:t xml:space="preserve">1.7500</w:t>
            </w:r>
          </w:p>
        </w:tc>
        <w:tc>
          <w:tcPr/>
          <w:p>
            <w:pPr>
              <w:pStyle w:val="Compact"/>
            </w:pPr>
            <w:r>
              <w:t xml:space="preserve">3.0000</w:t>
            </w:r>
          </w:p>
        </w:tc>
      </w:tr>
    </w:tbl>
    <w:p>
      <w:pPr>
        <w:pStyle w:val="FirstParagraph"/>
      </w:pPr>
      <w:r>
        <w:rPr>
          <w:b/>
          <w:bCs/>
        </w:rPr>
        <w:t xml:space="preserve">Table 8.</w:t>
      </w:r>
      <w:r>
        <w:t xml:space="preserve"> </w:t>
      </w:r>
      <w:r>
        <w:t xml:space="preserve">Seed-blocked Friedman non-parametric rank test results on optimal weights across 30 random seeds.</w:t>
      </w:r>
    </w:p>
    <w:p>
      <w:pPr>
        <w:pStyle w:val="BodyText"/>
      </w:pPr>
      <w:r>
        <w:t xml:space="preserve">In the pairwise post-hoc Mann–Whitney U tests with Holm correction, ABC proved statistically superior to both ACO and DO across all domes at</w:t>
      </w:r>
      <w:r>
        <w:t xml:space="preserve"> </w:t>
      </w:r>
      <m:oMath>
        <m:r>
          <m:t>α</m:t>
        </m:r>
        <m:r>
          <m:rPr>
            <m:sty m:val="p"/>
          </m:rPr>
          <m:t>=</m:t>
        </m:r>
        <m:r>
          <m:t>0.05</m:t>
        </m:r>
      </m:oMath>
      <w:r>
        <w:t xml:space="preserve"> </w:t>
      </w:r>
      <w:r>
        <w:t xml:space="preserve">(Table 9). The maximum Holm-adjusted</w:t>
      </w:r>
      <w:r>
        <w:t xml:space="preserve"> </w:t>
      </w:r>
      <m:oMath>
        <m:r>
          <m:t>p</m:t>
        </m:r>
      </m:oMath>
      <w:r>
        <w:t xml:space="preserve">-value was</w:t>
      </w:r>
      <w:r>
        <w:t xml:space="preserve"> </w:t>
      </w:r>
      <m:oMath>
        <m:r>
          <m:t>5.53</m:t>
        </m:r>
        <m:r>
          <m:rPr>
            <m:sty m:val="p"/>
          </m:rPr>
          <m:t>×</m:t>
        </m:r>
        <m:sSup>
          <m:e>
            <m:r>
              <m:t>10</m:t>
            </m:r>
          </m:e>
          <m:sup>
            <m:r>
              <m:rPr>
                <m:sty m:val="p"/>
              </m:rPr>
              <m:t>−</m:t>
            </m:r>
            <m:r>
              <m:t>4</m:t>
            </m:r>
          </m:sup>
        </m:sSup>
      </m:oMath>
      <w:r>
        <w:t xml:space="preserve"> </w:t>
      </w:r>
      <w:r>
        <w:t xml:space="preserve">(ABC versus ACO on the 40 m Ribbed dome). The Vargha–Delaney effect size</w:t>
      </w:r>
      <w:r>
        <w:t xml:space="preserve"> </w:t>
      </w:r>
      <m:oMath>
        <m:sSub>
          <m:e>
            <m:r>
              <m:t>A</m:t>
            </m:r>
          </m:e>
          <m:sub>
            <m:r>
              <m:t>12</m:t>
            </m:r>
          </m:sub>
        </m:sSub>
        <m:r>
          <m:rPr>
            <m:sty m:val="p"/>
          </m:rPr>
          <m:t>=</m:t>
        </m:r>
        <m:r>
          <m:t>1.000</m:t>
        </m:r>
      </m:oMath>
      <w:r>
        <w:t xml:space="preserve"> </w:t>
      </w:r>
      <w:r>
        <w:t xml:space="preserve">confirmed that a random run of DO has a probability of 1.0 of being heavier than a run of ABC.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Pairwise Comparison</w:t>
            </w:r>
          </w:p>
        </w:tc>
        <w:tc>
          <w:tcPr/>
          <w:p>
            <w:pPr>
              <w:pStyle w:val="Compact"/>
            </w:pPr>
            <w:r>
              <w:t xml:space="preserve">Median Difference [kN]</w:t>
            </w:r>
          </w:p>
        </w:tc>
        <w:tc>
          <w:tcPr/>
          <w:p>
            <w:pPr>
              <w:pStyle w:val="Compact"/>
            </w:pPr>
            <w:r>
              <w:t xml:space="preserve">Mann–Whitney</w:t>
            </w:r>
            <w:r>
              <w:t xml:space="preserve"> </w:t>
            </w:r>
            <m:oMath>
              <m:r>
                <m:t>U</m:t>
              </m:r>
            </m:oMath>
          </w:p>
        </w:tc>
        <w:tc>
          <w:tcPr/>
          <w:p>
            <w:pPr>
              <w:pStyle w:val="Compact"/>
            </w:pPr>
            <w:r>
              <w:t xml:space="preserve">Raw</w:t>
            </w:r>
            <w:r>
              <w:t xml:space="preserve"> </w:t>
            </w:r>
            <m:oMath>
              <m:r>
                <m:t>p</m:t>
              </m:r>
            </m:oMath>
            <w:r>
              <w:t xml:space="preserve">-value</w:t>
            </w:r>
          </w:p>
        </w:tc>
        <w:tc>
          <w:tcPr/>
          <w:p>
            <w:pPr>
              <w:pStyle w:val="Compact"/>
            </w:pPr>
            <w:r>
              <w:t xml:space="preserve">Effect Size</w:t>
            </w:r>
            <w:r>
              <w:t xml:space="preserve"> </w:t>
            </w:r>
            <m:oMath>
              <m:sSub>
                <m:e>
                  <m:r>
                    <m:t>A</m:t>
                  </m:r>
                </m:e>
                <m:sub>
                  <m:r>
                    <m:t>12</m:t>
                  </m:r>
                </m:sub>
              </m:sSub>
            </m:oMath>
          </w:p>
        </w:tc>
        <w:tc>
          <w:tcPr/>
          <w:p>
            <w:pPr>
              <w:pStyle w:val="Compact"/>
            </w:pPr>
            <w:r>
              <w:t xml:space="preserve">Holm-Adjusted</w:t>
            </w:r>
            <w:r>
              <w:t xml:space="preserve"> </w:t>
            </w:r>
            <m:oMath>
              <m:r>
                <m:t>p</m:t>
              </m:r>
            </m:oMath>
            <w:r>
              <w:t xml:space="preserve">-value</w:t>
            </w:r>
          </w:p>
        </w:tc>
      </w:tr>
      <w:tr>
        <w:tc>
          <w:tcPr/>
          <w:p>
            <w:pPr>
              <w:pStyle w:val="Compact"/>
            </w:pPr>
            <w:r>
              <w:t xml:space="preserve">Geodesic</w:t>
            </w:r>
          </w:p>
        </w:tc>
        <w:tc>
          <w:tcPr/>
          <w:p>
            <w:pPr>
              <w:pStyle w:val="Compact"/>
            </w:pPr>
            <w:r>
              <w:t xml:space="preserve">ABC vs ACO</w:t>
            </w:r>
          </w:p>
        </w:tc>
        <w:tc>
          <w:tcPr/>
          <w:p>
            <w:pPr>
              <w:pStyle w:val="Compact"/>
            </w:pPr>
            <w:r>
              <w:t xml:space="preserve">0.2286</w:t>
            </w:r>
          </w:p>
        </w:tc>
        <w:tc>
          <w:tcPr/>
          <w:p>
            <w:pPr>
              <w:pStyle w:val="Compact"/>
            </w:pPr>
            <w:r>
              <w:t xml:space="preserve">764.5</w:t>
            </w:r>
          </w:p>
        </w:tc>
        <w:tc>
          <w:tcPr/>
          <w:p>
            <w:pPr>
              <w:pStyle w:val="Compact"/>
            </w:pPr>
            <m:oMath>
              <m:r>
                <m:t>3.40</m:t>
              </m:r>
              <m:r>
                <m:rPr>
                  <m:sty m:val="p"/>
                </m:rPr>
                <m:t>×</m:t>
              </m:r>
              <m:sSup>
                <m:e>
                  <m:r>
                    <m:t>10</m:t>
                  </m:r>
                </m:e>
                <m:sup>
                  <m:r>
                    <m:rPr>
                      <m:sty m:val="p"/>
                    </m:rPr>
                    <m:t>−</m:t>
                  </m:r>
                  <m:r>
                    <m:t>6</m:t>
                  </m:r>
                </m:sup>
              </m:sSup>
            </m:oMath>
            <w:r>
              <w:t xml:space="preserve">​</w:t>
            </w:r>
          </w:p>
        </w:tc>
        <w:tc>
          <w:tcPr/>
          <w:p>
            <w:pPr>
              <w:pStyle w:val="Compact"/>
            </w:pPr>
            <w:r>
              <w:t xml:space="preserve">0.8494</w:t>
            </w:r>
          </w:p>
        </w:tc>
        <w:tc>
          <w:tcPr/>
          <w:p>
            <w:pPr>
              <w:pStyle w:val="Compact"/>
            </w:pPr>
            <m:oMath>
              <m:r>
                <m:t>3.40</m:t>
              </m:r>
              <m:r>
                <m:rPr>
                  <m:sty m:val="p"/>
                </m:rPr>
                <m:t>×</m:t>
              </m:r>
              <m:sSup>
                <m:e>
                  <m:r>
                    <m:t>10</m:t>
                  </m:r>
                </m:e>
                <m:sup>
                  <m:r>
                    <m:rPr>
                      <m:sty m:val="p"/>
                    </m:rPr>
                    <m:t>−</m:t>
                  </m:r>
                  <m:r>
                    <m:t>6</m:t>
                  </m:r>
                </m:sup>
              </m:sSup>
            </m:oMath>
            <w:r>
              <w:t xml:space="preserve">​</w:t>
            </w:r>
          </w:p>
        </w:tc>
      </w:tr>
      <w:tr>
        <w:tc>
          <w:tcPr/>
          <w:p>
            <w:pPr>
              <w:pStyle w:val="Compact"/>
            </w:pPr>
            <w:r>
              <w:t xml:space="preserve">Geodesic</w:t>
            </w:r>
          </w:p>
        </w:tc>
        <w:tc>
          <w:tcPr/>
          <w:p>
            <w:pPr>
              <w:pStyle w:val="Compact"/>
            </w:pPr>
            <w:r>
              <w:t xml:space="preserve">ABC vs DO</w:t>
            </w:r>
          </w:p>
        </w:tc>
        <w:tc>
          <w:tcPr/>
          <w:p>
            <w:pPr>
              <w:pStyle w:val="Compact"/>
            </w:pPr>
            <w:r>
              <w:t xml:space="preserve">0.5546</w:t>
            </w:r>
          </w:p>
        </w:tc>
        <w:tc>
          <w:tcPr/>
          <w:p>
            <w:pPr>
              <w:pStyle w:val="Compact"/>
            </w:pPr>
            <w:r>
              <w:t xml:space="preserve">900.0</w:t>
            </w:r>
          </w:p>
        </w:tc>
        <w:tc>
          <w:tcPr/>
          <w:p>
            <w:pPr>
              <w:pStyle w:val="Compact"/>
            </w:pPr>
            <m:oMath>
              <m:r>
                <m:t>2.97</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5.94</m:t>
              </m:r>
              <m:r>
                <m:rPr>
                  <m:sty m:val="p"/>
                </m:rPr>
                <m:t>×</m:t>
              </m:r>
              <m:sSup>
                <m:e>
                  <m:r>
                    <m:t>10</m:t>
                  </m:r>
                </m:e>
                <m:sup>
                  <m:r>
                    <m:rPr>
                      <m:sty m:val="p"/>
                    </m:rPr>
                    <m:t>−</m:t>
                  </m:r>
                  <m:r>
                    <m:t>11</m:t>
                  </m:r>
                </m:sup>
              </m:sSup>
            </m:oMath>
            <w:r>
              <w:t xml:space="preserve">​</w:t>
            </w:r>
          </w:p>
        </w:tc>
      </w:tr>
      <w:tr>
        <w:tc>
          <w:tcPr/>
          <w:p>
            <w:pPr>
              <w:pStyle w:val="Compact"/>
            </w:pPr>
            <w:r>
              <w:t xml:space="preserve">Kiewitt</w:t>
            </w:r>
          </w:p>
        </w:tc>
        <w:tc>
          <w:tcPr/>
          <w:p>
            <w:pPr>
              <w:pStyle w:val="Compact"/>
            </w:pPr>
            <w:r>
              <w:t xml:space="preserve">ABC vs ACO</w:t>
            </w:r>
          </w:p>
        </w:tc>
        <w:tc>
          <w:tcPr/>
          <w:p>
            <w:pPr>
              <w:pStyle w:val="Compact"/>
            </w:pPr>
            <w:r>
              <w:t xml:space="preserve">0.7032</w:t>
            </w:r>
          </w:p>
        </w:tc>
        <w:tc>
          <w:tcPr/>
          <w:p>
            <w:pPr>
              <w:pStyle w:val="Compact"/>
            </w:pPr>
            <w:r>
              <w:t xml:space="preserve">690.0</w:t>
            </w:r>
          </w:p>
        </w:tc>
        <w:tc>
          <w:tcPr/>
          <w:p>
            <w:pPr>
              <w:pStyle w:val="Compact"/>
            </w:pPr>
            <m:oMath>
              <m:r>
                <m:t>5.27</m:t>
              </m:r>
              <m:r>
                <m:rPr>
                  <m:sty m:val="p"/>
                </m:rPr>
                <m:t>×</m:t>
              </m:r>
              <m:sSup>
                <m:e>
                  <m:r>
                    <m:t>10</m:t>
                  </m:r>
                </m:e>
                <m:sup>
                  <m:r>
                    <m:rPr>
                      <m:sty m:val="p"/>
                    </m:rPr>
                    <m:t>−</m:t>
                  </m:r>
                  <m:r>
                    <m:t>6</m:t>
                  </m:r>
                </m:sup>
              </m:sSup>
            </m:oMath>
            <w:r>
              <w:t xml:space="preserve">​</w:t>
            </w:r>
          </w:p>
        </w:tc>
        <w:tc>
          <w:tcPr/>
          <w:p>
            <w:pPr>
              <w:pStyle w:val="Compact"/>
            </w:pPr>
            <w:r>
              <w:t xml:space="preserve">0.7667</w:t>
            </w:r>
          </w:p>
        </w:tc>
        <w:tc>
          <w:tcPr/>
          <w:p>
            <w:pPr>
              <w:pStyle w:val="Compact"/>
            </w:pPr>
            <m:oMath>
              <m:r>
                <m:t>5.27</m:t>
              </m:r>
              <m:r>
                <m:rPr>
                  <m:sty m:val="p"/>
                </m:rPr>
                <m:t>×</m:t>
              </m:r>
              <m:sSup>
                <m:e>
                  <m:r>
                    <m:t>10</m:t>
                  </m:r>
                </m:e>
                <m:sup>
                  <m:r>
                    <m:rPr>
                      <m:sty m:val="p"/>
                    </m:rPr>
                    <m:t>−</m:t>
                  </m:r>
                  <m:r>
                    <m:t>6</m:t>
                  </m:r>
                </m:sup>
              </m:sSup>
            </m:oMath>
            <w:r>
              <w:t xml:space="preserve">​</w:t>
            </w:r>
          </w:p>
        </w:tc>
      </w:tr>
      <w:tr>
        <w:tc>
          <w:tcPr/>
          <w:p>
            <w:pPr>
              <w:pStyle w:val="Compact"/>
            </w:pPr>
            <w:r>
              <w:t xml:space="preserve">Kiewitt</w:t>
            </w:r>
          </w:p>
        </w:tc>
        <w:tc>
          <w:tcPr/>
          <w:p>
            <w:pPr>
              <w:pStyle w:val="Compact"/>
            </w:pPr>
            <w:r>
              <w:t xml:space="preserve">ABC vs DO</w:t>
            </w:r>
          </w:p>
        </w:tc>
        <w:tc>
          <w:tcPr/>
          <w:p>
            <w:pPr>
              <w:pStyle w:val="Compact"/>
            </w:pPr>
            <w:r>
              <w:t xml:space="preserve">1.9872</w:t>
            </w:r>
          </w:p>
        </w:tc>
        <w:tc>
          <w:tcPr/>
          <w:p>
            <w:pPr>
              <w:pStyle w:val="Compact"/>
            </w:pPr>
            <w:r>
              <w:t xml:space="preserve">900.0</w:t>
            </w:r>
          </w:p>
        </w:tc>
        <w:tc>
          <w:tcPr/>
          <w:p>
            <w:pPr>
              <w:pStyle w:val="Compact"/>
            </w:pPr>
            <m:oMath>
              <m:r>
                <m:t>1.21</m:t>
              </m:r>
              <m:r>
                <m:rPr>
                  <m:sty m:val="p"/>
                </m:rPr>
                <m:t>×</m:t>
              </m:r>
              <m:sSup>
                <m:e>
                  <m:r>
                    <m:t>10</m:t>
                  </m:r>
                </m:e>
                <m:sup>
                  <m:r>
                    <m:rPr>
                      <m:sty m:val="p"/>
                    </m:rPr>
                    <m:t>−</m:t>
                  </m:r>
                  <m:r>
                    <m:t>12</m:t>
                  </m:r>
                </m:sup>
              </m:sSup>
            </m:oMath>
            <w:r>
              <w:t xml:space="preserve">​</w:t>
            </w:r>
          </w:p>
        </w:tc>
        <w:tc>
          <w:tcPr/>
          <w:p>
            <w:pPr>
              <w:pStyle w:val="Compact"/>
            </w:pPr>
            <w:r>
              <w:t xml:space="preserve">1.0000</w:t>
            </w:r>
          </w:p>
        </w:tc>
        <w:tc>
          <w:tcPr/>
          <w:p>
            <w:pPr>
              <w:pStyle w:val="Compact"/>
            </w:pPr>
            <m:oMath>
              <m:r>
                <m:t>2.42</m:t>
              </m:r>
              <m:r>
                <m:rPr>
                  <m:sty m:val="p"/>
                </m:rPr>
                <m:t>×</m:t>
              </m:r>
              <m:sSup>
                <m:e>
                  <m:r>
                    <m:t>10</m:t>
                  </m:r>
                </m:e>
                <m:sup>
                  <m:r>
                    <m:rPr>
                      <m:sty m:val="p"/>
                    </m:rPr>
                    <m:t>−</m:t>
                  </m:r>
                  <m:r>
                    <m:t>12</m:t>
                  </m:r>
                </m:sup>
              </m:sSup>
            </m:oMath>
            <w:r>
              <w:t xml:space="preserve">​</w:t>
            </w:r>
          </w:p>
        </w:tc>
      </w:tr>
      <w:tr>
        <w:tc>
          <w:tcPr/>
          <w:p>
            <w:pPr>
              <w:pStyle w:val="Compact"/>
            </w:pPr>
            <w:r>
              <w:t xml:space="preserve">Ribbed</w:t>
            </w:r>
          </w:p>
        </w:tc>
        <w:tc>
          <w:tcPr/>
          <w:p>
            <w:pPr>
              <w:pStyle w:val="Compact"/>
            </w:pPr>
            <w:r>
              <w:t xml:space="preserve">ABC vs ACO</w:t>
            </w:r>
          </w:p>
        </w:tc>
        <w:tc>
          <w:tcPr/>
          <w:p>
            <w:pPr>
              <w:pStyle w:val="Compact"/>
            </w:pPr>
            <w:r>
              <w:t xml:space="preserve">0.6852</w:t>
            </w:r>
          </w:p>
        </w:tc>
        <w:tc>
          <w:tcPr/>
          <w:p>
            <w:pPr>
              <w:pStyle w:val="Compact"/>
            </w:pPr>
            <w:r>
              <w:t xml:space="preserve">682.5</w:t>
            </w:r>
          </w:p>
        </w:tc>
        <w:tc>
          <w:tcPr/>
          <w:p>
            <w:pPr>
              <w:pStyle w:val="Compact"/>
            </w:pPr>
            <m:oMath>
              <m:r>
                <m:t>5.53</m:t>
              </m:r>
              <m:r>
                <m:rPr>
                  <m:sty m:val="p"/>
                </m:rPr>
                <m:t>×</m:t>
              </m:r>
              <m:sSup>
                <m:e>
                  <m:r>
                    <m:t>10</m:t>
                  </m:r>
                </m:e>
                <m:sup>
                  <m:r>
                    <m:rPr>
                      <m:sty m:val="p"/>
                    </m:rPr>
                    <m:t>−</m:t>
                  </m:r>
                  <m:r>
                    <m:t>4</m:t>
                  </m:r>
                </m:sup>
              </m:sSup>
            </m:oMath>
            <w:r>
              <w:t xml:space="preserve">​</w:t>
            </w:r>
          </w:p>
        </w:tc>
        <w:tc>
          <w:tcPr/>
          <w:p>
            <w:pPr>
              <w:pStyle w:val="Compact"/>
            </w:pPr>
            <w:r>
              <w:t xml:space="preserve">0.7583</w:t>
            </w:r>
          </w:p>
        </w:tc>
        <w:tc>
          <w:tcPr/>
          <w:p>
            <w:pPr>
              <w:pStyle w:val="Compact"/>
            </w:pPr>
            <m:oMath>
              <m:r>
                <m:t>5.53</m:t>
              </m:r>
              <m:r>
                <m:rPr>
                  <m:sty m:val="p"/>
                </m:rPr>
                <m:t>×</m:t>
              </m:r>
              <m:sSup>
                <m:e>
                  <m:r>
                    <m:t>10</m:t>
                  </m:r>
                </m:e>
                <m:sup>
                  <m:r>
                    <m:rPr>
                      <m:sty m:val="p"/>
                    </m:rPr>
                    <m:t>−</m:t>
                  </m:r>
                  <m:r>
                    <m:t>4</m:t>
                  </m:r>
                </m:sup>
              </m:sSup>
            </m:oMath>
            <w:r>
              <w:t xml:space="preserve">​</w:t>
            </w:r>
          </w:p>
        </w:tc>
      </w:tr>
      <w:tr>
        <w:tc>
          <w:tcPr/>
          <w:p>
            <w:pPr>
              <w:pStyle w:val="Compact"/>
            </w:pPr>
            <w:r>
              <w:t xml:space="preserve">Ribbed</w:t>
            </w:r>
          </w:p>
        </w:tc>
        <w:tc>
          <w:tcPr/>
          <w:p>
            <w:pPr>
              <w:pStyle w:val="Compact"/>
            </w:pPr>
            <w:r>
              <w:t xml:space="preserve">ABC vs DO</w:t>
            </w:r>
          </w:p>
        </w:tc>
        <w:tc>
          <w:tcPr/>
          <w:p>
            <w:pPr>
              <w:pStyle w:val="Compact"/>
            </w:pPr>
            <w:r>
              <w:t xml:space="preserve">8.0284</w:t>
            </w:r>
          </w:p>
        </w:tc>
        <w:tc>
          <w:tcPr/>
          <w:p>
            <w:pPr>
              <w:pStyle w:val="Compact"/>
            </w:pPr>
            <w:r>
              <w:t xml:space="preserve">900.0</w:t>
            </w:r>
          </w:p>
        </w:tc>
        <w:tc>
          <w:tcPr/>
          <w:p>
            <w:pPr>
              <w:pStyle w:val="Compact"/>
            </w:pPr>
            <m:oMath>
              <m:r>
                <m:t>2.84</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5.67</m:t>
              </m:r>
              <m:r>
                <m:rPr>
                  <m:sty m:val="p"/>
                </m:rPr>
                <m:t>×</m:t>
              </m:r>
              <m:sSup>
                <m:e>
                  <m:r>
                    <m:t>10</m:t>
                  </m:r>
                </m:e>
                <m:sup>
                  <m:r>
                    <m:rPr>
                      <m:sty m:val="p"/>
                    </m:rPr>
                    <m:t>−</m:t>
                  </m:r>
                  <m:r>
                    <m:t>11</m:t>
                  </m:r>
                </m:sup>
              </m:sSup>
            </m:oMath>
            <w:r>
              <w:t xml:space="preserve">​</w:t>
            </w:r>
          </w:p>
        </w:tc>
      </w:tr>
    </w:tbl>
    <w:p>
      <w:pPr>
        <w:pStyle w:val="FirstParagraph"/>
      </w:pPr>
      <w:r>
        <w:rPr>
          <w:b/>
          <w:bCs/>
        </w:rPr>
        <w:t xml:space="preserve">Table 9.</w:t>
      </w:r>
      <w:r>
        <w:t xml:space="preserve"> </w:t>
      </w:r>
      <w:r>
        <w:t xml:space="preserve">Two-sided Mann–Whitney U tests and Vargha–Delaney</w:t>
      </w:r>
      <w:r>
        <w:t xml:space="preserve"> </w:t>
      </w:r>
      <m:oMath>
        <m:sSub>
          <m:e>
            <m:r>
              <m:t>A</m:t>
            </m:r>
          </m:e>
          <m:sub>
            <m:r>
              <m:t>12</m:t>
            </m:r>
          </m:sub>
        </m:sSub>
      </m:oMath>
      <w:r>
        <w:t xml:space="preserve"> </w:t>
      </w:r>
      <w:r>
        <w:t xml:space="preserve">effect sizes for ABC against ACO and DO.</w:t>
      </w:r>
    </w:p>
    <w:p>
      <w:pPr>
        <w:pStyle w:val="BodyText"/>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w:t>
      </w:r>
      <w:r>
        <w:t xml:space="preserve"> </w:t>
      </w:r>
      <m:oMath>
        <m:r>
          <m:rPr>
            <m:sty m:val="p"/>
          </m:rPr>
          <m:t>≤</m:t>
        </m:r>
        <m:r>
          <m:t>1.31</m:t>
        </m:r>
        <m:r>
          <m:rPr>
            <m:sty m:val="p"/>
          </m:rPr>
          <m:t>×</m:t>
        </m:r>
        <m:sSup>
          <m:e>
            <m:r>
              <m:t>10</m:t>
            </m:r>
          </m:e>
          <m:sup>
            <m:r>
              <m:rPr>
                <m:sty m:val="p"/>
              </m:rPr>
              <m:t>−</m:t>
            </m:r>
            <m:r>
              <m:t>13</m:t>
            </m:r>
          </m:sup>
        </m:sSup>
      </m:oMath>
      <w:r>
        <w:t xml:space="preserve">), and maximum demand-to-capacity (D/C) ratios matched exactly to five decimal places.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Peak Axial Force [kN]</w:t>
            </w:r>
          </w:p>
        </w:tc>
        <w:tc>
          <w:tcPr/>
          <w:p>
            <w:pPr>
              <w:pStyle w:val="Compact"/>
            </w:pPr>
            <w:r>
              <w:t xml:space="preserve">Normalised Axial Force Difference</w:t>
            </w:r>
          </w:p>
        </w:tc>
        <w:tc>
          <w:tcPr/>
          <w:p>
            <w:pPr>
              <w:pStyle w:val="Compact"/>
            </w:pPr>
            <w:r>
              <w:t xml:space="preserve">Normalised Displacement Difference</w:t>
            </w:r>
          </w:p>
        </w:tc>
        <w:tc>
          <w:tcPr/>
          <w:p>
            <w:pPr>
              <w:pStyle w:val="Compact"/>
            </w:pPr>
            <w:r>
              <w:t xml:space="preserve">Max D/C (Own Solver)</w:t>
            </w:r>
          </w:p>
        </w:tc>
        <w:tc>
          <w:tcPr/>
          <w:p>
            <w:pPr>
              <w:pStyle w:val="Compact"/>
            </w:pPr>
            <w:r>
              <w:t xml:space="preserve">Max D/C (SAP2000)</w:t>
            </w:r>
          </w:p>
        </w:tc>
      </w:tr>
      <w:tr>
        <w:tc>
          <w:tcPr/>
          <w:p>
            <w:pPr>
              <w:pStyle w:val="Compact"/>
            </w:pPr>
            <w:r>
              <w:t xml:space="preserve">Geodesic</w:t>
            </w:r>
          </w:p>
        </w:tc>
        <w:tc>
          <w:tcPr/>
          <w:p>
            <w:pPr>
              <w:pStyle w:val="Compact"/>
            </w:pPr>
            <w:r>
              <w:t xml:space="preserve">13.82</w:t>
            </w:r>
          </w:p>
        </w:tc>
        <w:tc>
          <w:tcPr/>
          <w:p>
            <w:pPr>
              <w:pStyle w:val="Compact"/>
            </w:pPr>
            <m:oMath>
              <m:r>
                <m:t>3.4</m:t>
              </m:r>
              <m:r>
                <m:rPr>
                  <m:sty m:val="p"/>
                </m:rPr>
                <m:t>×</m:t>
              </m:r>
              <m:sSup>
                <m:e>
                  <m:r>
                    <m:t>10</m:t>
                  </m:r>
                </m:e>
                <m:sup>
                  <m:r>
                    <m:rPr>
                      <m:sty m:val="p"/>
                    </m:rPr>
                    <m:t>−</m:t>
                  </m:r>
                  <m:r>
                    <m:t>15</m:t>
                  </m:r>
                </m:sup>
              </m:sSup>
            </m:oMath>
            <w:r>
              <w:t xml:space="preserve">​</w:t>
            </w:r>
          </w:p>
        </w:tc>
        <w:tc>
          <w:tcPr/>
          <w:p>
            <w:pPr>
              <w:pStyle w:val="Compact"/>
            </w:pPr>
            <m:oMath>
              <m:r>
                <m:t>7.3</m:t>
              </m:r>
              <m:r>
                <m:rPr>
                  <m:sty m:val="p"/>
                </m:rPr>
                <m:t>×</m:t>
              </m:r>
              <m:sSup>
                <m:e>
                  <m:r>
                    <m:t>10</m:t>
                  </m:r>
                </m:e>
                <m:sup>
                  <m:r>
                    <m:rPr>
                      <m:sty m:val="p"/>
                    </m:rPr>
                    <m:t>−</m:t>
                  </m:r>
                  <m:r>
                    <m:t>15</m:t>
                  </m:r>
                </m:sup>
              </m:sSup>
            </m:oMath>
            <w:r>
              <w:t xml:space="preserve">​</w:t>
            </w:r>
          </w:p>
        </w:tc>
        <w:tc>
          <w:tcPr/>
          <w:p>
            <w:pPr>
              <w:pStyle w:val="Compact"/>
            </w:pPr>
            <w:r>
              <w:t xml:space="preserve">0.99589</w:t>
            </w:r>
          </w:p>
        </w:tc>
        <w:tc>
          <w:tcPr/>
          <w:p>
            <w:pPr>
              <w:pStyle w:val="Compact"/>
            </w:pPr>
            <w:r>
              <w:t xml:space="preserve">0.99589</w:t>
            </w:r>
          </w:p>
        </w:tc>
      </w:tr>
      <w:tr>
        <w:tc>
          <w:tcPr/>
          <w:p>
            <w:pPr>
              <w:pStyle w:val="Compact"/>
            </w:pPr>
            <w:r>
              <w:t xml:space="preserve">Kiewitt</w:t>
            </w:r>
          </w:p>
        </w:tc>
        <w:tc>
          <w:tcPr/>
          <w:p>
            <w:pPr>
              <w:pStyle w:val="Compact"/>
            </w:pPr>
            <w:r>
              <w:t xml:space="preserve">26.76</w:t>
            </w:r>
          </w:p>
        </w:tc>
        <w:tc>
          <w:tcPr/>
          <w:p>
            <w:pPr>
              <w:pStyle w:val="Compact"/>
            </w:pPr>
            <m:oMath>
              <m:r>
                <m:t>1.7</m:t>
              </m:r>
              <m:r>
                <m:rPr>
                  <m:sty m:val="p"/>
                </m:rPr>
                <m:t>×</m:t>
              </m:r>
              <m:sSup>
                <m:e>
                  <m:r>
                    <m:t>10</m:t>
                  </m:r>
                </m:e>
                <m:sup>
                  <m:r>
                    <m:rPr>
                      <m:sty m:val="p"/>
                    </m:rPr>
                    <m:t>−</m:t>
                  </m:r>
                  <m:r>
                    <m:t>14</m:t>
                  </m:r>
                </m:sup>
              </m:sSup>
            </m:oMath>
            <w:r>
              <w:t xml:space="preserve">​</w:t>
            </w:r>
          </w:p>
        </w:tc>
        <w:tc>
          <w:tcPr/>
          <w:p>
            <w:pPr>
              <w:pStyle w:val="Compact"/>
            </w:pPr>
            <m:oMath>
              <m:r>
                <m:t>3.2</m:t>
              </m:r>
              <m:r>
                <m:rPr>
                  <m:sty m:val="p"/>
                </m:rPr>
                <m:t>×</m:t>
              </m:r>
              <m:sSup>
                <m:e>
                  <m:r>
                    <m:t>10</m:t>
                  </m:r>
                </m:e>
                <m:sup>
                  <m:r>
                    <m:rPr>
                      <m:sty m:val="p"/>
                    </m:rPr>
                    <m:t>−</m:t>
                  </m:r>
                  <m:r>
                    <m:t>14</m:t>
                  </m:r>
                </m:sup>
              </m:sSup>
            </m:oMath>
            <w:r>
              <w:t xml:space="preserve">​</w:t>
            </w:r>
          </w:p>
        </w:tc>
        <w:tc>
          <w:tcPr/>
          <w:p>
            <w:pPr>
              <w:pStyle w:val="Compact"/>
            </w:pPr>
            <w:r>
              <w:t xml:space="preserve">0.99226</w:t>
            </w:r>
          </w:p>
        </w:tc>
        <w:tc>
          <w:tcPr/>
          <w:p>
            <w:pPr>
              <w:pStyle w:val="Compact"/>
            </w:pPr>
            <w:r>
              <w:t xml:space="preserve">0.99226</w:t>
            </w:r>
          </w:p>
        </w:tc>
      </w:tr>
      <w:tr>
        <w:tc>
          <w:tcPr/>
          <w:p>
            <w:pPr>
              <w:pStyle w:val="Compact"/>
            </w:pPr>
            <w:r>
              <w:t xml:space="preserve">Ribbed</w:t>
            </w:r>
          </w:p>
        </w:tc>
        <w:tc>
          <w:tcPr/>
          <w:p>
            <w:pPr>
              <w:pStyle w:val="Compact"/>
            </w:pPr>
            <w:r>
              <w:t xml:space="preserve">39.77</w:t>
            </w:r>
          </w:p>
        </w:tc>
        <w:tc>
          <w:tcPr/>
          <w:p>
            <w:pPr>
              <w:pStyle w:val="Compact"/>
            </w:pPr>
            <m:oMath>
              <m:r>
                <m:t>6.2</m:t>
              </m:r>
              <m:r>
                <m:rPr>
                  <m:sty m:val="p"/>
                </m:rPr>
                <m:t>×</m:t>
              </m:r>
              <m:sSup>
                <m:e>
                  <m:r>
                    <m:t>10</m:t>
                  </m:r>
                </m:e>
                <m:sup>
                  <m:r>
                    <m:rPr>
                      <m:sty m:val="p"/>
                    </m:rPr>
                    <m:t>−</m:t>
                  </m:r>
                  <m:r>
                    <m:t>14</m:t>
                  </m:r>
                </m:sup>
              </m:sSup>
            </m:oMath>
            <w:r>
              <w:t xml:space="preserve">​</w:t>
            </w:r>
          </w:p>
        </w:tc>
        <w:tc>
          <w:tcPr/>
          <w:p>
            <w:pPr>
              <w:pStyle w:val="Compact"/>
            </w:pPr>
            <m:oMath>
              <m:r>
                <m:t>1.3</m:t>
              </m:r>
              <m:r>
                <m:rPr>
                  <m:sty m:val="p"/>
                </m:rPr>
                <m:t>×</m:t>
              </m:r>
              <m:sSup>
                <m:e>
                  <m:r>
                    <m:t>10</m:t>
                  </m:r>
                </m:e>
                <m:sup>
                  <m:r>
                    <m:rPr>
                      <m:sty m:val="p"/>
                    </m:rPr>
                    <m:t>−</m:t>
                  </m:r>
                  <m:r>
                    <m:t>13</m:t>
                  </m:r>
                </m:sup>
              </m:sSup>
            </m:oMath>
            <w:r>
              <w:t xml:space="preserve">​</w:t>
            </w:r>
          </w:p>
        </w:tc>
        <w:tc>
          <w:tcPr/>
          <w:p>
            <w:pPr>
              <w:pStyle w:val="Compact"/>
            </w:pPr>
            <w:r>
              <w:t xml:space="preserve">0.99995</w:t>
            </w:r>
          </w:p>
        </w:tc>
        <w:tc>
          <w:tcPr/>
          <w:p>
            <w:pPr>
              <w:pStyle w:val="Compact"/>
            </w:pPr>
            <w:r>
              <w:t xml:space="preserve">0.99995</w:t>
            </w:r>
          </w:p>
        </w:tc>
      </w:tr>
    </w:tbl>
    <w:p>
      <w:pPr>
        <w:pStyle w:val="FirstParagraph"/>
      </w:pPr>
      <w:r>
        <w:rPr>
          <w:b/>
          <w:bCs/>
        </w:rPr>
        <w:t xml:space="preserve">Table 10.</w:t>
      </w:r>
      <w:r>
        <w:t xml:space="preserve"> </w:t>
      </w:r>
      <w:r>
        <w:t xml:space="preserve">Numerical verification of the direct stiffness solver against CSI SAP2000 v24 for the lightest designs.</w:t>
      </w:r>
    </w:p>
    <w:p>
      <w:pPr>
        <w:pStyle w:val="Heading2"/>
      </w:pPr>
      <w:bookmarkStart w:id="48" w:name="_5880c4ac80f70abf50e3e87e833be7eb1fd2601"/>
      <w:r>
        <w:t xml:space="preserve">4.2 Lightest designs and governing biomechanical limit states</w:t>
      </w:r>
      <w:bookmarkEnd w:id="48"/>
    </w:p>
    <w:p>
      <w:pPr>
        <w:pStyle w:val="FirstParagraph"/>
      </w:pPr>
      <w:r>
        <w:t xml:space="preserve">The cross-sectional profiles (outer diameter</w:t>
      </w:r>
      <w:r>
        <w:t xml:space="preserve"> </w:t>
      </w:r>
      <m:oMath>
        <m:r>
          <m:t>D</m:t>
        </m:r>
      </m:oMath>
      <w:r>
        <w:t xml:space="preserve"> </w:t>
      </w:r>
      <w:r>
        <w:t xml:space="preserve">and wall thickness</w:t>
      </w:r>
      <w:r>
        <w:t xml:space="preserve"> </w:t>
      </w:r>
      <m:oMath>
        <m:r>
          <m:t>t</m:t>
        </m:r>
      </m:oMath>
      <w:r>
        <w:t xml:space="preserve">) assigned to each design group in the lightest designs are shown in Figure 5. Sizing distributions reflect structural hierarchy, with heavier culms positioned along base rings and high-stress meridians.</w:t>
      </w:r>
    </w:p>
    <w:p>
      <w:pPr>
        <w:pStyle w:val="CaptionedFigure"/>
      </w:pPr>
      <w:r>
        <w:drawing>
          <wp:inline>
            <wp:extent cx="5334000" cy="6334742"/>
            <wp:effectExtent b="0" l="0" r="0" t="0"/>
            <wp:docPr descr="Figure 5" title="" id="50" name="Picture"/>
            <a:graphic>
              <a:graphicData uri="http://schemas.openxmlformats.org/drawingml/2006/picture">
                <pic:pic>
                  <pic:nvPicPr>
                    <pic:cNvPr descr="../../04_Results/figures/F1_best_profiles.png" id="51" name="Picture"/>
                    <pic:cNvPicPr>
                      <a:picLocks noChangeArrowheads="1" noChangeAspect="1"/>
                    </pic:cNvPicPr>
                  </pic:nvPicPr>
                  <pic:blipFill>
                    <a:blip r:embed="rId49"/>
                    <a:stretch>
                      <a:fillRect/>
                    </a:stretch>
                  </pic:blipFill>
                  <pic:spPr bwMode="auto">
                    <a:xfrm>
                      <a:off x="0" y="0"/>
                      <a:ext cx="5334000" cy="6334742"/>
                    </a:xfrm>
                    <a:prstGeom prst="rect">
                      <a:avLst/>
                    </a:prstGeom>
                    <a:noFill/>
                    <a:ln w="9525">
                      <a:noFill/>
                      <a:headEnd/>
                      <a:tailEnd/>
                    </a:ln>
                  </pic:spPr>
                </pic:pic>
              </a:graphicData>
            </a:graphic>
          </wp:inline>
        </w:drawing>
      </w:r>
    </w:p>
    <w:p>
      <w:pPr>
        <w:pStyle w:val="ImageCaption"/>
      </w:pPr>
      <w:r>
        <w:t xml:space="preserve">Figure 5</w:t>
      </w:r>
    </w:p>
    <w:p>
      <w:pPr>
        <w:pStyle w:val="FirstParagraph"/>
      </w:pPr>
      <w:r>
        <w:rPr>
          <w:b/>
          <w:bCs/>
        </w:rPr>
        <w:t xml:space="preserve">Figure 5.</w:t>
      </w:r>
      <w:r>
        <w:t xml:space="preserve"> </w:t>
      </w:r>
      <w:r>
        <w:t xml:space="preserve">Cross-sectional sizing profiles of the lightest feasible bamboo dome designs identified across 90 optimization runs per dome (3 algorithms × 30 seeds). Bars represent the outer culm diameter</w:t>
      </w:r>
      <w:r>
        <w:t xml:space="preserve"> </w:t>
      </w:r>
      <m:oMath>
        <m:r>
          <m:t>D</m:t>
        </m:r>
      </m:oMath>
      <w:r>
        <w:t xml:space="preserve"> </w:t>
      </w:r>
      <w:r>
        <w:t xml:space="preserve">[mm] of each design group (left axis); lines indicate wall thickness</w:t>
      </w:r>
      <w:r>
        <w:t xml:space="preserve"> </w:t>
      </w:r>
      <m:oMath>
        <m:r>
          <m:t>t</m:t>
        </m:r>
      </m:oMath>
      <w:r>
        <w:t xml:space="preserve"> </w:t>
      </w:r>
      <w:r>
        <w:t xml:space="preserve">[mm] (right axis).</w:t>
      </w:r>
    </w:p>
    <w:p>
      <w:pPr>
        <w:pStyle w:val="BodyText"/>
      </w:pPr>
      <w:r>
        <w:t xml:space="preserve">Table 11 lists the maximum demand-to-capacity ratios across all active design checks for the lightest designs. Column buckling under axial compression is the critical limit state, reaching D/C ratios of 0.992 to 1.000 across all three domes. Maximum nodal displacements remain well below allowable thresholds (</w:t>
      </w:r>
      <m:oMath>
        <m:r>
          <m:t>u</m:t>
        </m:r>
        <m:r>
          <m:rPr>
            <m:sty m:val="p"/>
          </m:rPr>
          <m:t>/</m:t>
        </m:r>
        <m:sSub>
          <m:e>
            <m:r>
              <m:t>u</m:t>
            </m:r>
          </m:e>
          <m:sub>
            <m:r>
              <m:t>l</m:t>
            </m:r>
            <m:r>
              <m:t>i</m:t>
            </m:r>
            <m:r>
              <m:t>m</m:t>
            </m:r>
          </m:sub>
        </m:sSub>
        <m:r>
          <m:rPr>
            <m:sty m:val="p"/>
          </m:rPr>
          <m:t>=</m:t>
        </m:r>
        <m:r>
          <m:t>0.060</m:t>
        </m:r>
        <m:r>
          <m:rPr>
            <m:sty m:val="p"/>
          </m:rPr>
          <m:t>,</m:t>
        </m:r>
        <m:r>
          <m:t>0.062</m:t>
        </m:r>
      </m:oMath>
      <w:r>
        <w:t xml:space="preserve">, and</w:t>
      </w:r>
      <w:r>
        <w:t xml:space="preserve"> </w:t>
      </w:r>
      <m:oMath>
        <m:r>
          <m:t>0.129</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Max Tension D/C</w:t>
            </w:r>
          </w:p>
        </w:tc>
        <w:tc>
          <w:tcPr/>
          <w:p>
            <w:pPr>
              <w:pStyle w:val="Compact"/>
            </w:pPr>
            <w:r>
              <w:t xml:space="preserve">Max Compression D/C</w:t>
            </w:r>
          </w:p>
        </w:tc>
        <w:tc>
          <w:tcPr/>
          <w:p>
            <w:pPr>
              <w:pStyle w:val="Compact"/>
            </w:pPr>
            <w:r>
              <w:t xml:space="preserve">Max Slenderness D/C</w:t>
            </w:r>
          </w:p>
        </w:tc>
        <w:tc>
          <w:tcPr/>
          <w:p>
            <w:pPr>
              <w:pStyle w:val="Compact"/>
            </w:pPr>
            <w:r>
              <w:t xml:space="preserve">Max Joint D/C</w:t>
            </w:r>
          </w:p>
        </w:tc>
        <w:tc>
          <w:tcPr/>
          <w:p>
            <w:pPr>
              <w:pStyle w:val="Compact"/>
            </w:pPr>
            <w:r>
              <w:t xml:space="preserve">Displacement Ratio</w:t>
            </w:r>
            <w:r>
              <w:t xml:space="preserve"> </w:t>
            </w:r>
            <m:oMath>
              <m:r>
                <m:t>u</m:t>
              </m:r>
              <m:r>
                <m:rPr>
                  <m:sty m:val="p"/>
                </m:rPr>
                <m:t>/</m:t>
              </m:r>
              <m:sSub>
                <m:e>
                  <m:r>
                    <m:t>u</m:t>
                  </m:r>
                </m:e>
                <m:sub>
                  <m:r>
                    <m:t>l</m:t>
                  </m:r>
                  <m:r>
                    <m:t>i</m:t>
                  </m:r>
                  <m:r>
                    <m:t>m</m:t>
                  </m:r>
                </m:sub>
              </m:sSub>
            </m:oMath>
          </w:p>
        </w:tc>
        <w:tc>
          <w:tcPr/>
          <w:p>
            <w:pPr>
              <w:pStyle w:val="Compact"/>
            </w:pPr>
            <w:r>
              <w:t xml:space="preserve">Groups with D/C</w:t>
            </w:r>
            <w:r>
              <w:t xml:space="preserve"> </w:t>
            </w:r>
            <m:oMath>
              <m:r>
                <m:rPr>
                  <m:sty m:val="p"/>
                </m:rPr>
                <m:t>≥</m:t>
              </m:r>
              <m:r>
                <m:t>0.95</m:t>
              </m:r>
            </m:oMath>
          </w:p>
        </w:tc>
      </w:tr>
      <w:tr>
        <w:tc>
          <w:tcPr/>
          <w:p>
            <w:pPr>
              <w:pStyle w:val="Compact"/>
            </w:pPr>
            <w:r>
              <w:t xml:space="preserve">Geodesic</w:t>
            </w:r>
          </w:p>
        </w:tc>
        <w:tc>
          <w:tcPr/>
          <w:p>
            <w:pPr>
              <w:pStyle w:val="Compact"/>
            </w:pPr>
            <w:r>
              <w:t xml:space="preserve">0.165</w:t>
            </w:r>
          </w:p>
        </w:tc>
        <w:tc>
          <w:tcPr/>
          <w:p>
            <w:pPr>
              <w:pStyle w:val="Compact"/>
            </w:pPr>
            <w:r>
              <w:t xml:space="preserve">0.996</w:t>
            </w:r>
          </w:p>
        </w:tc>
        <w:tc>
          <w:tcPr/>
          <w:p>
            <w:pPr>
              <w:pStyle w:val="Compact"/>
            </w:pPr>
            <w:r>
              <w:t xml:space="preserve">0.733</w:t>
            </w:r>
          </w:p>
        </w:tc>
        <w:tc>
          <w:tcPr/>
          <w:p>
            <w:pPr>
              <w:pStyle w:val="Compact"/>
            </w:pPr>
            <w:r>
              <w:t xml:space="preserve">0.280</w:t>
            </w:r>
          </w:p>
        </w:tc>
        <w:tc>
          <w:tcPr/>
          <w:p>
            <w:pPr>
              <w:pStyle w:val="Compact"/>
            </w:pPr>
            <w:r>
              <w:t xml:space="preserve">0.060</w:t>
            </w:r>
          </w:p>
        </w:tc>
        <w:tc>
          <w:tcPr/>
          <w:p>
            <w:pPr>
              <w:pStyle w:val="Compact"/>
            </w:pPr>
            <w:r>
              <w:t xml:space="preserve">8 / 23</w:t>
            </w:r>
          </w:p>
        </w:tc>
      </w:tr>
      <w:tr>
        <w:tc>
          <w:tcPr/>
          <w:p>
            <w:pPr>
              <w:pStyle w:val="Compact"/>
            </w:pPr>
            <w:r>
              <w:t xml:space="preserve">Kiewitt</w:t>
            </w:r>
          </w:p>
        </w:tc>
        <w:tc>
          <w:tcPr/>
          <w:p>
            <w:pPr>
              <w:pStyle w:val="Compact"/>
            </w:pPr>
            <w:r>
              <w:t xml:space="preserve">0.361</w:t>
            </w:r>
          </w:p>
        </w:tc>
        <w:tc>
          <w:tcPr/>
          <w:p>
            <w:pPr>
              <w:pStyle w:val="Compact"/>
            </w:pPr>
            <w:r>
              <w:t xml:space="preserve">0.992</w:t>
            </w:r>
          </w:p>
        </w:tc>
        <w:tc>
          <w:tcPr/>
          <w:p>
            <w:pPr>
              <w:pStyle w:val="Compact"/>
            </w:pPr>
            <w:r>
              <w:t xml:space="preserve">0.532</w:t>
            </w:r>
          </w:p>
        </w:tc>
        <w:tc>
          <w:tcPr/>
          <w:p>
            <w:pPr>
              <w:pStyle w:val="Compact"/>
            </w:pPr>
            <w:r>
              <w:t xml:space="preserve">0.543</w:t>
            </w:r>
          </w:p>
        </w:tc>
        <w:tc>
          <w:tcPr/>
          <w:p>
            <w:pPr>
              <w:pStyle w:val="Compact"/>
            </w:pPr>
            <w:r>
              <w:t xml:space="preserve">0.062</w:t>
            </w:r>
          </w:p>
        </w:tc>
        <w:tc>
          <w:tcPr/>
          <w:p>
            <w:pPr>
              <w:pStyle w:val="Compact"/>
            </w:pPr>
            <w:r>
              <w:t xml:space="preserve">6 / 22</w:t>
            </w:r>
          </w:p>
        </w:tc>
      </w:tr>
      <w:tr>
        <w:tc>
          <w:tcPr/>
          <w:p>
            <w:pPr>
              <w:pStyle w:val="Compact"/>
            </w:pPr>
            <w:r>
              <w:t xml:space="preserve">Ribbed</w:t>
            </w:r>
          </w:p>
        </w:tc>
        <w:tc>
          <w:tcPr/>
          <w:p>
            <w:pPr>
              <w:pStyle w:val="Compact"/>
            </w:pPr>
            <w:r>
              <w:t xml:space="preserve">0.430</w:t>
            </w:r>
          </w:p>
        </w:tc>
        <w:tc>
          <w:tcPr/>
          <w:p>
            <w:pPr>
              <w:pStyle w:val="Compact"/>
            </w:pPr>
            <w:r>
              <w:t xml:space="preserve">1.000</w:t>
            </w:r>
          </w:p>
        </w:tc>
        <w:tc>
          <w:tcPr/>
          <w:p>
            <w:pPr>
              <w:pStyle w:val="Compact"/>
            </w:pPr>
            <w:r>
              <w:t xml:space="preserve">0.664</w:t>
            </w:r>
          </w:p>
        </w:tc>
        <w:tc>
          <w:tcPr/>
          <w:p>
            <w:pPr>
              <w:pStyle w:val="Compact"/>
            </w:pPr>
            <w:r>
              <w:t xml:space="preserve">0.807</w:t>
            </w:r>
          </w:p>
        </w:tc>
        <w:tc>
          <w:tcPr/>
          <w:p>
            <w:pPr>
              <w:pStyle w:val="Compact"/>
            </w:pPr>
            <w:r>
              <w:t xml:space="preserve">0.129</w:t>
            </w:r>
          </w:p>
        </w:tc>
        <w:tc>
          <w:tcPr/>
          <w:p>
            <w:pPr>
              <w:pStyle w:val="Compact"/>
            </w:pPr>
            <w:r>
              <w:t xml:space="preserve">9 / 43</w:t>
            </w:r>
          </w:p>
        </w:tc>
      </w:tr>
    </w:tbl>
    <w:p>
      <w:pPr>
        <w:pStyle w:val="FirstParagraph"/>
      </w:pPr>
      <w:r>
        <w:rPr>
          <w:b/>
          <w:bCs/>
        </w:rPr>
        <w:t xml:space="preserve">Table 11.</w:t>
      </w:r>
      <w:r>
        <w:t xml:space="preserve"> </w:t>
      </w:r>
      <w:r>
        <w:t xml:space="preserve">Peak demand-to-capacity (D/C) ratios by limit state and active constraint counts for the lightest designs.</w:t>
      </w:r>
    </w:p>
    <w:p>
      <w:pPr>
        <w:pStyle w:val="BodyText"/>
      </w:pPr>
      <w:r>
        <w:t xml:space="preserve">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pPr>
        <w:pStyle w:val="CaptionedFigure"/>
      </w:pPr>
      <w:r>
        <w:drawing>
          <wp:inline>
            <wp:extent cx="5334000" cy="2666294"/>
            <wp:effectExtent b="0" l="0" r="0" t="0"/>
            <wp:docPr descr="Figure 6" title="" id="53" name="Picture"/>
            <a:graphic>
              <a:graphicData uri="http://schemas.openxmlformats.org/drawingml/2006/picture">
                <pic:pic>
                  <pic:nvPicPr>
                    <pic:cNvPr descr="../../04_Results/figures/F4_governing_limit_states.png" id="54" name="Picture"/>
                    <pic:cNvPicPr>
                      <a:picLocks noChangeArrowheads="1" noChangeAspect="1"/>
                    </pic:cNvPicPr>
                  </pic:nvPicPr>
                  <pic:blipFill>
                    <a:blip r:embed="rId52"/>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6</w:t>
      </w:r>
    </w:p>
    <w:p>
      <w:pPr>
        <w:pStyle w:val="FirstParagraph"/>
      </w:pPr>
      <w:r>
        <w:rPr>
          <w:b/>
          <w:bCs/>
        </w:rPr>
        <w:t xml:space="preserve">Figure 6.</w:t>
      </w:r>
      <w:r>
        <w:t xml:space="preserve"> </w:t>
      </w:r>
      <w:r>
        <w:t xml:space="preserve">Proportion of structural design groups governed by each normative limit state check (compression buckling, member slenderness, tension, and joint capacity) in the lightest designs (left panel) and averaged across all 90 feasible runs per dome (right panel).</w:t>
      </w:r>
    </w:p>
    <w:p>
      <w:pPr>
        <w:pStyle w:val="Heading2"/>
      </w:pPr>
      <w:bookmarkStart w:id="55" w:name="_d051c3733741925ce01e35cdbbfc33039713e42"/>
      <w:r>
        <w:t xml:space="preserve">4.3 Connection detailing: required bolts and spatial constraints</w:t>
      </w:r>
      <w:bookmarkEnd w:id="55"/>
    </w:p>
    <w:p>
      <w:pPr>
        <w:pStyle w:val="FirstParagraph"/>
      </w:pPr>
      <w:r>
        <w:t xml:space="preserve">Peak member axial forces in the lightest designs reach 13.82 kN (Geodesic), 26.76 kN (Kiewitt), and 39.77 kN (Ribbed) (Table 10), all remaining below the four-bolt capacity of</w:t>
      </w:r>
      <w:r>
        <w:t xml:space="preserve"> </w:t>
      </w:r>
      <m:oMath>
        <m:sSub>
          <m:e>
            <m:r>
              <m:t>F</m:t>
            </m:r>
          </m:e>
          <m:sub>
            <m:r>
              <m:t>j</m:t>
            </m:r>
            <m:r>
              <m:rPr>
                <m:sty m:val="p"/>
              </m:rPr>
              <m:t>,</m:t>
            </m:r>
            <m:r>
              <m:t>R</m:t>
            </m:r>
            <m:r>
              <m:t>d</m:t>
            </m:r>
          </m:sub>
        </m:sSub>
        <m:r>
          <m:rPr>
            <m:sty m:val="p"/>
          </m:rPr>
          <m:t>=</m:t>
        </m:r>
        <m:r>
          <m:t>49.3</m:t>
        </m:r>
      </m:oMath>
      <w:r>
        <w:t xml:space="preserve"> </w:t>
      </w:r>
      <w:r>
        <w:t xml:space="preserve">kN. Consequently, individual members require only one, two, or three bolts per end rather than four (Table 12). On the 40 m Ribbed dome, 813 members require 1 bolt, 591 require 2 bolts, and 60 require 3 bolts.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Dome Topology</w:t>
            </w:r>
          </w:p>
        </w:tc>
        <w:tc>
          <w:tcPr/>
          <w:p>
            <w:pPr>
              <w:pStyle w:val="Compact"/>
            </w:pPr>
            <w:r>
              <w:t xml:space="preserve">Members (</w:t>
            </w:r>
            <m:oMath>
              <m:sSub>
                <m:e>
                  <m:r>
                    <m:t>N</m:t>
                  </m:r>
                </m:e>
                <m:sub>
                  <m:r>
                    <m:t>m</m:t>
                  </m:r>
                </m:sub>
              </m:sSub>
            </m:oMath>
            <w:r>
              <w:t xml:space="preserve">)</w:t>
            </w:r>
          </w:p>
        </w:tc>
        <w:tc>
          <w:tcPr/>
          <w:p>
            <w:pPr>
              <w:pStyle w:val="Compact"/>
            </w:pPr>
            <m:oMath>
              <m:sSub>
                <m:e>
                  <m:r>
                    <m:t>n</m:t>
                  </m:r>
                </m:e>
                <m:sub>
                  <m:r>
                    <m:t>r</m:t>
                  </m:r>
                  <m:r>
                    <m:t>e</m:t>
                  </m:r>
                  <m:r>
                    <m:t>q</m:t>
                  </m:r>
                </m:sub>
              </m:sSub>
              <m:r>
                <m:rPr>
                  <m:sty m:val="p"/>
                </m:rPr>
                <m:t>=</m:t>
              </m:r>
              <m:r>
                <m:t>1</m:t>
              </m:r>
            </m:oMath>
            <w:r>
              <w:t xml:space="preserve">​</w:t>
            </w:r>
          </w:p>
        </w:tc>
        <w:tc>
          <w:tcPr/>
          <w:p>
            <w:pPr>
              <w:pStyle w:val="Compact"/>
            </w:pPr>
            <m:oMath>
              <m:sSub>
                <m:e>
                  <m:r>
                    <m:t>n</m:t>
                  </m:r>
                </m:e>
                <m:sub>
                  <m:r>
                    <m:t>r</m:t>
                  </m:r>
                  <m:r>
                    <m:t>e</m:t>
                  </m:r>
                  <m:r>
                    <m:t>q</m:t>
                  </m:r>
                </m:sub>
              </m:sSub>
              <m:r>
                <m:rPr>
                  <m:sty m:val="p"/>
                </m:rPr>
                <m:t>=</m:t>
              </m:r>
              <m:r>
                <m:t>2</m:t>
              </m:r>
            </m:oMath>
            <w:r>
              <w:t xml:space="preserve">​</w:t>
            </w:r>
          </w:p>
        </w:tc>
        <w:tc>
          <w:tcPr/>
          <w:p>
            <w:pPr>
              <w:pStyle w:val="Compact"/>
            </w:pPr>
            <m:oMath>
              <m:sSub>
                <m:e>
                  <m:r>
                    <m:t>n</m:t>
                  </m:r>
                </m:e>
                <m:sub>
                  <m:r>
                    <m:t>r</m:t>
                  </m:r>
                  <m:r>
                    <m:t>e</m:t>
                  </m:r>
                  <m:r>
                    <m:t>q</m:t>
                  </m:r>
                </m:sub>
              </m:sSub>
              <m:r>
                <m:rPr>
                  <m:sty m:val="p"/>
                </m:rPr>
                <m:t>=</m:t>
              </m:r>
              <m:r>
                <m:t>3</m:t>
              </m:r>
            </m:oMath>
            <w:r>
              <w:t xml:space="preserve">​</w:t>
            </w:r>
          </w:p>
        </w:tc>
        <w:tc>
          <w:tcPr/>
          <w:p>
            <w:pPr>
              <w:pStyle w:val="Compact"/>
            </w:pPr>
            <m:oMath>
              <m:sSub>
                <m:e>
                  <m:r>
                    <m:t>n</m:t>
                  </m:r>
                </m:e>
                <m:sub>
                  <m:r>
                    <m:t>r</m:t>
                  </m:r>
                  <m:r>
                    <m:t>e</m:t>
                  </m:r>
                  <m:r>
                    <m:t>q</m:t>
                  </m:r>
                </m:sub>
              </m:sSub>
              <m:r>
                <m:rPr>
                  <m:sty m:val="p"/>
                </m:rPr>
                <m:t>=</m:t>
              </m:r>
              <m:r>
                <m:t>4</m:t>
              </m:r>
            </m:oMath>
            <w:r>
              <w:t xml:space="preserve">​</w:t>
            </w:r>
          </w:p>
        </w:tc>
        <w:tc>
          <w:tcPr/>
          <w:p>
            <w:pPr>
              <w:pStyle w:val="Compact"/>
            </w:pPr>
            <w:r>
              <w:t xml:space="preserve">Members Too Short for Required Bolts</w:t>
            </w:r>
          </w:p>
        </w:tc>
        <w:tc>
          <w:tcPr/>
          <w:p>
            <w:pPr>
              <w:pStyle w:val="Compact"/>
            </w:pPr>
            <w:r>
              <w:t xml:space="preserve">Share [%]</w:t>
            </w:r>
          </w:p>
        </w:tc>
        <w:tc>
          <w:tcPr/>
          <w:p>
            <w:pPr>
              <w:pStyle w:val="Compact"/>
            </w:pPr>
            <w:r>
              <w:t xml:space="preserve">Shortest Member [m]</w:t>
            </w:r>
          </w:p>
        </w:tc>
        <w:tc>
          <w:tcPr/>
          <w:p>
            <w:pPr>
              <w:pStyle w:val="Compact"/>
            </w:pPr>
            <w:r>
              <w:t xml:space="preserve">Peak Force in Short Members [kN]</w:t>
            </w:r>
          </w:p>
        </w:tc>
        <w:tc>
          <w:tcPr/>
          <w:p>
            <w:pPr>
              <w:pStyle w:val="Compact"/>
            </w:pPr>
            <w:r>
              <w:t xml:space="preserve">Members</w:t>
            </w:r>
            <w:r>
              <w:t xml:space="preserve"> </w:t>
            </w:r>
            <m:oMath>
              <m:r>
                <m:rPr>
                  <m:sty m:val="p"/>
                </m:rPr>
                <m:t>&lt;</m:t>
              </m:r>
              <m:r>
                <m:t>1.35</m:t>
              </m:r>
            </m:oMath>
            <w:r>
              <w:t xml:space="preserve"> </w:t>
            </w:r>
            <w:r>
              <w:t xml:space="preserve">m</w:t>
            </w:r>
          </w:p>
        </w:tc>
      </w:tr>
      <w:tr>
        <w:tc>
          <w:tcPr/>
          <w:p>
            <w:pPr>
              <w:pStyle w:val="Compact"/>
            </w:pPr>
            <w:r>
              <w:t xml:space="preserve">Geodesic</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2.24</w:t>
            </w:r>
          </w:p>
        </w:tc>
        <w:tc>
          <w:tcPr/>
          <w:p>
            <w:pPr>
              <w:pStyle w:val="Compact"/>
            </w:pPr>
            <w:r>
              <w:t xml:space="preserve">0.00</w:t>
            </w:r>
          </w:p>
        </w:tc>
        <w:tc>
          <w:tcPr/>
          <w:p>
            <w:pPr>
              <w:pStyle w:val="Compact"/>
            </w:pPr>
            <w:r>
              <w:t xml:space="preserve">0</w:t>
            </w:r>
          </w:p>
        </w:tc>
      </w:tr>
      <w:tr>
        <w:tc>
          <w:tcPr/>
          <w:p>
            <w:pPr>
              <w:pStyle w:val="Compact"/>
            </w:pPr>
            <w:r>
              <w:t xml:space="preserve">Kiewitt</w:t>
            </w:r>
          </w:p>
        </w:tc>
        <w:tc>
          <w:tcPr/>
          <w:p>
            <w:pPr>
              <w:pStyle w:val="Compact"/>
            </w:pPr>
            <w:r>
              <w:t xml:space="preserve">456</w:t>
            </w:r>
          </w:p>
        </w:tc>
        <w:tc>
          <w:tcPr/>
          <w:p>
            <w:pPr>
              <w:pStyle w:val="Compact"/>
            </w:pPr>
            <w:r>
              <w:t xml:space="preserve">388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2.09</w:t>
            </w:r>
          </w:p>
        </w:tc>
        <w:tc>
          <w:tcPr/>
          <w:p>
            <w:pPr>
              <w:pStyle w:val="Compact"/>
            </w:pPr>
            <w:r>
              <w:t xml:space="preserve">0.00</w:t>
            </w:r>
          </w:p>
        </w:tc>
        <w:tc>
          <w:tcPr/>
          <w:p>
            <w:pPr>
              <w:pStyle w:val="Compact"/>
            </w:pPr>
            <w:r>
              <w:t xml:space="preserve">0</w:t>
            </w:r>
          </w:p>
        </w:tc>
      </w:tr>
      <w:tr>
        <w:tc>
          <w:tcPr/>
          <w:p>
            <w:pPr>
              <w:pStyle w:val="Compact"/>
            </w:pPr>
            <w:r>
              <w:t xml:space="preserve">Ribbed</w:t>
            </w:r>
          </w:p>
        </w:tc>
        <w:tc>
          <w:tcPr/>
          <w:p>
            <w:pPr>
              <w:pStyle w:val="Compact"/>
            </w:pPr>
            <w:r>
              <w:t xml:space="preserve">1464</w:t>
            </w:r>
          </w:p>
        </w:tc>
        <w:tc>
          <w:tcPr/>
          <w:p>
            <w:pPr>
              <w:pStyle w:val="Compact"/>
            </w:pPr>
            <w:r>
              <w:t xml:space="preserve">813</w:t>
            </w:r>
          </w:p>
        </w:tc>
        <w:tc>
          <w:tcPr/>
          <w:p>
            <w:pPr>
              <w:pStyle w:val="Compact"/>
            </w:pPr>
            <w:r>
              <w:t xml:space="preserve">591</w:t>
            </w:r>
          </w:p>
        </w:tc>
        <w:tc>
          <w:tcPr/>
          <w:p>
            <w:pPr>
              <w:pStyle w:val="Compact"/>
            </w:pPr>
            <w:r>
              <w:t xml:space="preserve">60</w:t>
            </w:r>
          </w:p>
        </w:tc>
        <w:tc>
          <w:tcPr/>
          <w:p>
            <w:pPr>
              <w:pStyle w:val="Compact"/>
            </w:pPr>
            <w:r>
              <w:t xml:space="preserve">0</w:t>
            </w:r>
          </w:p>
        </w:tc>
        <w:tc>
          <w:tcPr/>
          <w:p>
            <w:pPr>
              <w:pStyle w:val="Compact"/>
            </w:pPr>
            <w:r>
              <w:t xml:space="preserve">12</w:t>
            </w:r>
          </w:p>
        </w:tc>
        <w:tc>
          <w:tcPr/>
          <w:p>
            <w:pPr>
              <w:pStyle w:val="Compact"/>
            </w:pPr>
            <w:r>
              <w:t xml:space="preserve">0.82%</w:t>
            </w:r>
          </w:p>
        </w:tc>
        <w:tc>
          <w:tcPr/>
          <w:p>
            <w:pPr>
              <w:pStyle w:val="Compact"/>
            </w:pPr>
            <w:r>
              <w:t xml:space="preserve">0.76</w:t>
            </w:r>
          </w:p>
        </w:tc>
        <w:tc>
          <w:tcPr/>
          <w:p>
            <w:pPr>
              <w:pStyle w:val="Compact"/>
            </w:pPr>
            <w:r>
              <w:t xml:space="preserve">31.25</w:t>
            </w:r>
          </w:p>
        </w:tc>
        <w:tc>
          <w:tcPr/>
          <w:p>
            <w:pPr>
              <w:pStyle w:val="Compact"/>
            </w:pPr>
            <w:r>
              <w:t xml:space="preserve">84</w:t>
            </w:r>
          </w:p>
        </w:tc>
      </w:tr>
    </w:tbl>
    <w:p>
      <w:pPr>
        <w:pStyle w:val="FirstParagraph"/>
      </w:pPr>
      <w:r>
        <w:rPr>
          <w:b/>
          <w:bCs/>
        </w:rPr>
        <w:t xml:space="preserve">Table 12.</w:t>
      </w:r>
      <w:r>
        <w:t xml:space="preserve"> </w:t>
      </w:r>
      <w:r>
        <w:t xml:space="preserve">Required bolt distribution per member end (NSR-10 allowable capacity of a #5 bolt interpolated for the culm diameter, group factor</w:t>
      </w:r>
      <w:r>
        <w:t xml:space="preserve"> </w:t>
      </w:r>
      <m:oMath>
        <m:sSub>
          <m:e>
            <m:r>
              <m:t>C</m:t>
            </m:r>
          </m:e>
          <m:sub>
            <m:r>
              <m:t>g</m:t>
            </m:r>
          </m:sub>
        </m:sSub>
      </m:oMath>
      <w:r>
        <w:t xml:space="preserve"> </w:t>
      </w:r>
      <w:r>
        <w:t xml:space="preserve">= 1.0, 1.0, 0.97, 0.93 for one to four bolts) and geometric spacing compliance.</w:t>
      </w:r>
    </w:p>
    <w:p>
      <w:pPr>
        <w:pStyle w:val="BodyText"/>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w:t>
      </w:r>
      <w:r>
        <w:t xml:space="preserve"> </w:t>
      </w:r>
      <m:oMath>
        <m:sSub>
          <m:e>
            <m:r>
              <m:t>C</m:t>
            </m:r>
          </m:e>
          <m:sub>
            <m:r>
              <m:t>g</m:t>
            </m:r>
          </m:sub>
        </m:sSub>
        <m:r>
          <m:rPr>
            <m:sty m:val="p"/>
          </m:rPr>
          <m:t>=</m:t>
        </m:r>
        <m:r>
          <m:t>0.93</m:t>
        </m:r>
      </m:oMath>
      <w:r>
        <w:t xml:space="preserve">). The largest joint demand-to-capacity ratios are 0.20 (Geodesic), 0.36 (Kiewitt) and 0.58 (Ribbed), and no member exceeds its capacity. The catalogue contains diameters up to 160 mm, which are beyond the table; the 150 mm value is used for them.</w:t>
      </w:r>
    </w:p>
    <w:p>
      <w:pPr>
        <w:pStyle w:val="BodyText"/>
      </w:pPr>
      <w:r>
        <w:t xml:space="preserve">Importantly, 12 members in the Ribbed dome (0.82%), each measuring 0.76 m, are geometrically too short to accommodate the three through-bolts required under NSR-10 minimum spacing provisions (</w:t>
      </w:r>
      <m:oMath>
        <m:r>
          <m:t>2</m:t>
        </m:r>
        <m:r>
          <m:rPr>
            <m:sty m:val="p"/>
          </m:rPr>
          <m:t>×</m:t>
        </m:r>
        <m:r>
          <m:rPr>
            <m:sty m:val="p"/>
          </m:rPr>
          <m:t>[</m:t>
        </m:r>
        <m:r>
          <m:t>100</m:t>
        </m:r>
        <m:r>
          <m:rPr>
            <m:sty m:val="p"/>
          </m:rPr>
          <m:t>+</m:t>
        </m:r>
        <m:r>
          <m:t>2</m:t>
        </m:r>
        <m:r>
          <m:rPr>
            <m:sty m:val="p"/>
          </m:rPr>
          <m:t>×</m:t>
        </m:r>
        <m:r>
          <m:t>150</m:t>
        </m:r>
        <m:r>
          <m:rPr>
            <m:sty m:val="p"/>
          </m:rPr>
          <m:t>]</m:t>
        </m:r>
        <m:r>
          <m:rPr>
            <m:sty m:val="p"/>
          </m:rPr>
          <m:t>+</m:t>
        </m:r>
        <m:r>
          <m:t>150</m:t>
        </m:r>
        <m:r>
          <m:rPr>
            <m:sty m:val="p"/>
          </m:rPr>
          <m:t>=</m:t>
        </m:r>
        <m:r>
          <m:t>0.95</m:t>
        </m:r>
      </m:oMath>
      <w:r>
        <w:t xml:space="preserve"> </w:t>
      </w:r>
      <w:r>
        <w:t xml:space="preserve">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pPr>
        <w:pStyle w:val="Heading2"/>
      </w:pPr>
      <w:bookmarkStart w:id="56" w:name="_f1cb54f593e4ce88603ee7bc1989c922d730b3b"/>
      <w:r>
        <w:t xml:space="preserve">4.4 Embodied carbon of the optimal designs and connection dominance</w:t>
      </w:r>
      <w:bookmarkEnd w:id="56"/>
    </w:p>
    <w:p>
      <w:pPr>
        <w:pStyle w:val="FirstParagraph"/>
      </w:pPr>
      <w:r>
        <w:t xml:space="preserve">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Culm Mass [t]</w:t>
            </w:r>
          </w:p>
        </w:tc>
        <w:tc>
          <w:tcPr/>
          <w:p>
            <w:pPr>
              <w:pStyle w:val="Compact"/>
            </w:pPr>
            <w:r>
              <w:t xml:space="preserve">Steel Hardware [t]</w:t>
            </w:r>
          </w:p>
        </w:tc>
        <w:tc>
          <w:tcPr/>
          <w:p>
            <w:pPr>
              <w:pStyle w:val="Compact"/>
            </w:pPr>
            <w:r>
              <w:t xml:space="preserve">Grout Mass [t]</w:t>
            </w:r>
          </w:p>
        </w:tc>
        <w:tc>
          <w:tcPr/>
          <w:p>
            <w:pPr>
              <w:pStyle w:val="Compact"/>
            </w:pPr>
            <w:r>
              <w:t xml:space="preserve">Total Mass [t]</w:t>
            </w:r>
          </w:p>
        </w:tc>
        <w:tc>
          <w:tcPr/>
          <w:p>
            <w:pPr>
              <w:pStyle w:val="Compact"/>
            </w:pPr>
            <w:r>
              <w:t xml:space="preserve">Culm Carbon [%]</w:t>
            </w:r>
          </w:p>
        </w:tc>
        <w:tc>
          <w:tcPr/>
          <w:p>
            <w:pPr>
              <w:pStyle w:val="Compact"/>
            </w:pPr>
            <w:r>
              <w:t xml:space="preserve">Steel Carbon [%]</w:t>
            </w:r>
          </w:p>
        </w:tc>
        <w:tc>
          <w:tcPr/>
          <w:p>
            <w:pPr>
              <w:pStyle w:val="Compact"/>
            </w:pPr>
            <w:r>
              <w:t xml:space="preserve">Grout Carbon [%]</w:t>
            </w:r>
          </w:p>
        </w:tc>
        <w:tc>
          <w:tcPr/>
          <w:p>
            <w:pPr>
              <w:pStyle w:val="Compact"/>
            </w:pPr>
            <w:r>
              <w:t xml:space="preserve">Joint Total Carbon [%]</w:t>
            </w:r>
          </w:p>
        </w:tc>
        <w:tc>
          <w:tcPr/>
          <w:p>
            <w:pPr>
              <w:pStyle w:val="Compact"/>
            </w:pPr>
            <w:r>
              <w:t xml:space="preserve">Total Carbon [t CO₂e]</w:t>
            </w:r>
          </w:p>
        </w:tc>
      </w:tr>
      <w:tr>
        <w:tc>
          <w:tcPr/>
          <w:p>
            <w:pPr>
              <w:pStyle w:val="Compact"/>
            </w:pPr>
            <w:r>
              <w:t xml:space="preserve">Geodesic</w:t>
            </w:r>
          </w:p>
        </w:tc>
        <w:tc>
          <w:tcPr/>
          <w:p>
            <w:pPr>
              <w:pStyle w:val="Compact"/>
            </w:pPr>
            <w:r>
              <w:t xml:space="preserve">0.59</w:t>
            </w:r>
          </w:p>
        </w:tc>
        <w:tc>
          <w:tcPr/>
          <w:p>
            <w:pPr>
              <w:pStyle w:val="Compact"/>
            </w:pPr>
            <w:r>
              <w:t xml:space="preserve">0.21</w:t>
            </w:r>
          </w:p>
        </w:tc>
        <w:tc>
          <w:tcPr/>
          <w:p>
            <w:pPr>
              <w:pStyle w:val="Compact"/>
            </w:pPr>
            <w:r>
              <w:t xml:space="preserve">1.06</w:t>
            </w:r>
          </w:p>
        </w:tc>
        <w:tc>
          <w:tcPr/>
          <w:p>
            <w:pPr>
              <w:pStyle w:val="Compact"/>
            </w:pPr>
            <w:r>
              <w:t xml:space="preserve">1.86</w:t>
            </w:r>
          </w:p>
        </w:tc>
        <w:tc>
          <w:tcPr/>
          <w:p>
            <w:pPr>
              <w:pStyle w:val="Compact"/>
            </w:pPr>
            <w:r>
              <w:t xml:space="preserve">20.36%</w:t>
            </w:r>
          </w:p>
        </w:tc>
        <w:tc>
          <w:tcPr/>
          <w:p>
            <w:pPr>
              <w:pStyle w:val="Compact"/>
            </w:pPr>
            <w:r>
              <w:t xml:space="preserve">33.15%</w:t>
            </w:r>
          </w:p>
        </w:tc>
        <w:tc>
          <w:tcPr/>
          <w:p>
            <w:pPr>
              <w:pStyle w:val="Compact"/>
            </w:pPr>
            <w:r>
              <w:t xml:space="preserve">46.49%</w:t>
            </w:r>
          </w:p>
        </w:tc>
        <w:tc>
          <w:tcPr/>
          <w:p>
            <w:pPr>
              <w:pStyle w:val="Compact"/>
            </w:pPr>
            <w:r>
              <w:t xml:space="preserve">79.64%</w:t>
            </w:r>
          </w:p>
        </w:tc>
        <w:tc>
          <w:tcPr/>
          <w:p>
            <w:pPr>
              <w:pStyle w:val="Compact"/>
            </w:pPr>
            <w:r>
              <w:t xml:space="preserve">0.71</w:t>
            </w:r>
          </w:p>
        </w:tc>
      </w:tr>
      <w:tr>
        <w:tc>
          <w:tcPr/>
          <w:p>
            <w:pPr>
              <w:pStyle w:val="Compact"/>
            </w:pPr>
            <w:r>
              <w:t xml:space="preserve">Kiewitt</w:t>
            </w:r>
          </w:p>
        </w:tc>
        <w:tc>
          <w:tcPr/>
          <w:p>
            <w:pPr>
              <w:pStyle w:val="Compact"/>
            </w:pPr>
            <w:r>
              <w:t xml:space="preserve">4.19</w:t>
            </w:r>
          </w:p>
        </w:tc>
        <w:tc>
          <w:tcPr/>
          <w:p>
            <w:pPr>
              <w:pStyle w:val="Compact"/>
            </w:pPr>
            <w:r>
              <w:t xml:space="preserve">0.79</w:t>
            </w:r>
          </w:p>
        </w:tc>
        <w:tc>
          <w:tcPr/>
          <w:p>
            <w:pPr>
              <w:pStyle w:val="Compact"/>
            </w:pPr>
            <w:r>
              <w:t xml:space="preserve">9.43</w:t>
            </w:r>
          </w:p>
        </w:tc>
        <w:tc>
          <w:tcPr/>
          <w:p>
            <w:pPr>
              <w:pStyle w:val="Compact"/>
            </w:pPr>
            <w:r>
              <w:t xml:space="preserve">14.41</w:t>
            </w:r>
          </w:p>
        </w:tc>
        <w:tc>
          <w:tcPr/>
          <w:p>
            <w:pPr>
              <w:pStyle w:val="Compact"/>
            </w:pPr>
            <w:r>
              <w:t xml:space="preserve">21.03%</w:t>
            </w:r>
          </w:p>
        </w:tc>
        <w:tc>
          <w:tcPr/>
          <w:p>
            <w:pPr>
              <w:pStyle w:val="Compact"/>
            </w:pPr>
            <w:r>
              <w:t xml:space="preserve">18.55%</w:t>
            </w:r>
          </w:p>
        </w:tc>
        <w:tc>
          <w:tcPr/>
          <w:p>
            <w:pPr>
              <w:pStyle w:val="Compact"/>
            </w:pPr>
            <w:r>
              <w:t xml:space="preserve">60.42%</w:t>
            </w:r>
          </w:p>
        </w:tc>
        <w:tc>
          <w:tcPr/>
          <w:p>
            <w:pPr>
              <w:pStyle w:val="Compact"/>
            </w:pPr>
            <w:r>
              <w:t xml:space="preserve">78.97%</w:t>
            </w:r>
          </w:p>
        </w:tc>
        <w:tc>
          <w:tcPr/>
          <w:p>
            <w:pPr>
              <w:pStyle w:val="Compact"/>
            </w:pPr>
            <w:r>
              <w:t xml:space="preserve">4.84</w:t>
            </w:r>
          </w:p>
        </w:tc>
      </w:tr>
      <w:tr>
        <w:tc>
          <w:tcPr/>
          <w:p>
            <w:pPr>
              <w:pStyle w:val="Compact"/>
            </w:pPr>
            <w:r>
              <w:t xml:space="preserve">Ribbed</w:t>
            </w:r>
          </w:p>
        </w:tc>
        <w:tc>
          <w:tcPr/>
          <w:p>
            <w:pPr>
              <w:pStyle w:val="Compact"/>
            </w:pPr>
            <w:r>
              <w:t xml:space="preserve">6.76</w:t>
            </w:r>
          </w:p>
        </w:tc>
        <w:tc>
          <w:tcPr/>
          <w:p>
            <w:pPr>
              <w:pStyle w:val="Compact"/>
            </w:pPr>
            <w:r>
              <w:t xml:space="preserve">2.47</w:t>
            </w:r>
          </w:p>
        </w:tc>
        <w:tc>
          <w:tcPr/>
          <w:p>
            <w:pPr>
              <w:pStyle w:val="Compact"/>
            </w:pPr>
            <w:r>
              <w:t xml:space="preserve">19.02</w:t>
            </w:r>
          </w:p>
        </w:tc>
        <w:tc>
          <w:tcPr/>
          <w:p>
            <w:pPr>
              <w:pStyle w:val="Compact"/>
            </w:pPr>
            <w:r>
              <w:t xml:space="preserve">28.26</w:t>
            </w:r>
          </w:p>
        </w:tc>
        <w:tc>
          <w:tcPr/>
          <w:p>
            <w:pPr>
              <w:pStyle w:val="Compact"/>
            </w:pPr>
            <w:r>
              <w:t xml:space="preserve">15.90%</w:t>
            </w:r>
          </w:p>
        </w:tc>
        <w:tc>
          <w:tcPr/>
          <w:p>
            <w:pPr>
              <w:pStyle w:val="Compact"/>
            </w:pPr>
            <w:r>
              <w:t xml:space="preserve">27.05%</w:t>
            </w:r>
          </w:p>
        </w:tc>
        <w:tc>
          <w:tcPr/>
          <w:p>
            <w:pPr>
              <w:pStyle w:val="Compact"/>
            </w:pPr>
            <w:r>
              <w:t xml:space="preserve">57.05%</w:t>
            </w:r>
          </w:p>
        </w:tc>
        <w:tc>
          <w:tcPr/>
          <w:p>
            <w:pPr>
              <w:pStyle w:val="Compact"/>
            </w:pPr>
            <w:r>
              <w:t xml:space="preserve">84.10%</w:t>
            </w:r>
          </w:p>
        </w:tc>
        <w:tc>
          <w:tcPr/>
          <w:p>
            <w:pPr>
              <w:pStyle w:val="Compact"/>
            </w:pPr>
            <w:r>
              <w:t xml:space="preserve">10.34</w:t>
            </w:r>
          </w:p>
        </w:tc>
      </w:tr>
    </w:tbl>
    <w:p>
      <w:pPr>
        <w:pStyle w:val="FirstParagraph"/>
      </w:pPr>
      <w:r>
        <w:rPr>
          <w:b/>
          <w:bCs/>
        </w:rPr>
        <w:t xml:space="preserve">Table 13.</w:t>
      </w:r>
      <w:r>
        <w:t xml:space="preserve"> </w:t>
      </w:r>
      <w:r>
        <w:t xml:space="preserve">Structural mass and embodied carbon breakdown of the lightest bamboo space dome designs (baseline:</w:t>
      </w:r>
      <w:r>
        <w:t xml:space="preserve"> </w:t>
      </w:r>
      <m:oMath>
        <m:r>
          <m:t>E</m:t>
        </m:r>
        <m:sSub>
          <m:e>
            <m:r>
              <m:t>C</m:t>
            </m:r>
          </m:e>
          <m:sub>
            <m:r>
              <m:t>b</m:t>
            </m:r>
          </m:sub>
        </m:sSub>
        <m:r>
          <m:rPr>
            <m:sty m:val="p"/>
          </m:rPr>
          <m:t>=</m:t>
        </m:r>
        <m:r>
          <m:t>0.243</m:t>
        </m:r>
        <m:r>
          <m:rPr>
            <m:sty m:val="p"/>
          </m:rPr>
          <m:t>,</m:t>
        </m:r>
        <m:r>
          <m:t>E</m:t>
        </m:r>
        <m:sSub>
          <m:e>
            <m:r>
              <m:t>C</m:t>
            </m:r>
          </m:e>
          <m:sub>
            <m:r>
              <m:t>s</m:t>
            </m:r>
          </m:sub>
        </m:sSub>
        <m:r>
          <m:rPr>
            <m:sty m:val="p"/>
          </m:rPr>
          <m:t>=</m:t>
        </m:r>
        <m:r>
          <m:t>1.13</m:t>
        </m:r>
        <m:r>
          <m:rPr>
            <m:sty m:val="p"/>
          </m:rPr>
          <m:t>,</m:t>
        </m:r>
        <m:r>
          <m:t>E</m:t>
        </m:r>
        <m:sSub>
          <m:e>
            <m:r>
              <m:t>C</m:t>
            </m:r>
          </m:e>
          <m:sub>
            <m:r>
              <m:t>m</m:t>
            </m:r>
          </m:sub>
        </m:sSub>
        <m:r>
          <m:rPr>
            <m:sty m:val="p"/>
          </m:rPr>
          <m:t>=</m:t>
        </m:r>
        <m:r>
          <m:t>0.310</m:t>
        </m:r>
        <m:sSub>
          <m:e>
            <m:r>
              <m:rPr>
                <m:nor/>
              </m:rPr>
              <m:t> kg CO</m:t>
            </m:r>
          </m:e>
          <m:sub>
            <m:r>
              <m:t>2</m:t>
            </m:r>
          </m:sub>
        </m:sSub>
        <m:r>
          <m:rPr>
            <m:nor/>
          </m:rPr>
          <m:t>e/kg</m:t>
        </m:r>
        <m:r>
          <m:rPr>
            <m:sty m:val="p"/>
          </m:rPr>
          <m:t>,</m:t>
        </m:r>
        <m:r>
          <m:t>β</m:t>
        </m:r>
        <m:r>
          <m:rPr>
            <m:sty m:val="p"/>
          </m:rPr>
          <m:t>=</m:t>
        </m:r>
        <m:r>
          <m:t>2.5</m:t>
        </m:r>
      </m:oMath>
      <w:r>
        <w:t xml:space="preserve">).</w:t>
      </w:r>
    </w:p>
    <w:p>
      <w:pPr>
        <w:pStyle w:val="BodyText"/>
      </w:pPr>
      <w:r>
        <w:t xml:space="preserve">Table 14 summarizes parametric sensitivity sweeps across culm emission factors (</w:t>
      </w:r>
      <m:oMath>
        <m:r>
          <m:t>E</m:t>
        </m:r>
        <m:sSub>
          <m:e>
            <m:r>
              <m:t>C</m:t>
            </m:r>
          </m:e>
          <m:sub>
            <m:r>
              <m:t>b</m:t>
            </m:r>
          </m:sub>
        </m:sSub>
      </m:oMath>
      <w:r>
        <w:t xml:space="preserve">), steel emissions (</w:t>
      </w:r>
      <m:oMath>
        <m:r>
          <m:t>E</m:t>
        </m:r>
        <m:sSub>
          <m:e>
            <m:r>
              <m:t>C</m:t>
            </m:r>
          </m:e>
          <m:sub>
            <m:r>
              <m:t>s</m:t>
            </m:r>
          </m:sub>
        </m:sSub>
      </m:oMath>
      <w:r>
        <w:t xml:space="preserve">), grout length ratios (</w:t>
      </w:r>
      <m:oMath>
        <m:r>
          <m:t>β</m:t>
        </m:r>
      </m:oMath>
      <w:r>
        <w:t xml:space="preserve">),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Dome Topology</w:t>
            </w:r>
          </w:p>
        </w:tc>
        <w:tc>
          <w:tcPr/>
          <w:p>
            <w:pPr>
              <w:pStyle w:val="Compact"/>
            </w:pPr>
            <w:r>
              <w:t xml:space="preserve">Baseline</w:t>
            </w:r>
          </w:p>
        </w:tc>
        <w:tc>
          <w:tcPr/>
          <w:p>
            <w:pPr>
              <w:pStyle w:val="Compact"/>
            </w:pPr>
            <m:oMath>
              <m:r>
                <m:t>β</m:t>
              </m:r>
              <m:r>
                <m:rPr>
                  <m:sty m:val="p"/>
                </m:rPr>
                <m:t>=</m:t>
              </m:r>
              <m:r>
                <m:t>1.5</m:t>
              </m:r>
            </m:oMath>
            <w:r>
              <w:t xml:space="preserve">​</w:t>
            </w:r>
          </w:p>
        </w:tc>
        <w:tc>
          <w:tcPr/>
          <w:p>
            <w:pPr>
              <w:pStyle w:val="Compact"/>
            </w:pPr>
            <m:oMath>
              <m:r>
                <m:t>β</m:t>
              </m:r>
              <m:r>
                <m:rPr>
                  <m:sty m:val="p"/>
                </m:rPr>
                <m:t>=</m:t>
              </m:r>
              <m:r>
                <m:t>3.5</m:t>
              </m:r>
            </m:oMath>
            <w:r>
              <w:t xml:space="preserve">​</w:t>
            </w:r>
          </w:p>
        </w:tc>
        <w:tc>
          <w:tcPr/>
          <w:p>
            <w:pPr>
              <w:pStyle w:val="Compact"/>
            </w:pPr>
            <m:oMath>
              <m:r>
                <m:t>E</m:t>
              </m:r>
              <m:sSub>
                <m:e>
                  <m:r>
                    <m:t>C</m:t>
                  </m:r>
                </m:e>
                <m:sub>
                  <m:r>
                    <m:t>s</m:t>
                  </m:r>
                  <m:r>
                    <m:t>t</m:t>
                  </m:r>
                  <m:r>
                    <m:t>e</m:t>
                  </m:r>
                  <m:r>
                    <m:t>e</m:t>
                  </m:r>
                  <m:r>
                    <m:t>l</m:t>
                  </m:r>
                </m:sub>
              </m:sSub>
              <m:r>
                <m:rPr>
                  <m:sty m:val="p"/>
                </m:rPr>
                <m:t>=</m:t>
              </m:r>
              <m:r>
                <m:t>0.565</m:t>
              </m:r>
            </m:oMath>
            <w:r>
              <w:t xml:space="preserve">​</w:t>
            </w:r>
          </w:p>
        </w:tc>
        <w:tc>
          <w:tcPr/>
          <w:p>
            <w:pPr>
              <w:pStyle w:val="Compact"/>
            </w:pPr>
            <m:oMath>
              <m:r>
                <m:t>E</m:t>
              </m:r>
              <m:sSub>
                <m:e>
                  <m:r>
                    <m:t>C</m:t>
                  </m:r>
                </m:e>
                <m:sub>
                  <m:r>
                    <m:t>s</m:t>
                  </m:r>
                  <m:r>
                    <m:t>t</m:t>
                  </m:r>
                  <m:r>
                    <m:t>e</m:t>
                  </m:r>
                  <m:r>
                    <m:t>e</m:t>
                  </m:r>
                  <m:r>
                    <m:t>l</m:t>
                  </m:r>
                </m:sub>
              </m:sSub>
              <m:r>
                <m:rPr>
                  <m:sty m:val="p"/>
                </m:rPr>
                <m:t>=</m:t>
              </m:r>
              <m:r>
                <m:t>2.26</m:t>
              </m:r>
            </m:oMath>
            <w:r>
              <w:t xml:space="preserve">​</w:t>
            </w:r>
          </w:p>
        </w:tc>
        <w:tc>
          <w:tcPr/>
          <w:p>
            <w:pPr>
              <w:pStyle w:val="Compact"/>
            </w:pPr>
            <m:oMath>
              <m:r>
                <m:t>E</m:t>
              </m:r>
              <m:sSub>
                <m:e>
                  <m:r>
                    <m:t>C</m:t>
                  </m:r>
                </m:e>
                <m:sub>
                  <m:r>
                    <m:t>b</m:t>
                  </m:r>
                  <m:r>
                    <m:t>a</m:t>
                  </m:r>
                  <m:r>
                    <m:t>m</m:t>
                  </m:r>
                  <m:r>
                    <m:t>b</m:t>
                  </m:r>
                  <m:r>
                    <m:t>o</m:t>
                  </m:r>
                  <m:r>
                    <m:t>o</m:t>
                  </m:r>
                </m:sub>
              </m:sSub>
              <m:r>
                <m:rPr>
                  <m:sty m:val="p"/>
                </m:rPr>
                <m:t>=</m:t>
              </m:r>
              <m:r>
                <m:t>0.0324</m:t>
              </m:r>
            </m:oMath>
            <w:r>
              <w:t xml:space="preserve">​</w:t>
            </w:r>
          </w:p>
        </w:tc>
        <w:tc>
          <w:tcPr/>
          <w:p>
            <w:pPr>
              <w:pStyle w:val="Compact"/>
            </w:pPr>
            <m:oMath>
              <m:r>
                <m:t>E</m:t>
              </m:r>
              <m:sSub>
                <m:e>
                  <m:r>
                    <m:t>C</m:t>
                  </m:r>
                </m:e>
                <m:sub>
                  <m:r>
                    <m:t>b</m:t>
                  </m:r>
                  <m:r>
                    <m:t>a</m:t>
                  </m:r>
                  <m:r>
                    <m:t>m</m:t>
                  </m:r>
                  <m:r>
                    <m:t>b</m:t>
                  </m:r>
                  <m:r>
                    <m:t>o</m:t>
                  </m:r>
                  <m:r>
                    <m:t>o</m:t>
                  </m:r>
                </m:sub>
              </m:sSub>
              <m:r>
                <m:rPr>
                  <m:sty m:val="p"/>
                </m:rPr>
                <m:t>=</m:t>
              </m:r>
              <m:r>
                <m:t>1.23</m:t>
              </m:r>
            </m:oMath>
            <w:r>
              <w:t xml:space="preserve">​</w:t>
            </w:r>
          </w:p>
        </w:tc>
        <w:tc>
          <w:tcPr/>
          <w:p>
            <w:pPr>
              <w:pStyle w:val="Compact"/>
            </w:pPr>
            <w:r>
              <w:t xml:space="preserve">Combined Scenario</w:t>
            </w:r>
          </w:p>
        </w:tc>
      </w:tr>
      <w:tr>
        <w:tc>
          <w:tcPr/>
          <w:p>
            <w:pPr>
              <w:pStyle w:val="Compact"/>
            </w:pPr>
            <w:r>
              <w:t xml:space="preserve">Geodesic</w:t>
            </w:r>
          </w:p>
        </w:tc>
        <w:tc>
          <w:tcPr/>
          <w:p>
            <w:pPr>
              <w:pStyle w:val="Compact"/>
            </w:pPr>
            <w:r>
              <w:t xml:space="preserve">79.64%</w:t>
            </w:r>
          </w:p>
        </w:tc>
        <w:tc>
          <w:tcPr/>
          <w:p>
            <w:pPr>
              <w:pStyle w:val="Compact"/>
            </w:pPr>
            <w:r>
              <w:t xml:space="preserve">74.99%</w:t>
            </w:r>
          </w:p>
        </w:tc>
        <w:tc>
          <w:tcPr/>
          <w:p>
            <w:pPr>
              <w:pStyle w:val="Compact"/>
            </w:pPr>
            <w:r>
              <w:t xml:space="preserve">82.83%</w:t>
            </w:r>
          </w:p>
        </w:tc>
        <w:tc>
          <w:tcPr/>
          <w:p>
            <w:pPr>
              <w:pStyle w:val="Compact"/>
            </w:pPr>
            <w:r>
              <w:t xml:space="preserve">75.59%</w:t>
            </w:r>
          </w:p>
        </w:tc>
        <w:tc>
          <w:tcPr/>
          <w:p>
            <w:pPr>
              <w:pStyle w:val="Compact"/>
            </w:pPr>
            <w:r>
              <w:t xml:space="preserve">84.71%</w:t>
            </w:r>
          </w:p>
        </w:tc>
        <w:tc>
          <w:tcPr/>
          <w:p>
            <w:pPr>
              <w:pStyle w:val="Compact"/>
            </w:pPr>
            <w:r>
              <w:t xml:space="preserve">96.70%</w:t>
            </w:r>
          </w:p>
        </w:tc>
        <w:tc>
          <w:tcPr/>
          <w:p>
            <w:pPr>
              <w:pStyle w:val="Compact"/>
            </w:pPr>
            <w:r>
              <w:t xml:space="preserve">43.59%</w:t>
            </w:r>
          </w:p>
        </w:tc>
        <w:tc>
          <w:tcPr/>
          <w:p>
            <w:pPr>
              <w:pStyle w:val="Compact"/>
            </w:pPr>
            <w:r>
              <w:t xml:space="preserve">42.1%</w:t>
            </w:r>
          </w:p>
        </w:tc>
      </w:tr>
      <w:tr>
        <w:tc>
          <w:tcPr/>
          <w:p>
            <w:pPr>
              <w:pStyle w:val="Compact"/>
            </w:pPr>
            <w:r>
              <w:t xml:space="preserve">Kiewitt</w:t>
            </w:r>
          </w:p>
        </w:tc>
        <w:tc>
          <w:tcPr/>
          <w:p>
            <w:pPr>
              <w:pStyle w:val="Compact"/>
            </w:pPr>
            <w:r>
              <w:t xml:space="preserve">78.97%</w:t>
            </w:r>
          </w:p>
        </w:tc>
        <w:tc>
          <w:tcPr/>
          <w:p>
            <w:pPr>
              <w:pStyle w:val="Compact"/>
            </w:pPr>
            <w:r>
              <w:t xml:space="preserve">72.27%</w:t>
            </w:r>
          </w:p>
        </w:tc>
        <w:tc>
          <w:tcPr/>
          <w:p>
            <w:pPr>
              <w:pStyle w:val="Compact"/>
            </w:pPr>
            <w:r>
              <w:t xml:space="preserve">83.06%</w:t>
            </w:r>
          </w:p>
        </w:tc>
        <w:tc>
          <w:tcPr/>
          <w:p>
            <w:pPr>
              <w:pStyle w:val="Compact"/>
            </w:pPr>
            <w:r>
              <w:t xml:space="preserve">76.82%</w:t>
            </w:r>
          </w:p>
        </w:tc>
        <w:tc>
          <w:tcPr/>
          <w:p>
            <w:pPr>
              <w:pStyle w:val="Compact"/>
            </w:pPr>
            <w:r>
              <w:t xml:space="preserve">82.26%</w:t>
            </w:r>
          </w:p>
        </w:tc>
        <w:tc>
          <w:tcPr/>
          <w:p>
            <w:pPr>
              <w:pStyle w:val="Compact"/>
            </w:pPr>
            <w:r>
              <w:t xml:space="preserve">96.57%</w:t>
            </w:r>
          </w:p>
        </w:tc>
        <w:tc>
          <w:tcPr/>
          <w:p>
            <w:pPr>
              <w:pStyle w:val="Compact"/>
            </w:pPr>
            <w:r>
              <w:t xml:space="preserve">42.59%</w:t>
            </w:r>
          </w:p>
        </w:tc>
        <w:tc>
          <w:tcPr/>
          <w:p>
            <w:pPr>
              <w:pStyle w:val="Compact"/>
            </w:pPr>
            <w:r>
              <w:t xml:space="preserve">38.8%</w:t>
            </w:r>
          </w:p>
        </w:tc>
      </w:tr>
      <w:tr>
        <w:tc>
          <w:tcPr/>
          <w:p>
            <w:pPr>
              <w:pStyle w:val="Compact"/>
            </w:pPr>
            <w:r>
              <w:t xml:space="preserve">Ribbed</w:t>
            </w:r>
          </w:p>
        </w:tc>
        <w:tc>
          <w:tcPr/>
          <w:p>
            <w:pPr>
              <w:pStyle w:val="Compact"/>
            </w:pPr>
            <w:r>
              <w:t xml:space="preserve">84.10%</w:t>
            </w:r>
          </w:p>
        </w:tc>
        <w:tc>
          <w:tcPr/>
          <w:p>
            <w:pPr>
              <w:pStyle w:val="Compact"/>
            </w:pPr>
            <w:r>
              <w:t xml:space="preserve">79.40%</w:t>
            </w:r>
          </w:p>
        </w:tc>
        <w:tc>
          <w:tcPr/>
          <w:p>
            <w:pPr>
              <w:pStyle w:val="Compact"/>
            </w:pPr>
            <w:r>
              <w:t xml:space="preserve">87.05%</w:t>
            </w:r>
          </w:p>
        </w:tc>
        <w:tc>
          <w:tcPr/>
          <w:p>
            <w:pPr>
              <w:pStyle w:val="Compact"/>
            </w:pPr>
            <w:r>
              <w:t xml:space="preserve">81.61%</w:t>
            </w:r>
          </w:p>
        </w:tc>
        <w:tc>
          <w:tcPr/>
          <w:p>
            <w:pPr>
              <w:pStyle w:val="Compact"/>
            </w:pPr>
            <w:r>
              <w:t xml:space="preserve">87.48%</w:t>
            </w:r>
          </w:p>
        </w:tc>
        <w:tc>
          <w:tcPr/>
          <w:p>
            <w:pPr>
              <w:pStyle w:val="Compact"/>
            </w:pPr>
            <w:r>
              <w:t xml:space="preserve">97.54%</w:t>
            </w:r>
          </w:p>
        </w:tc>
        <w:tc>
          <w:tcPr/>
          <w:p>
            <w:pPr>
              <w:pStyle w:val="Compact"/>
            </w:pPr>
            <w:r>
              <w:t xml:space="preserve">51.10%</w:t>
            </w:r>
          </w:p>
        </w:tc>
        <w:tc>
          <w:tcPr/>
          <w:p>
            <w:pPr>
              <w:pStyle w:val="Compact"/>
            </w:pPr>
            <w:r>
              <w:t xml:space="preserve">48.4%</w:t>
            </w:r>
          </w:p>
        </w:tc>
      </w:tr>
    </w:tbl>
    <w:p>
      <w:pPr>
        <w:pStyle w:val="FirstParagraph"/>
      </w:pPr>
      <w:r>
        <w:rPr>
          <w:b/>
          <w:bCs/>
        </w:rPr>
        <w:t xml:space="preserve">Table 14.</w:t>
      </w:r>
      <w:r>
        <w:t xml:space="preserve"> </w:t>
      </w:r>
      <w:r>
        <w:t xml:space="preserve">Parametric sensitivity of connection carbon share [%] across individual and combined parameter sweeps. Combined scenario assumes</w:t>
      </w:r>
      <w:r>
        <w:t xml:space="preserve"> </w:t>
      </w:r>
      <m:oMath>
        <m:r>
          <m:t>β</m:t>
        </m:r>
        <m:r>
          <m:rPr>
            <m:sty m:val="p"/>
          </m:rPr>
          <m:t>=</m:t>
        </m:r>
        <m:r>
          <m:t>1.5</m:t>
        </m:r>
        <m:r>
          <m:rPr>
            <m:sty m:val="p"/>
          </m:rPr>
          <m:t>,</m:t>
        </m:r>
        <m:r>
          <m:t>E</m:t>
        </m:r>
        <m:sSub>
          <m:e>
            <m:r>
              <m:t>C</m:t>
            </m:r>
          </m:e>
          <m:sub>
            <m:r>
              <m:t>s</m:t>
            </m:r>
          </m:sub>
        </m:sSub>
        <m:r>
          <m:rPr>
            <m:sty m:val="p"/>
          </m:rPr>
          <m:t>=</m:t>
        </m:r>
        <m:r>
          <m:t>0.565</m:t>
        </m:r>
        <m:r>
          <m:rPr>
            <m:sty m:val="p"/>
          </m:rPr>
          <m:t>,</m:t>
        </m:r>
        <m:r>
          <m:t>E</m:t>
        </m:r>
        <m:sSub>
          <m:e>
            <m:r>
              <m:t>C</m:t>
            </m:r>
          </m:e>
          <m:sub>
            <m:r>
              <m:t>b</m:t>
            </m:r>
          </m:sub>
        </m:sSub>
        <m:r>
          <m:rPr>
            <m:sty m:val="p"/>
          </m:rPr>
          <m:t>=</m:t>
        </m:r>
        <m:r>
          <m:t>0.50</m:t>
        </m:r>
        <m:r>
          <m:rPr>
            <m:sty m:val="p"/>
          </m:rPr>
          <m:t>,</m:t>
        </m:r>
        <m:r>
          <m:t>E</m:t>
        </m:r>
        <m:sSub>
          <m:e>
            <m:r>
              <m:t>C</m:t>
            </m:r>
          </m:e>
          <m:sub>
            <m:r>
              <m:t>m</m:t>
            </m:r>
          </m:sub>
        </m:sSub>
        <m:r>
          <m:rPr>
            <m:sty m:val="p"/>
          </m:rPr>
          <m:t>=</m:t>
        </m:r>
        <m:r>
          <m:t>0.155</m:t>
        </m:r>
      </m:oMath>
      <w:r>
        <w:t xml:space="preserve">.</w:t>
      </w:r>
    </w:p>
    <w:p>
      <w:pPr>
        <w:pStyle w:val="BodyText"/>
      </w:pPr>
      <w:r>
        <w:t xml:space="preserve">The bamboo culm emission factor exerts the single largest influence. At the lower-bound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96.57% to 97.54% of total structure emissions. When culm emissions are increased to the highest value tested (</w:t>
      </w:r>
      <m:oMath>
        <m:r>
          <m:t>E</m:t>
        </m:r>
        <m:sSub>
          <m:e>
            <m:r>
              <m:t>C</m:t>
            </m:r>
          </m:e>
          <m:sub>
            <m:r>
              <m:t>b</m:t>
            </m:r>
          </m:sub>
        </m:sSub>
        <m:r>
          <m:rPr>
            <m:sty m:val="p"/>
          </m:rPr>
          <m:t>=</m:t>
        </m:r>
        <m:r>
          <m:t>1.23</m:t>
        </m:r>
      </m:oMath>
      <w:r>
        <w:t xml:space="preserve">), connections represent 42.59% to 51.10% of total emissions. Across all single-parameter sweeps the connection share lies between 42.6% and 97.5%.</w:t>
      </w:r>
    </w:p>
    <w:p>
      <w:pPr>
        <w:pStyle w:val="Heading2"/>
      </w:pPr>
      <w:bookmarkStart w:id="57" w:name="_ad59797f8d357bb7d947f09b146ebfe5ee5e349"/>
      <w:r>
        <w:t xml:space="preserve">4.5 Optimum-versus-optimum comparison with steel space domes</w:t>
      </w:r>
      <w:bookmarkEnd w:id="57"/>
    </w:p>
    <w:p>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w:t>
      </w:r>
      <w:r>
        <w:t xml:space="preserve"> </w:t>
      </w:r>
      <m:oMath>
        <m:r>
          <m:t>E</m:t>
        </m:r>
        <m:sSub>
          <m:e>
            <m:r>
              <m:t>C</m:t>
            </m:r>
          </m:e>
          <m:sub>
            <m:r>
              <m:t>b</m:t>
            </m:r>
          </m:sub>
        </m:sSub>
        <m:r>
          <m:rPr>
            <m:sty m:val="p"/>
          </m:rPr>
          <m:t>=</m:t>
        </m:r>
        <m:r>
          <m:t>1.23</m:t>
        </m:r>
      </m:oMath>
      <w:r>
        <w:t xml:space="preserve">).</w:t>
      </w:r>
    </w:p>
    <w:p>
      <w:pPr>
        <w:pStyle w:val="BodyText"/>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2.06, and 2.15). On the 40 m Ribbed dome, injected grout alone contributes 19.02 t (186.6 kN) out of the 28.26 t total system mass.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Structural System</w:t>
            </w:r>
          </w:p>
        </w:tc>
        <w:tc>
          <w:tcPr/>
          <w:p>
            <w:pPr>
              <w:pStyle w:val="Compact"/>
            </w:pPr>
            <w:r>
              <w:t xml:space="preserve">Members (</w:t>
            </w:r>
            <m:oMath>
              <m:sSub>
                <m:e>
                  <m:r>
                    <m:t>N</m:t>
                  </m:r>
                </m:e>
                <m:sub>
                  <m:r>
                    <m:t>m</m:t>
                  </m:r>
                </m:sub>
              </m:sSub>
            </m:oMath>
            <w:r>
              <w:t xml:space="preserve">)</w:t>
            </w:r>
          </w:p>
        </w:tc>
        <w:tc>
          <w:tcPr/>
          <w:p>
            <w:pPr>
              <w:pStyle w:val="Compact"/>
            </w:pPr>
            <w:r>
              <w:t xml:space="preserve">Member Weight [kN]</w:t>
            </w:r>
          </w:p>
        </w:tc>
        <w:tc>
          <w:tcPr/>
          <w:p>
            <w:pPr>
              <w:pStyle w:val="Compact"/>
            </w:pPr>
            <w:r>
              <w:t xml:space="preserve">Total System Weight [kN]</w:t>
            </w:r>
          </w:p>
        </w:tc>
        <w:tc>
          <w:tcPr/>
          <w:p>
            <w:pPr>
              <w:pStyle w:val="Compact"/>
            </w:pPr>
            <w:r>
              <w:t xml:space="preserve">Embodied Carbon [t CO₂e]</w:t>
            </w:r>
          </w:p>
        </w:tc>
      </w:tr>
      <w:tr>
        <w:tc>
          <w:tcPr/>
          <w:p>
            <w:pPr>
              <w:pStyle w:val="Compact"/>
            </w:pPr>
            <w:r>
              <w:t xml:space="preserve">Steel - Reference (354 members)</w:t>
            </w:r>
          </w:p>
        </w:tc>
        <w:tc>
          <w:tcPr/>
          <w:p>
            <w:pPr>
              <w:pStyle w:val="Compact"/>
            </w:pPr>
            <w:r>
              <w:t xml:space="preserve">354</w:t>
            </w:r>
          </w:p>
        </w:tc>
        <w:tc>
          <w:tcPr/>
          <w:p>
            <w:pPr>
              <w:pStyle w:val="Compact"/>
            </w:pPr>
            <w:r>
              <w:t xml:space="preserve">129.012</w:t>
            </w:r>
          </w:p>
        </w:tc>
        <w:tc>
          <w:tcPr/>
          <w:p>
            <w:pPr>
              <w:pStyle w:val="Compact"/>
            </w:pPr>
            <w:r>
              <w:t xml:space="preserve">134.976</w:t>
            </w:r>
          </w:p>
        </w:tc>
        <w:tc>
          <w:tcPr/>
          <w:p>
            <w:pPr>
              <w:pStyle w:val="Compact"/>
            </w:pPr>
            <w:r>
              <w:t xml:space="preserve">23.057</w:t>
            </w:r>
          </w:p>
        </w:tc>
      </w:tr>
      <w:tr>
        <w:tc>
          <w:tcPr/>
          <w:p>
            <w:pPr>
              <w:pStyle w:val="Compact"/>
            </w:pPr>
            <w:r>
              <w:t xml:space="preserve">Steel - Ribbed (1464 members)</w:t>
            </w:r>
          </w:p>
        </w:tc>
        <w:tc>
          <w:tcPr/>
          <w:p>
            <w:pPr>
              <w:pStyle w:val="Compact"/>
            </w:pPr>
            <w:r>
              <w:t xml:space="preserve">1464</w:t>
            </w:r>
          </w:p>
        </w:tc>
        <w:tc>
          <w:tcPr/>
          <w:p>
            <w:pPr>
              <w:pStyle w:val="Compact"/>
            </w:pPr>
            <w:r>
              <w:t xml:space="preserve">104.685</w:t>
            </w:r>
          </w:p>
        </w:tc>
        <w:tc>
          <w:tcPr/>
          <w:p>
            <w:pPr>
              <w:pStyle w:val="Compact"/>
            </w:pPr>
            <w:r>
              <w:t xml:space="preserve">128.955</w:t>
            </w:r>
          </w:p>
        </w:tc>
        <w:tc>
          <w:tcPr/>
          <w:p>
            <w:pPr>
              <w:pStyle w:val="Compact"/>
            </w:pPr>
            <w:r>
              <w:t xml:space="preserve">20.947</w:t>
            </w:r>
          </w:p>
        </w:tc>
      </w:tr>
      <w:tr>
        <w:tc>
          <w:tcPr/>
          <w:p>
            <w:pPr>
              <w:pStyle w:val="Compact"/>
            </w:pPr>
            <w:r>
              <w:t xml:space="preserve">Steel - Kiewitt (456 members)</w:t>
            </w:r>
          </w:p>
        </w:tc>
        <w:tc>
          <w:tcPr/>
          <w:p>
            <w:pPr>
              <w:pStyle w:val="Compact"/>
            </w:pPr>
            <w:r>
              <w:t xml:space="preserve">456</w:t>
            </w:r>
          </w:p>
        </w:tc>
        <w:tc>
          <w:tcPr/>
          <w:p>
            <w:pPr>
              <w:pStyle w:val="Compact"/>
            </w:pPr>
            <w:r>
              <w:t xml:space="preserve">60.666</w:t>
            </w:r>
          </w:p>
        </w:tc>
        <w:tc>
          <w:tcPr/>
          <w:p>
            <w:pPr>
              <w:pStyle w:val="Compact"/>
            </w:pPr>
            <w:r>
              <w:t xml:space="preserve">68.456</w:t>
            </w:r>
          </w:p>
        </w:tc>
        <w:tc>
          <w:tcPr/>
          <w:p>
            <w:pPr>
              <w:pStyle w:val="Compact"/>
            </w:pPr>
            <w:r>
              <w:t xml:space="preserve">11.416</w:t>
            </w:r>
          </w:p>
        </w:tc>
      </w:tr>
      <w:tr>
        <w:tc>
          <w:tcPr/>
          <w:p>
            <w:pPr>
              <w:pStyle w:val="Compact"/>
            </w:pPr>
            <w:r>
              <w:t xml:space="preserve">Steel - Geodesic (115 members)</w:t>
            </w:r>
          </w:p>
        </w:tc>
        <w:tc>
          <w:tcPr/>
          <w:p>
            <w:pPr>
              <w:pStyle w:val="Compact"/>
            </w:pPr>
            <w:r>
              <w:t xml:space="preserve">115</w:t>
            </w:r>
          </w:p>
        </w:tc>
        <w:tc>
          <w:tcPr/>
          <w:p>
            <w:pPr>
              <w:pStyle w:val="Compact"/>
            </w:pPr>
            <w:r>
              <w:t xml:space="preserve">11.404</w:t>
            </w:r>
          </w:p>
        </w:tc>
        <w:tc>
          <w:tcPr/>
          <w:p>
            <w:pPr>
              <w:pStyle w:val="Compact"/>
            </w:pPr>
            <w:r>
              <w:t xml:space="preserve">13.434</w:t>
            </w:r>
          </w:p>
        </w:tc>
        <w:tc>
          <w:tcPr/>
          <w:p>
            <w:pPr>
              <w:pStyle w:val="Compact"/>
            </w:pPr>
            <w:r>
              <w:t xml:space="preserve">2.211</w:t>
            </w:r>
          </w:p>
        </w:tc>
      </w:tr>
      <w:tr>
        <w:tc>
          <w:tcPr/>
          <w:p>
            <w:pPr>
              <w:pStyle w:val="Compact"/>
            </w:pPr>
            <w:r>
              <w:t xml:space="preserve">Bamboo - Geodesic (115 members)</w:t>
            </w:r>
          </w:p>
        </w:tc>
        <w:tc>
          <w:tcPr/>
          <w:p>
            <w:pPr>
              <w:pStyle w:val="Compact"/>
            </w:pPr>
            <w:r>
              <w:t xml:space="preserve">115</w:t>
            </w:r>
          </w:p>
        </w:tc>
        <w:tc>
          <w:tcPr/>
          <w:p>
            <w:pPr>
              <w:pStyle w:val="Compact"/>
            </w:pPr>
            <w:r>
              <w:t xml:space="preserve">5.800</w:t>
            </w:r>
          </w:p>
        </w:tc>
        <w:tc>
          <w:tcPr/>
          <w:p>
            <w:pPr>
              <w:pStyle w:val="Compact"/>
            </w:pPr>
            <w:r>
              <w:t xml:space="preserve">18.211</w:t>
            </w:r>
          </w:p>
        </w:tc>
        <w:tc>
          <w:tcPr/>
          <w:p>
            <w:pPr>
              <w:pStyle w:val="Compact"/>
            </w:pPr>
            <w:r>
              <w:t xml:space="preserve">0.706</w:t>
            </w:r>
          </w:p>
        </w:tc>
      </w:tr>
      <w:tr>
        <w:tc>
          <w:tcPr/>
          <w:p>
            <w:pPr>
              <w:pStyle w:val="Compact"/>
            </w:pPr>
            <w:r>
              <w:t xml:space="preserve">Bamboo - Kiewitt (456 members)</w:t>
            </w:r>
          </w:p>
        </w:tc>
        <w:tc>
          <w:tcPr/>
          <w:p>
            <w:pPr>
              <w:pStyle w:val="Compact"/>
            </w:pPr>
            <w:r>
              <w:t xml:space="preserve">456</w:t>
            </w:r>
          </w:p>
        </w:tc>
        <w:tc>
          <w:tcPr/>
          <w:p>
            <w:pPr>
              <w:pStyle w:val="Compact"/>
            </w:pPr>
            <w:r>
              <w:t xml:space="preserve">41.058</w:t>
            </w:r>
          </w:p>
        </w:tc>
        <w:tc>
          <w:tcPr/>
          <w:p>
            <w:pPr>
              <w:pStyle w:val="Compact"/>
            </w:pPr>
            <w:r>
              <w:t xml:space="preserve">141.320</w:t>
            </w:r>
          </w:p>
        </w:tc>
        <w:tc>
          <w:tcPr/>
          <w:p>
            <w:pPr>
              <w:pStyle w:val="Compact"/>
            </w:pPr>
            <w:r>
              <w:t xml:space="preserve">4.836</w:t>
            </w:r>
          </w:p>
        </w:tc>
      </w:tr>
      <w:tr>
        <w:tc>
          <w:tcPr/>
          <w:p>
            <w:pPr>
              <w:pStyle w:val="Compact"/>
            </w:pPr>
            <w:r>
              <w:t xml:space="preserve">Bamboo - Ribbed (1464 members)</w:t>
            </w:r>
          </w:p>
        </w:tc>
        <w:tc>
          <w:tcPr/>
          <w:p>
            <w:pPr>
              <w:pStyle w:val="Compact"/>
            </w:pPr>
            <w:r>
              <w:t xml:space="preserve">1464</w:t>
            </w:r>
          </w:p>
        </w:tc>
        <w:tc>
          <w:tcPr/>
          <w:p>
            <w:pPr>
              <w:pStyle w:val="Compact"/>
            </w:pPr>
            <w:r>
              <w:t xml:space="preserve">66.352</w:t>
            </w:r>
          </w:p>
        </w:tc>
        <w:tc>
          <w:tcPr/>
          <w:p>
            <w:pPr>
              <w:pStyle w:val="Compact"/>
            </w:pPr>
            <w:r>
              <w:t xml:space="preserve">277.222</w:t>
            </w:r>
          </w:p>
        </w:tc>
        <w:tc>
          <w:tcPr/>
          <w:p>
            <w:pPr>
              <w:pStyle w:val="Compact"/>
            </w:pPr>
            <w:r>
              <w:t xml:space="preserve">10.336</w:t>
            </w:r>
          </w:p>
        </w:tc>
      </w:tr>
    </w:tbl>
    <w:p>
      <w:pPr>
        <w:pStyle w:val="FirstParagraph"/>
      </w:pPr>
      <w:r>
        <w:rPr>
          <w:b/>
          <w:bCs/>
        </w:rPr>
        <w:t xml:space="preserve">Table 15.</w:t>
      </w:r>
      <w:r>
        <w:t xml:space="preserve"> </w:t>
      </w:r>
      <w:r>
        <w:t xml:space="preserve">Optimum structural mass and embodied carbon comparison between steel and bamboo space domes.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Dome Topology</w:t>
            </w:r>
          </w:p>
        </w:tc>
        <w:tc>
          <w:tcPr/>
          <w:p>
            <w:pPr>
              <w:pStyle w:val="Compact"/>
            </w:pPr>
            <w:r>
              <w:t xml:space="preserve">Bamboo / Steel Member Weight Ratio</w:t>
            </w:r>
          </w:p>
        </w:tc>
        <w:tc>
          <w:tcPr/>
          <w:p>
            <w:pPr>
              <w:pStyle w:val="Compact"/>
            </w:pPr>
            <w:r>
              <w:t xml:space="preserve">Bamboo / Steel Total CO₂e Ratio</w:t>
            </w:r>
          </w:p>
        </w:tc>
      </w:tr>
      <w:tr>
        <w:tc>
          <w:tcPr/>
          <w:p>
            <w:pPr>
              <w:pStyle w:val="Compact"/>
            </w:pPr>
            <w:r>
              <w:t xml:space="preserve">Geodesic</w:t>
            </w:r>
          </w:p>
        </w:tc>
        <w:tc>
          <w:tcPr/>
          <w:p>
            <w:pPr>
              <w:pStyle w:val="Compact"/>
            </w:pPr>
            <w:r>
              <w:t xml:space="preserve">0.509</w:t>
            </w:r>
          </w:p>
        </w:tc>
        <w:tc>
          <w:tcPr/>
          <w:p>
            <w:pPr>
              <w:pStyle w:val="Compact"/>
            </w:pPr>
            <w:r>
              <w:t xml:space="preserve">0.319</w:t>
            </w:r>
          </w:p>
        </w:tc>
      </w:tr>
      <w:tr>
        <w:tc>
          <w:tcPr/>
          <w:p>
            <w:pPr>
              <w:pStyle w:val="Compact"/>
            </w:pPr>
            <w:r>
              <w:t xml:space="preserve">Kiewitt</w:t>
            </w:r>
          </w:p>
        </w:tc>
        <w:tc>
          <w:tcPr/>
          <w:p>
            <w:pPr>
              <w:pStyle w:val="Compact"/>
            </w:pPr>
            <w:r>
              <w:t xml:space="preserve">0.677</w:t>
            </w:r>
          </w:p>
        </w:tc>
        <w:tc>
          <w:tcPr/>
          <w:p>
            <w:pPr>
              <w:pStyle w:val="Compact"/>
            </w:pPr>
            <w:r>
              <w:t xml:space="preserve">0.424</w:t>
            </w:r>
          </w:p>
        </w:tc>
      </w:tr>
      <w:tr>
        <w:tc>
          <w:tcPr/>
          <w:p>
            <w:pPr>
              <w:pStyle w:val="Compact"/>
            </w:pPr>
            <w:r>
              <w:t xml:space="preserve">Ribbed</w:t>
            </w:r>
          </w:p>
        </w:tc>
        <w:tc>
          <w:tcPr/>
          <w:p>
            <w:pPr>
              <w:pStyle w:val="Compact"/>
            </w:pPr>
            <w:r>
              <w:t xml:space="preserve">0.634</w:t>
            </w:r>
          </w:p>
        </w:tc>
        <w:tc>
          <w:tcPr/>
          <w:p>
            <w:pPr>
              <w:pStyle w:val="Compact"/>
            </w:pPr>
            <w:r>
              <w:t xml:space="preserve">0.493</w:t>
            </w:r>
          </w:p>
        </w:tc>
      </w:tr>
    </w:tbl>
    <w:p>
      <w:pPr>
        <w:pStyle w:val="FirstParagraph"/>
      </w:pPr>
      <w:r>
        <w:rPr>
          <w:b/>
          <w:bCs/>
        </w:rPr>
        <w:t xml:space="preserve">Table 16.</w:t>
      </w:r>
      <w:r>
        <w:t xml:space="preserve"> </w:t>
      </w:r>
      <w:r>
        <w:t xml:space="preserve">Ratios of optimal bamboo to steel domes for member weight and system embodied carbon.</w:t>
      </w:r>
    </w:p>
    <w:p>
      <w:pPr>
        <w:pStyle w:val="BodyText"/>
      </w:pPr>
      <w:r>
        <w:t xml:space="preserve">Figure 7 illustrates the comparative member weight (Figure 7a) and component-level embodied carbon breakdown (Figure 7b) across all structural configurations.</w:t>
      </w:r>
    </w:p>
    <w:p>
      <w:pPr>
        <w:pStyle w:val="CaptionedFigure"/>
      </w:pPr>
      <w:r>
        <w:drawing>
          <wp:inline>
            <wp:extent cx="5334000" cy="2832849"/>
            <wp:effectExtent b="0" l="0" r="0" t="0"/>
            <wp:docPr descr="Figure 7a" title="" id="59" name="Picture"/>
            <a:graphic>
              <a:graphicData uri="http://schemas.openxmlformats.org/drawingml/2006/picture">
                <pic:pic>
                  <pic:nvPicPr>
                    <pic:cNvPr descr="../../04_Results/figures/F5_material_weight.png" id="60" name="Picture"/>
                    <pic:cNvPicPr>
                      <a:picLocks noChangeArrowheads="1" noChangeAspect="1"/>
                    </pic:cNvPicPr>
                  </pic:nvPicPr>
                  <pic:blipFill>
                    <a:blip r:embed="rId58"/>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7a</w:t>
      </w:r>
    </w:p>
    <w:p>
      <w:pPr>
        <w:pStyle w:val="FirstParagraph"/>
      </w:pPr>
      <w:r>
        <w:rPr>
          <w:b/>
          <w:bCs/>
        </w:rPr>
        <w:t xml:space="preserve">Figure 7a.</w:t>
      </w:r>
      <w:r>
        <w:t xml:space="preserve"> </w:t>
      </w:r>
      <w:r>
        <w:t xml:space="preserve">Structural member weight [kN] of the benchmark steel domes (best of 30 runs) and the lightest bamboo dome designs. The reference model is the classical 354-member steel dome.</w:t>
      </w:r>
    </w:p>
    <w:p>
      <w:pPr>
        <w:pStyle w:val="CaptionedFigure"/>
      </w:pPr>
      <w:r>
        <w:drawing>
          <wp:inline>
            <wp:extent cx="5334000" cy="2832849"/>
            <wp:effectExtent b="0" l="0" r="0" t="0"/>
            <wp:docPr descr="Figure 7b" title="" id="62" name="Picture"/>
            <a:graphic>
              <a:graphicData uri="http://schemas.openxmlformats.org/drawingml/2006/picture">
                <pic:pic>
                  <pic:nvPicPr>
                    <pic:cNvPr descr="../../04_Results/figures/F5_material_co2.png" id="63" name="Picture"/>
                    <pic:cNvPicPr>
                      <a:picLocks noChangeArrowheads="1" noChangeAspect="1"/>
                    </pic:cNvPicPr>
                  </pic:nvPicPr>
                  <pic:blipFill>
                    <a:blip r:embed="rId61"/>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7b</w:t>
      </w:r>
    </w:p>
    <w:p>
      <w:pPr>
        <w:pStyle w:val="FirstParagraph"/>
      </w:pPr>
      <w:r>
        <w:rPr>
          <w:b/>
          <w:bCs/>
        </w:rPr>
        <w:t xml:space="preserve">Figure 7b.</w:t>
      </w:r>
      <w:r>
        <w:t xml:space="preserve"> </w:t>
      </w:r>
      <w:r>
        <w:t xml:space="preserve">Cradle-to-gate embodied carbon emissions [t CO₂e] of the structural configurations shown in Figure 7a, partitioned by structural component: primary members (steel tube or bamboo culm), connection steel hardware, and cementitious grout infill.</w:t>
      </w:r>
    </w:p>
    <w:p>
      <w:pPr>
        <w:pStyle w:val="Heading2"/>
      </w:pPr>
      <w:bookmarkStart w:id="64" w:name="_adc78ca2668cac0b4fd62c716c7c3d0bad70d05"/>
      <w:r>
        <w:t xml:space="preserve">4.6 International material cost evaluation</w:t>
      </w:r>
      <w:bookmarkEnd w:id="64"/>
    </w:p>
    <w:p>
      <w:pPr>
        <w:pStyle w:val="FirstParagraph"/>
      </w:pPr>
      <w:r>
        <w:t xml:space="preserve">Table 17 documents the ratio of bamboo to steel material cost across diameter-price scaling exponents</w:t>
      </w:r>
      <w:r>
        <w:t xml:space="preserve"> </w:t>
      </w:r>
      <m:oMath>
        <m:r>
          <m:t>α</m:t>
        </m:r>
        <m:r>
          <m:rPr>
            <m:sty m:val="p"/>
          </m:rPr>
          <m:t>∈</m:t>
        </m:r>
        <m:r>
          <m:rPr>
            <m:sty m:val="p"/>
          </m:rPr>
          <m:t>[</m:t>
        </m:r>
        <m:r>
          <m:t>1.5</m:t>
        </m:r>
        <m:r>
          <m:rPr>
            <m:sty m:val="p"/>
          </m:rPr>
          <m:t>,</m:t>
        </m:r>
        <m:r>
          <m:t>3.0</m:t>
        </m:r>
        <m:r>
          <m:rPr>
            <m:sty m:val="p"/>
          </m:rPr>
          <m:t>]</m:t>
        </m:r>
      </m:oMath>
      <w:r>
        <w:t xml:space="preserve"> </w:t>
      </w:r>
      <w:r>
        <w:t xml:space="preserve">in the primary Indonesian market.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Exponent</w:t>
            </w:r>
            <w:r>
              <w:t xml:space="preserve"> </w:t>
            </w:r>
            <m:oMath>
              <m:r>
                <m:t>α</m:t>
              </m:r>
            </m:oMath>
          </w:p>
        </w:tc>
        <w:tc>
          <w:tcPr/>
          <w:p>
            <w:pPr>
              <w:pStyle w:val="Compact"/>
            </w:pPr>
            <w:r>
              <w:t xml:space="preserve">Geodesic Cost Ratio</w:t>
            </w:r>
          </w:p>
        </w:tc>
        <w:tc>
          <w:tcPr/>
          <w:p>
            <w:pPr>
              <w:pStyle w:val="Compact"/>
            </w:pPr>
            <w:r>
              <w:t xml:space="preserve">Kiewitt Cost Ratio</w:t>
            </w:r>
          </w:p>
        </w:tc>
        <w:tc>
          <w:tcPr/>
          <w:p>
            <w:pPr>
              <w:pStyle w:val="Compact"/>
            </w:pPr>
            <w:r>
              <w:t xml:space="preserve">Ribbed Cost Ratio</w:t>
            </w:r>
          </w:p>
        </w:tc>
        <w:tc>
          <w:tcPr/>
          <w:p>
            <w:pPr>
              <w:pStyle w:val="Compact"/>
            </w:pPr>
            <w:r>
              <w:t xml:space="preserve">Geodesic Grout [%]</w:t>
            </w:r>
          </w:p>
        </w:tc>
        <w:tc>
          <w:tcPr/>
          <w:p>
            <w:pPr>
              <w:pStyle w:val="Compact"/>
            </w:pPr>
            <w:r>
              <w:t xml:space="preserve">Kiewitt Grout [%]</w:t>
            </w:r>
          </w:p>
        </w:tc>
        <w:tc>
          <w:tcPr/>
          <w:p>
            <w:pPr>
              <w:pStyle w:val="Compact"/>
            </w:pPr>
            <w:r>
              <w:t xml:space="preserve">Ribbed Grout [%]</w:t>
            </w:r>
          </w:p>
        </w:tc>
      </w:tr>
      <w:tr>
        <w:tc>
          <w:tcPr/>
          <w:p>
            <w:pPr>
              <w:pStyle w:val="Compact"/>
            </w:pPr>
            <w:r>
              <w:t xml:space="preserve">1.5</w:t>
            </w:r>
          </w:p>
        </w:tc>
        <w:tc>
          <w:tcPr/>
          <w:p>
            <w:pPr>
              <w:pStyle w:val="Compact"/>
            </w:pPr>
            <w:r>
              <w:t xml:space="preserve">0.612</w:t>
            </w:r>
          </w:p>
        </w:tc>
        <w:tc>
          <w:tcPr/>
          <w:p>
            <w:pPr>
              <w:pStyle w:val="Compact"/>
            </w:pPr>
            <w:r>
              <w:t xml:space="preserve">0.869</w:t>
            </w:r>
          </w:p>
        </w:tc>
        <w:tc>
          <w:tcPr/>
          <w:p>
            <w:pPr>
              <w:pStyle w:val="Compact"/>
            </w:pPr>
            <w:r>
              <w:t xml:space="preserve">0.981</w:t>
            </w:r>
          </w:p>
        </w:tc>
        <w:tc>
          <w:tcPr/>
          <w:p>
            <w:pPr>
              <w:pStyle w:val="Compact"/>
            </w:pPr>
            <w:r>
              <w:t xml:space="preserve">59.6%</w:t>
            </w:r>
          </w:p>
        </w:tc>
        <w:tc>
          <w:tcPr/>
          <w:p>
            <w:pPr>
              <w:pStyle w:val="Compact"/>
            </w:pPr>
            <w:r>
              <w:t xml:space="preserve">73.4%</w:t>
            </w:r>
          </w:p>
        </w:tc>
        <w:tc>
          <w:tcPr/>
          <w:p>
            <w:pPr>
              <w:pStyle w:val="Compact"/>
            </w:pPr>
            <w:r>
              <w:t xml:space="preserve">69.7%</w:t>
            </w:r>
          </w:p>
        </w:tc>
      </w:tr>
      <w:tr>
        <w:tc>
          <w:tcPr/>
          <w:p>
            <w:pPr>
              <w:pStyle w:val="Compact"/>
            </w:pPr>
            <w:r>
              <w:t xml:space="preserve">2.0</w:t>
            </w:r>
          </w:p>
        </w:tc>
        <w:tc>
          <w:tcPr/>
          <w:p>
            <w:pPr>
              <w:pStyle w:val="Compact"/>
            </w:pPr>
            <w:r>
              <w:t xml:space="preserve">0.639</w:t>
            </w:r>
          </w:p>
        </w:tc>
        <w:tc>
          <w:tcPr/>
          <w:p>
            <w:pPr>
              <w:pStyle w:val="Compact"/>
            </w:pPr>
            <w:r>
              <w:t xml:space="preserve">0.926</w:t>
            </w:r>
          </w:p>
        </w:tc>
        <w:tc>
          <w:tcPr/>
          <w:p>
            <w:pPr>
              <w:pStyle w:val="Compact"/>
            </w:pPr>
            <w:r>
              <w:t xml:space="preserve">1.021</w:t>
            </w:r>
          </w:p>
        </w:tc>
        <w:tc>
          <w:tcPr/>
          <w:p>
            <w:pPr>
              <w:pStyle w:val="Compact"/>
            </w:pPr>
            <w:r>
              <w:t xml:space="preserve">57.1%</w:t>
            </w:r>
          </w:p>
        </w:tc>
        <w:tc>
          <w:tcPr/>
          <w:p>
            <w:pPr>
              <w:pStyle w:val="Compact"/>
            </w:pPr>
            <w:r>
              <w:t xml:space="preserve">68.9%</w:t>
            </w:r>
          </w:p>
        </w:tc>
        <w:tc>
          <w:tcPr/>
          <w:p>
            <w:pPr>
              <w:pStyle w:val="Compact"/>
            </w:pPr>
            <w:r>
              <w:t xml:space="preserve">67.0%</w:t>
            </w:r>
          </w:p>
        </w:tc>
      </w:tr>
      <w:tr>
        <w:tc>
          <w:tcPr/>
          <w:p>
            <w:pPr>
              <w:pStyle w:val="Compact"/>
            </w:pPr>
            <w:r>
              <w:t xml:space="preserve">2.5</w:t>
            </w:r>
          </w:p>
        </w:tc>
        <w:tc>
          <w:tcPr/>
          <w:p>
            <w:pPr>
              <w:pStyle w:val="Compact"/>
            </w:pPr>
            <w:r>
              <w:t xml:space="preserve">0.676</w:t>
            </w:r>
          </w:p>
        </w:tc>
        <w:tc>
          <w:tcPr/>
          <w:p>
            <w:pPr>
              <w:pStyle w:val="Compact"/>
            </w:pPr>
            <w:r>
              <w:t xml:space="preserve">1.010</w:t>
            </w:r>
          </w:p>
        </w:tc>
        <w:tc>
          <w:tcPr/>
          <w:p>
            <w:pPr>
              <w:pStyle w:val="Compact"/>
            </w:pPr>
            <w:r>
              <w:t xml:space="preserve">1.076</w:t>
            </w:r>
          </w:p>
        </w:tc>
        <w:tc>
          <w:tcPr/>
          <w:p>
            <w:pPr>
              <w:pStyle w:val="Compact"/>
            </w:pPr>
            <w:r>
              <w:t xml:space="preserve">54.0%</w:t>
            </w:r>
          </w:p>
        </w:tc>
        <w:tc>
          <w:tcPr/>
          <w:p>
            <w:pPr>
              <w:pStyle w:val="Compact"/>
            </w:pPr>
            <w:r>
              <w:t xml:space="preserve">63.1%</w:t>
            </w:r>
          </w:p>
        </w:tc>
        <w:tc>
          <w:tcPr/>
          <w:p>
            <w:pPr>
              <w:pStyle w:val="Compact"/>
            </w:pPr>
            <w:r>
              <w:t xml:space="preserve">63.5%</w:t>
            </w:r>
          </w:p>
        </w:tc>
      </w:tr>
      <w:tr>
        <w:tc>
          <w:tcPr/>
          <w:p>
            <w:pPr>
              <w:pStyle w:val="Compact"/>
            </w:pPr>
            <w:r>
              <w:t xml:space="preserve">3.0</w:t>
            </w:r>
          </w:p>
        </w:tc>
        <w:tc>
          <w:tcPr/>
          <w:p>
            <w:pPr>
              <w:pStyle w:val="Compact"/>
            </w:pPr>
            <w:r>
              <w:t xml:space="preserve">0.724</w:t>
            </w:r>
          </w:p>
        </w:tc>
        <w:tc>
          <w:tcPr/>
          <w:p>
            <w:pPr>
              <w:pStyle w:val="Compact"/>
            </w:pPr>
            <w:r>
              <w:t xml:space="preserve">1.137</w:t>
            </w:r>
          </w:p>
        </w:tc>
        <w:tc>
          <w:tcPr/>
          <w:p>
            <w:pPr>
              <w:pStyle w:val="Compact"/>
            </w:pPr>
            <w:r>
              <w:t xml:space="preserve">1.154</w:t>
            </w:r>
          </w:p>
        </w:tc>
        <w:tc>
          <w:tcPr/>
          <w:p>
            <w:pPr>
              <w:pStyle w:val="Compact"/>
            </w:pPr>
            <w:r>
              <w:t xml:space="preserve">50.4%</w:t>
            </w:r>
          </w:p>
        </w:tc>
        <w:tc>
          <w:tcPr/>
          <w:p>
            <w:pPr>
              <w:pStyle w:val="Compact"/>
            </w:pPr>
            <w:r>
              <w:t xml:space="preserve">56.1%</w:t>
            </w:r>
          </w:p>
        </w:tc>
        <w:tc>
          <w:tcPr/>
          <w:p>
            <w:pPr>
              <w:pStyle w:val="Compact"/>
            </w:pPr>
            <w:r>
              <w:t xml:space="preserve">59.2%</w:t>
            </w:r>
          </w:p>
        </w:tc>
      </w:tr>
    </w:tbl>
    <w:p>
      <w:pPr>
        <w:pStyle w:val="FirstParagraph"/>
      </w:pPr>
      <w:r>
        <w:rPr>
          <w:b/>
          <w:bCs/>
        </w:rPr>
        <w:t xml:space="preserve">Table 17.</w:t>
      </w:r>
      <w:r>
        <w:t xml:space="preserve"> </w:t>
      </w:r>
      <w:r>
        <w:t xml:space="preserve">Ratio of bamboo to steel material cost (</w:t>
      </w:r>
      <m:oMath>
        <m:sSub>
          <m:e>
            <m:r>
              <m:t>C</m:t>
            </m:r>
          </m:e>
          <m:sub>
            <m:r>
              <m:t>b</m:t>
            </m:r>
            <m:r>
              <m:t>a</m:t>
            </m:r>
            <m:r>
              <m:t>m</m:t>
            </m:r>
            <m:r>
              <m:t>b</m:t>
            </m:r>
            <m:r>
              <m:t>o</m:t>
            </m:r>
            <m:r>
              <m:t>o</m:t>
            </m:r>
          </m:sub>
        </m:sSub>
        <m:r>
          <m:rPr>
            <m:sty m:val="p"/>
          </m:rPr>
          <m:t>/</m:t>
        </m:r>
        <m:sSub>
          <m:e>
            <m:r>
              <m:t>C</m:t>
            </m:r>
          </m:e>
          <m:sub>
            <m:r>
              <m:t>s</m:t>
            </m:r>
            <m:r>
              <m:t>t</m:t>
            </m:r>
            <m:r>
              <m:t>e</m:t>
            </m:r>
            <m:r>
              <m:t>e</m:t>
            </m:r>
            <m:r>
              <m:t>l</m:t>
            </m:r>
          </m:sub>
        </m:sSub>
      </m:oMath>
      <w:r>
        <w:t xml:space="preserve">) and grout cost share in the Indonesian baseline scenario.</w:t>
      </w:r>
    </w:p>
    <w:p>
      <w:pPr>
        <w:pStyle w:val="BodyText"/>
      </w:pPr>
      <w:r>
        <w:t xml:space="preserve">For the nominal 16 m Geodesic dome, bamboo is cheaper across all scaling exponents (ratios 0.612–0.724). For the 32 m Kiewitt dome, bamboo remains cost-competitive for</w:t>
      </w:r>
      <w:r>
        <w:t xml:space="preserve"> </w:t>
      </w:r>
      <m:oMath>
        <m:r>
          <m:t>α</m:t>
        </m:r>
        <m:r>
          <m:rPr>
            <m:sty m:val="p"/>
          </m:rPr>
          <m:t>≤</m:t>
        </m:r>
        <m:r>
          <m:t>2.0</m:t>
        </m:r>
      </m:oMath>
      <w:r>
        <w:t xml:space="preserve"> </w:t>
      </w:r>
      <w:r>
        <w:t xml:space="preserve">(0.869–0.926). For the 40 m Ribbed dome, bamboo is cheaper only at</w:t>
      </w:r>
      <w:r>
        <w:t xml:space="preserve"> </w:t>
      </w:r>
      <m:oMath>
        <m:r>
          <m:t>α</m:t>
        </m:r>
        <m:r>
          <m:rPr>
            <m:sty m:val="p"/>
          </m:rPr>
          <m:t>=</m:t>
        </m:r>
        <m:r>
          <m:t>1.5</m:t>
        </m:r>
      </m:oMath>
      <w:r>
        <w:t xml:space="preserve"> </w:t>
      </w:r>
      <w:r>
        <w:t xml:space="preserve">(0.981) and becomes more expensive at</w:t>
      </w:r>
      <w:r>
        <w:t xml:space="preserve"> </w:t>
      </w:r>
      <m:oMath>
        <m:r>
          <m:t>α</m:t>
        </m:r>
        <m:r>
          <m:rPr>
            <m:sty m:val="p"/>
          </m:rPr>
          <m:t>≥</m:t>
        </m:r>
        <m:r>
          <m:t>2.0</m:t>
        </m:r>
      </m:oMath>
      <w:r>
        <w:t xml:space="preserve"> </w:t>
      </w:r>
      <w:r>
        <w:t xml:space="preserve">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w:t>
      </w:r>
      <w:r>
        <w:t xml:space="preserve"> </w:t>
      </w:r>
      <m:oMath>
        <m:r>
          <m:t>α</m:t>
        </m:r>
        <m:r>
          <m:rPr>
            <m:sty m:val="p"/>
          </m:rPr>
          <m:t>=</m:t>
        </m:r>
        <m:r>
          <m:t>2.0</m:t>
        </m:r>
      </m:oMath>
      <w:r>
        <w:t xml:space="preserve">). In all scenarios the cost ratio increases with member count and grout infill length.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Geodesic (</w:t>
            </w:r>
            <m:oMath>
              <m:r>
                <m:t>α</m:t>
              </m:r>
              <m:r>
                <m:rPr>
                  <m:sty m:val="p"/>
                </m:rPr>
                <m:t>=</m:t>
              </m:r>
              <m:r>
                <m:t>2.0</m:t>
              </m:r>
            </m:oMath>
            <w:r>
              <w:t xml:space="preserve">)</w:t>
            </w:r>
          </w:p>
        </w:tc>
        <w:tc>
          <w:tcPr/>
          <w:p>
            <w:pPr>
              <w:pStyle w:val="Compact"/>
            </w:pPr>
            <w:r>
              <w:t xml:space="preserve">Kiewitt (</w:t>
            </w:r>
            <m:oMath>
              <m:r>
                <m:t>α</m:t>
              </m:r>
              <m:r>
                <m:rPr>
                  <m:sty m:val="p"/>
                </m:rPr>
                <m:t>=</m:t>
              </m:r>
              <m:r>
                <m:t>2.0</m:t>
              </m:r>
            </m:oMath>
            <w:r>
              <w:t xml:space="preserve">)</w:t>
            </w:r>
          </w:p>
        </w:tc>
        <w:tc>
          <w:tcPr/>
          <w:p>
            <w:pPr>
              <w:pStyle w:val="Compact"/>
            </w:pPr>
            <w:r>
              <w:t xml:space="preserve">Ribbed (</w:t>
            </w:r>
            <m:oMath>
              <m:r>
                <m:t>α</m:t>
              </m:r>
              <m:r>
                <m:rPr>
                  <m:sty m:val="p"/>
                </m:rPr>
                <m:t>=</m:t>
              </m:r>
              <m:r>
                <m:t>2.0</m:t>
              </m:r>
            </m:oMath>
            <w:r>
              <w:t xml:space="preserve">)</w:t>
            </w:r>
          </w:p>
        </w:tc>
      </w:tr>
      <w:tr>
        <w:tc>
          <w:tcPr/>
          <w:p>
            <w:pPr>
              <w:pStyle w:val="Compact"/>
            </w:pPr>
            <w:r>
              <w:t xml:space="preserve">Indonesia 2024</w:t>
            </w:r>
          </w:p>
        </w:tc>
        <w:tc>
          <w:tcPr/>
          <w:p>
            <w:pPr>
              <w:pStyle w:val="Compact"/>
            </w:pPr>
            <w:r>
              <w:t xml:space="preserve">0.639</w:t>
            </w:r>
          </w:p>
        </w:tc>
        <w:tc>
          <w:tcPr/>
          <w:p>
            <w:pPr>
              <w:pStyle w:val="Compact"/>
            </w:pPr>
            <w:r>
              <w:t xml:space="preserve">0.926</w:t>
            </w:r>
          </w:p>
        </w:tc>
        <w:tc>
          <w:tcPr/>
          <w:p>
            <w:pPr>
              <w:pStyle w:val="Compact"/>
            </w:pPr>
            <w:r>
              <w:t xml:space="preserve">1.021</w:t>
            </w:r>
          </w:p>
        </w:tc>
      </w:tr>
      <w:tr>
        <w:tc>
          <w:tcPr/>
          <w:p>
            <w:pPr>
              <w:pStyle w:val="Compact"/>
            </w:pPr>
            <w:r>
              <w:t xml:space="preserve">India 2023</w:t>
            </w:r>
          </w:p>
        </w:tc>
        <w:tc>
          <w:tcPr/>
          <w:p>
            <w:pPr>
              <w:pStyle w:val="Compact"/>
            </w:pPr>
            <w:r>
              <w:t xml:space="preserve">0.637</w:t>
            </w:r>
          </w:p>
        </w:tc>
        <w:tc>
          <w:tcPr/>
          <w:p>
            <w:pPr>
              <w:pStyle w:val="Compact"/>
            </w:pPr>
            <w:r>
              <w:t xml:space="preserve">0.922</w:t>
            </w:r>
          </w:p>
        </w:tc>
        <w:tc>
          <w:tcPr/>
          <w:p>
            <w:pPr>
              <w:pStyle w:val="Compact"/>
            </w:pPr>
            <w:r>
              <w:t xml:space="preserve">1.016</w:t>
            </w:r>
          </w:p>
        </w:tc>
      </w:tr>
      <w:tr>
        <w:tc>
          <w:tcPr/>
          <w:p>
            <w:pPr>
              <w:pStyle w:val="Compact"/>
            </w:pPr>
            <w:r>
              <w:t xml:space="preserve">Türkiye 2026</w:t>
            </w:r>
          </w:p>
        </w:tc>
        <w:tc>
          <w:tcPr/>
          <w:p>
            <w:pPr>
              <w:pStyle w:val="Compact"/>
            </w:pPr>
            <w:r>
              <w:t xml:space="preserve">0.638</w:t>
            </w:r>
          </w:p>
        </w:tc>
        <w:tc>
          <w:tcPr/>
          <w:p>
            <w:pPr>
              <w:pStyle w:val="Compact"/>
            </w:pPr>
            <w:r>
              <w:t xml:space="preserve">0.924</w:t>
            </w:r>
          </w:p>
        </w:tc>
        <w:tc>
          <w:tcPr/>
          <w:p>
            <w:pPr>
              <w:pStyle w:val="Compact"/>
            </w:pPr>
            <w:r>
              <w:t xml:space="preserve">1.019</w:t>
            </w:r>
          </w:p>
        </w:tc>
      </w:tr>
      <w:tr>
        <w:tc>
          <w:tcPr/>
          <w:p>
            <w:pPr>
              <w:pStyle w:val="Compact"/>
            </w:pPr>
            <w:r>
              <w:t xml:space="preserve">Colombia 2026</w:t>
            </w:r>
          </w:p>
        </w:tc>
        <w:tc>
          <w:tcPr/>
          <w:p>
            <w:pPr>
              <w:pStyle w:val="Compact"/>
            </w:pPr>
            <w:r>
              <w:t xml:space="preserve">0.868</w:t>
            </w:r>
          </w:p>
        </w:tc>
        <w:tc>
          <w:tcPr/>
          <w:p>
            <w:pPr>
              <w:pStyle w:val="Compact"/>
            </w:pPr>
            <w:r>
              <w:t xml:space="preserve">1.248</w:t>
            </w:r>
          </w:p>
        </w:tc>
        <w:tc>
          <w:tcPr/>
          <w:p>
            <w:pPr>
              <w:pStyle w:val="Compact"/>
            </w:pPr>
            <w:r>
              <w:t xml:space="preserve">1.297</w:t>
            </w:r>
          </w:p>
        </w:tc>
      </w:tr>
    </w:tbl>
    <w:p>
      <w:pPr>
        <w:pStyle w:val="FirstParagraph"/>
      </w:pPr>
      <w:r>
        <w:rPr>
          <w:b/>
          <w:bCs/>
        </w:rPr>
        <w:t xml:space="preserve">Table 18.</w:t>
      </w:r>
      <w:r>
        <w:t xml:space="preserve"> </w:t>
      </w:r>
      <w:r>
        <w:t xml:space="preserve">Sensitivity of cost ratios across international economic market scenarios (</w:t>
      </w:r>
      <m:oMath>
        <m:r>
          <m:t>α</m:t>
        </m:r>
        <m:r>
          <m:rPr>
            <m:sty m:val="p"/>
          </m:rPr>
          <m:t>=</m:t>
        </m:r>
        <m:r>
          <m:t>2.0</m:t>
        </m:r>
      </m:oMath>
      <w:r>
        <w:t xml:space="preserve">).</w:t>
      </w:r>
    </w:p>
    <w:p>
      <w:pPr>
        <w:pStyle w:val="Heading1"/>
      </w:pPr>
      <w:bookmarkStart w:id="65" w:name="_discussion"/>
      <w:r>
        <w:t xml:space="preserve">5. Discussion</w:t>
      </w:r>
      <w:bookmarkEnd w:id="65"/>
    </w:p>
    <w:p>
      <w:pPr>
        <w:pStyle w:val="FirstParagraph"/>
      </w:pPr>
      <w:r>
        <w:t xml:space="preserve">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pPr>
        <w:pStyle w:val="BodyText"/>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e>
            <m:r>
              <m:t>f</m:t>
            </m:r>
          </m:e>
          <m:sub>
            <m:r>
              <m:t>t</m:t>
            </m:r>
            <m:r>
              <m:rPr>
                <m:sty m:val="p"/>
              </m:rPr>
              <m:t>,</m:t>
            </m:r>
            <m:r>
              <m:t>0</m:t>
            </m:r>
            <m:r>
              <m:rPr>
                <m:sty m:val="p"/>
              </m:rPr>
              <m:t>,</m:t>
            </m:r>
            <m:r>
              <m:t>k</m:t>
            </m:r>
          </m:sub>
        </m:sSub>
        <m:r>
          <m:rPr>
            <m:sty m:val="p"/>
          </m:rPr>
          <m:t>=</m:t>
        </m:r>
        <m:r>
          <m:t>40</m:t>
        </m:r>
      </m:oMath>
      <w:r>
        <w:t xml:space="preserve"> </w:t>
      </w:r>
      <w:r>
        <w:t xml:space="preserve">MPa) remains underutilized in single-layer dome topologies in which compressive forces dominate the members.</w:t>
      </w:r>
    </w:p>
    <w:p>
      <w:pPr>
        <w:pStyle w:val="BodyText"/>
      </w:pPr>
      <w:r>
        <w:t xml:space="preserve">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pPr>
        <w:pStyle w:val="BodyText"/>
      </w:pPr>
      <w:r>
        <w:t xml:space="preserve">Parametric sensitivity sweeps show that the connection share stays between 43% and 98% across the single-parameter sweeps. While varying grout length ratios (</w:t>
      </w:r>
      <m:oMath>
        <m:r>
          <m:t>β</m:t>
        </m:r>
        <m:r>
          <m:rPr>
            <m:sty m:val="p"/>
          </m:rPr>
          <m:t>=</m:t>
        </m:r>
        <m:r>
          <m:t>1.5</m:t>
        </m:r>
      </m:oMath>
      <w:r>
        <w:t xml:space="preserve"> </w:t>
      </w:r>
      <w:r>
        <w:t xml:space="preserve">to</w:t>
      </w:r>
      <w:r>
        <w:t xml:space="preserve"> </w:t>
      </w:r>
      <m:oMath>
        <m:r>
          <m:t>3.5</m:t>
        </m:r>
      </m:oMath>
      <w:r>
        <w:t xml:space="preserve">) and steel emission factors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shifts the joint carbon share by less than 10 percentage points, the bamboo culm emission factor has the largest influence. At the lower-bound culm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up to 97.5% of total emissions. Conversely, when adopting the highest culm factor tested (</w:t>
      </w:r>
      <m:oMath>
        <m:r>
          <m:t>E</m:t>
        </m:r>
        <m:sSub>
          <m:e>
            <m:r>
              <m:t>C</m:t>
            </m:r>
          </m:e>
          <m:sub>
            <m:r>
              <m:t>b</m:t>
            </m:r>
          </m:sub>
        </m:sSub>
        <m:r>
          <m:rPr>
            <m:sty m:val="p"/>
          </m:rPr>
          <m:t>=</m:t>
        </m:r>
        <m:r>
          <m:t>1.23</m:t>
        </m:r>
        <m:sSub>
          <m:e>
            <m:r>
              <m:rPr>
                <m:nor/>
              </m:rPr>
              <m:t> kg CO</m:t>
            </m:r>
          </m:e>
          <m:sub>
            <m: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w:t>
      </w:r>
      <w:r>
        <w:t xml:space="preserve"> </w:t>
      </w:r>
      <m:oMath>
        <m:sSub>
          <m:e>
            <m:r>
              <m:rPr>
                <m:nor/>
              </m:rPr>
              <m:t>CO</m:t>
            </m:r>
          </m:e>
          <m:sub>
            <m:r>
              <m:t>2</m:t>
            </m:r>
          </m:sub>
        </m:sSub>
      </m:oMath>
      <w:r>
        <w:t xml:space="preserve">-equivalent emissions respectively; non-bamboo materials and transport are the main emission sources in that building, which differs from a dome with grouted joints.</w:t>
      </w:r>
    </w:p>
    <w:p>
      <w:pPr>
        <w:pStyle w:val="BodyText"/>
      </w:pPr>
      <w:r>
        <w:t xml:space="preserve">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m:t>α</m:t>
        </m:r>
        <m:r>
          <m:rPr>
            <m:sty m:val="p"/>
          </m:rPr>
          <m:t>=</m:t>
        </m:r>
        <m:r>
          <m:t>1.5</m:t>
        </m:r>
      </m:oMath>
      <w:r>
        <w:t xml:space="preserve"> </w:t>
      </w:r>
      <w:r>
        <w:t xml:space="preserve">to</w:t>
      </w:r>
      <w:r>
        <w:t xml:space="preserve"> </w:t>
      </w:r>
      <m:oMath>
        <m:r>
          <m:t>3.0</m:t>
        </m:r>
      </m:oMath>
      <w:r>
        <w:t xml:space="preserve">), achieving cost ratios of 0.61 to 0.72. However, as the span and member density increase—culminating in the 40 m Ribbed dome with 1464 members—bamboo loses its cost competitiveness, exceeding steel expenditures at</w:t>
      </w:r>
      <w:r>
        <w:t xml:space="preserve"> </w:t>
      </w:r>
      <m:oMath>
        <m:r>
          <m:t>α</m:t>
        </m:r>
        <m:r>
          <m:rPr>
            <m:sty m:val="p"/>
          </m:rPr>
          <m:t>≥</m:t>
        </m:r>
        <m: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w:t>
      </w:r>
      <w:r>
        <w:t xml:space="preserve"> </w:t>
      </w:r>
      <m:oMath>
        <m:r>
          <m:t>α</m:t>
        </m:r>
        <m:r>
          <m:rPr>
            <m:sty m:val="p"/>
          </m:rPr>
          <m:t>=</m:t>
        </m:r>
        <m:r>
          <m:t>2.0</m:t>
        </m:r>
      </m:oMath>
      <w:r>
        <w:t xml:space="preserve"> </w:t>
      </w:r>
      <w:r>
        <w:t xml:space="preserve">(Table 18). Only material unit prices are modelled, so the effect of labour, transport and erection costs on the large-span domes is not assessed; the results indicate that the grout volume governs the cost of the large-span domes.</w:t>
      </w:r>
    </w:p>
    <w:p>
      <w:pPr>
        <w:pStyle w:val="BodyText"/>
      </w:pPr>
      <w:r>
        <w:t xml:space="preserve">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consistent with empirical connection detailing limits established for Guadua culms [11, 37],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pPr>
        <w:pStyle w:val="Heading1"/>
      </w:pPr>
      <w:bookmarkStart w:id="66" w:name="_conclusions"/>
      <w:r>
        <w:t xml:space="preserve">6. Conclusions</w:t>
      </w:r>
      <w:bookmarkEnd w:id="66"/>
    </w:p>
    <w:p>
      <w:pPr>
        <w:pStyle w:val="FirstParagraph"/>
      </w:pPr>
      <w:r>
        <w:t xml:space="preserve">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pPr>
        <w:pStyle w:val="BodyText"/>
      </w:pPr>
      <w:r>
        <w:t xml:space="preserve">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pPr>
        <w:pStyle w:val="BodyText"/>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Parametric sensitivity analyses showed that connection detailing constitutes 42.6% to 97.5% of total structural carbon across the single-parameter sweeps of the culm and steel emission factors and the grout geometry.</w:t>
      </w:r>
    </w:p>
    <w:p>
      <w:pPr>
        <w:pStyle w:val="BodyText"/>
      </w:pPr>
      <w:r>
        <w:t xml:space="preserve">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m:t>α</m:t>
        </m:r>
        <m:r>
          <m:rPr>
            <m:sty m:val="p"/>
          </m:rPr>
          <m:t>=</m:t>
        </m:r>
        <m: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w:t>
      </w:r>
      <w:r>
        <w:t xml:space="preserve"> </w:t>
      </w:r>
      <m:oMath>
        <m:r>
          <m:t>α</m:t>
        </m:r>
        <m:r>
          <m:rPr>
            <m:sty m:val="p"/>
          </m:rPr>
          <m:t>≥</m:t>
        </m:r>
        <m:r>
          <m:t>2.0</m:t>
        </m:r>
      </m:oMath>
      <w:r>
        <w:t xml:space="preserve">.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pPr>
        <w:pStyle w:val="Heading1"/>
      </w:pPr>
      <w:bookmarkStart w:id="67" w:name="_ad61382512a69fb2431cb9ccd9664860b940cd1"/>
      <w:r>
        <w:t xml:space="preserve">Statements and Declarations</w:t>
      </w:r>
      <w:bookmarkEnd w:id="67"/>
    </w:p>
    <w:p>
      <w:pPr>
        <w:pStyle w:val="FirstParagraph"/>
      </w:pPr>
      <w:r>
        <w:rPr>
          <w:b/>
          <w:bCs/>
        </w:rPr>
        <w:t xml:space="preserve">Conflict of Interest:</w:t>
      </w:r>
      <w:r>
        <w:t xml:space="preserve"> </w:t>
      </w:r>
      <w:r>
        <w:t xml:space="preserve">The author declares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This research received no specific grant from funding agencies in the public, commercial, or not-for-profit sectors.</w:t>
      </w:r>
    </w:p>
    <w:p>
      <w:pPr>
        <w:pStyle w:val="BodyText"/>
      </w:pPr>
      <w:r>
        <w:rPr>
          <w:b/>
          <w:bCs/>
        </w:rPr>
        <w:t xml:space="preserve">Financial and Non-Financial Interests:</w:t>
      </w:r>
      <w:r>
        <w:t xml:space="preserve"> </w:t>
      </w:r>
      <w:r>
        <w:t xml:space="preserve">The author has no relevant financial or non-financial interests to disclose.</w:t>
      </w:r>
    </w:p>
    <w:p>
      <w:pPr>
        <w:pStyle w:val="BodyText"/>
      </w:pPr>
      <w:r>
        <w:rPr>
          <w:b/>
          <w:bCs/>
        </w:rPr>
        <w:t xml:space="preserve">Ethical Approval:</w:t>
      </w:r>
      <w:r>
        <w:t xml:space="preserve"> </w:t>
      </w:r>
      <w:r>
        <w:t xml:space="preserve">This article does not contain any studies involving human participants or vertebrate animals performed by the author.</w:t>
      </w:r>
    </w:p>
    <w:p>
      <w:pPr>
        <w:pStyle w:val="BodyText"/>
      </w:pPr>
      <w:r>
        <w:rPr>
          <w:b/>
          <w:bCs/>
        </w:rPr>
        <w:t xml:space="preserve">Author Contributions:</w:t>
      </w:r>
      <w:r>
        <w:t xml:space="preserve"> </w:t>
      </w:r>
      <w:r>
        <w:t xml:space="preserve">The author carried out the conception, mathematical modeling, numerical simulations, data analysis, and manuscript preparation, and approved the final manuscript.</w:t>
      </w:r>
    </w:p>
    <w:p>
      <w:pPr>
        <w:pStyle w:val="BodyText"/>
      </w:pPr>
      <w:r>
        <w:rPr>
          <w:b/>
          <w:bCs/>
        </w:rPr>
        <w:t xml:space="preserve">Replication of Results, Software, and Data Availability:</w:t>
      </w:r>
      <w:r>
        <w:t xml:space="preserve"> </w:t>
      </w:r>
      <w:r>
        <w:t xml:space="preserve">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pPr>
        <w:pStyle w:val="BodyText"/>
      </w:pPr>
      <w:r>
        <w:rPr>
          <w:b/>
          <w:bCs/>
        </w:rPr>
        <w:t xml:space="preserve">Usage of Artificial Intelligence (AI):</w:t>
      </w:r>
      <w:r>
        <w:t xml:space="preserve"> </w:t>
      </w:r>
      <w:r>
        <w:t xml:space="preserve">AI-based tools were utilized to eliminate grammatical errors and enhance the language quality, clarity, and overall readability of the text, ensuring it meets high standards of understandability.</w:t>
      </w:r>
    </w:p>
    <w:p>
      <w:pPr>
        <w:pStyle w:val="Heading1"/>
      </w:pPr>
      <w:bookmarkStart w:id="68" w:name="_references"/>
      <w:r>
        <w:t xml:space="preserve">References</w:t>
      </w:r>
      <w:bookmarkEnd w:id="68"/>
    </w:p>
    <w:p>
      <w:pPr>
        <w:pStyle w:val="FirstParagraph"/>
      </w:pPr>
      <w:r>
        <w:t xml:space="preserve">[1] Trujillo, D., Harries, K., Kaminski, S., Lopez, L.-F., 2025. Manual for the Design of Bamboo Structures to ISO 22156:2021. The Institution of Structural Engineers (IStructE), London, UK. Version 1.0, November 2025. ISBN: 978-1-906335-97-7.</w:t>
      </w:r>
    </w:p>
    <w:p>
      <w:pPr>
        <w:pStyle w:val="BodyText"/>
      </w:pPr>
      <w:r>
        <w:t xml:space="preserve">[2] Zea Escamilla, E., Habert, G., 2014. Environmental impacts of bamboo-based construction materials representing global production diversity. Journal of Cleaner Production 69, 117–127. https://doi.org/10.1016/j.jclepro.2014.01.067</w:t>
      </w:r>
    </w:p>
    <w:p>
      <w:pPr>
        <w:pStyle w:val="BodyText"/>
      </w:pPr>
      <w:r>
        <w:t xml:space="preserve">[3] Vogtländer, J., van der Lugt, P., Brezet, H., 2010. The sustainability of bamboo products for local and Western European applications. LCAs and land-use. Journal of Cleaner Production 18 (13), 1260–1269. https://doi.org/10.1016/j.jclepro.2010.04.015</w:t>
      </w:r>
    </w:p>
    <w:p>
      <w:pPr>
        <w:pStyle w:val="BodyText"/>
      </w:pPr>
      <w:r>
        <w:t xml:space="preserve">[4] Restrepo, A., Becerra, R., Tibaquira G., J.E., 2016. Energetic and carbon footprint analysis in manufacturing process of bamboo boards in Colombia. Journal of Cleaner Production 126, 563–571. https://doi.org/10.1016/j.jclepro.2016.02.144</w:t>
      </w:r>
    </w:p>
    <w:p>
      <w:pPr>
        <w:pStyle w:val="BodyText"/>
      </w:pPr>
      <w:r>
        <w:t xml:space="preserve">[5] van der Lugt, P., van den Dobbelsteen, A.A.J.F., Janssen, J.J.A., 2006. An environmental, economic and practical assessment of bamboo as a building material for supporting structures. Construction and Building Materials 20 (9), 648–656. https://doi.org/10.1016/j.conbuildmat.2005.02.023</w:t>
      </w:r>
    </w:p>
    <w:p>
      <w:pPr>
        <w:pStyle w:val="BodyText"/>
      </w:pPr>
      <w:r>
        <w:t xml:space="preserve">[6] Zea Escamilla, E., Habert, G., Correal Daza, J.F., Archilla, H.F., Echeverry Fernández, J.S., Trujillo, D., 2018. Industrial or traditional bamboo construction? Comparative life cycle assessment (LCA) of bamboo-based buildings. Sustainability 10 (9), 3096. https://doi.org/10.3390/su10093096</w:t>
      </w:r>
    </w:p>
    <w:p>
      <w:pPr>
        <w:pStyle w:val="BodyText"/>
      </w:pPr>
      <w:r>
        <w:t xml:space="preserve">[7] Correal, J.F., Prada, E., Suárez, A., Moreno, D., 2021. Bearing capacity of bolted-mortar infill connections in bamboo and yield model formulation. Construction and Building Materials 305, 124597. https://doi.org/10.1016/j.conbuildmat.2021.124597</w:t>
      </w:r>
    </w:p>
    <w:p>
      <w:pPr>
        <w:pStyle w:val="BodyText"/>
      </w:pPr>
      <w:r>
        <w:t xml:space="preserve">[8] Paraskeva, T., Pradhan, N.P.N., Stoura, C.D., Dimitrakopoulos, E.G., 2019. Monotonic loading testing and characterization of new multi-full-culm bamboo to steel connections. Construction and Building Materials 201, 473–483. https://doi.org/10.1016/j.conbuildmat.2018.12.198</w:t>
      </w:r>
    </w:p>
    <w:p>
      <w:pPr>
        <w:pStyle w:val="BodyText"/>
      </w:pPr>
      <w:r>
        <w:t xml:space="preserve">[9] Sharma, B., Gatóo, A., Bock, M., Ramage, M., 2015. Engineered bamboo for structural applications. Construction and Building Materials 81, 66–73. https://doi.org/10.1016/j.conbuildmat.2015.01.077</w:t>
      </w:r>
    </w:p>
    <w:p>
      <w:pPr>
        <w:pStyle w:val="BodyText"/>
      </w:pPr>
      <w:r>
        <w:t xml:space="preserve">[10] Harries, K.A., Sharma, B., Richard, M., 2012. Structural use of full culm bamboo: the path to standardization. International Journal of Architecture, Engineering and Construction 1 (2), 66–75. https://doi.org/10.7492/IJAEC.2012.008</w:t>
      </w:r>
    </w:p>
    <w:p>
      <w:pPr>
        <w:pStyle w:val="BodyText"/>
      </w:pPr>
      <w:r>
        <w:t xml:space="preserve">[11] Trujillo, D., Malkowska, D., 2018. Empirically derived connection design properties for Guadua bamboo. Construction and Building Materials 163, 9–20. https://doi.org/10.1016/j.conbuildmat.2017.12.065</w:t>
      </w:r>
    </w:p>
    <w:p>
      <w:pPr>
        <w:pStyle w:val="BodyText"/>
      </w:pPr>
      <w:r>
        <w:t xml:space="preserve">[12] Bahtiar, E.T., Malkowska, D., Trujillo, D., Nugroho, N., 2021. Experimental study on buckling resistance of Guadua angustifolia bamboo column. Engineering Structures 228, 111548. https://doi.org/10.1016/j.engstruct.2020.111548</w:t>
      </w:r>
    </w:p>
    <w:p>
      <w:pPr>
        <w:pStyle w:val="BodyText"/>
      </w:pPr>
      <w:r>
        <w:t xml:space="preserve">[13] Chung, K.F., Yu, W.K., 2002. Mechanical properties of structural bamboo for bamboo scaffoldings. Engineering Structures 24 (4), 429–442. https://doi.org/10.1016/S0141-0296(01)00110-9</w:t>
      </w:r>
    </w:p>
    <w:p>
      <w:pPr>
        <w:pStyle w:val="BodyText"/>
      </w:pPr>
      <w:r>
        <w:t xml:space="preserve">[14] Yeo, D., Gabbai, R.D., 2011. Sustainable design of reinforced concrete structures through embodied energy optimization. Energy and Buildings 43 (8), 2028–2033. https://doi.org/10.1016/j.enbuild.2011.04.014</w:t>
      </w:r>
    </w:p>
    <w:p>
      <w:pPr>
        <w:pStyle w:val="BodyText"/>
      </w:pPr>
      <w:r>
        <w:t xml:space="preserve">[15] Eleftheriadis, S., Duffour, P., Greening, P., Mumovic, D., 2018. Integrated BIM-structural optimization framework for embodied carbon reduction of building frames. Energy and Buildings 173, 706–718. https://doi.org/10.1016/j.enbuild.2018.05.044</w:t>
      </w:r>
    </w:p>
    <w:p>
      <w:pPr>
        <w:pStyle w:val="BodyText"/>
      </w:pPr>
      <w:r>
        <w:t xml:space="preserve">[16] Gan, V.J.L., Cheng, J.C.P., Lo, I.M.C., 2017. Integrating life cycle assessment and buildability for sustainable structural design. Journal of Cleaner Production 162, 1068–1082. https://doi.org/10.1016/j.jclepro.2017.06.096</w:t>
      </w:r>
    </w:p>
    <w:p>
      <w:pPr>
        <w:pStyle w:val="BodyText"/>
      </w:pPr>
      <w:r>
        <w:t xml:space="preserve">[17] Pomponi, F., Moncaster, A., 2016. Embodied carbon mitigation and reduction in the built environment—What does the evidence say? Journal of Environmental Management 181, 687–700. https://doi.org/10.1016/j.jenvman.2016.08.036</w:t>
      </w:r>
    </w:p>
    <w:p>
      <w:pPr>
        <w:pStyle w:val="BodyText"/>
      </w:pPr>
      <w:r>
        <w:t xml:space="preserve">[18] De Wolf, C., Pomponi, F., Moncaster, A., 2017. Measuring embodied carbon greenhouse gases in buildings: A review and critique of current ways of calculation. Energy and Buildings 140, 68–80. https://doi.org/10.1016/j.enbuild.2017.01.075</w:t>
      </w:r>
    </w:p>
    <w:p>
      <w:pPr>
        <w:pStyle w:val="BodyText"/>
      </w:pPr>
      <w:r>
        <w:t xml:space="preserve">[19] Foraboschi, P., Mercanzin, M., Trabucco, D., 2014. Sustainable structural design of tall buildings based on embodied energy. Energy and Buildings 68, 254–269. https://doi.org/10.1016/j.enbuild.2013.09.003</w:t>
      </w:r>
    </w:p>
    <w:p>
      <w:pPr>
        <w:pStyle w:val="BodyText"/>
      </w:pPr>
      <w:r>
        <w:t xml:space="preserve">[20] Hasançebi, O., Çarbaş, S., Doğan, E., Erdal, F., Saka, M.P., 2009. Performance evaluation of metaheuristic search techniques in the optimum design of real size pin jointed structures. Computers &amp; Structures 87 (5–6), 284–302. https://doi.org/10.1016/j.compstruc.2009.01.002</w:t>
      </w:r>
    </w:p>
    <w:p>
      <w:pPr>
        <w:pStyle w:val="BodyText"/>
      </w:pPr>
      <w:r>
        <w:t xml:space="preserve">[21] Saka, M.P., Geem, Z.W., 2013. Mathematical and metaheuristic applications in design optimization of steel frame structures: an extensive review. Mathematical Problems in Engineering 2013, 271031. https://doi.org/10.1155/2013/271031</w:t>
      </w:r>
    </w:p>
    <w:p>
      <w:pPr>
        <w:pStyle w:val="BodyText"/>
      </w:pPr>
      <w:r>
        <w:t xml:space="preserve">[22] Aydogdu, I., Saka, M.P., 2012. Ant colony optimization of irregular steel frames including elemental warping effect. Advances in Engineering Software 44 (1), 150–169. https://doi.org/10.1016/j.advengsoft.2011.08.005</w:t>
      </w:r>
    </w:p>
    <w:p>
      <w:pPr>
        <w:pStyle w:val="BodyText"/>
      </w:pPr>
      <w:r>
        <w:t xml:space="preserve">[23] Aydogdu, I., Akin, A., Saka, M.P., 2016. Design optimization of real world steel space frames using artificial bee colony algorithm with Levy flight distribution. Advances in Engineering Software 92, 1–14. https://doi.org/10.1016/j.advengsoft.2015.10.013</w:t>
      </w:r>
    </w:p>
    <w:p>
      <w:pPr>
        <w:pStyle w:val="BodyText"/>
      </w:pPr>
      <w:r>
        <w:t xml:space="preserve">[24] Saka, M., Aydogdu, I., 2021. Performance evaluation of artificial bee colony algorithm and its variants in the optimum design of steel skeletal structures. Asian Journal of Civil Engineering 22 (1), 73–91. https://doi.org/10.1007/s42107-020-00300-8</w:t>
      </w:r>
    </w:p>
    <w:p>
      <w:pPr>
        <w:pStyle w:val="BodyText"/>
      </w:pPr>
      <w:r>
        <w:t xml:space="preserve">[25] Taymuş, R.B., Aydoğdu, İ., Saka, M.P., Kim, S., Geem, Z.W., 2025. Impact of connection types on metaheuristic-based optimum design of 3D steel buildings with RC shear core. International Journal of Steel Structures 25 (5), 1097–1116. https://doi.org/10.1007/s13296-025-00994-0</w:t>
      </w:r>
    </w:p>
    <w:p>
      <w:pPr>
        <w:pStyle w:val="BodyText"/>
      </w:pPr>
      <w:r>
        <w:t xml:space="preserve">[26] Karaboga, D., Basturk, B., 2007. A powerful and efficient algorithm for numerical function optimization: artificial bee colony (ABC) algorithm. Journal of Global Optimization 39 (3), 459–471. https://doi.org/10.1007/s10898-007-9149-x</w:t>
      </w:r>
    </w:p>
    <w:p>
      <w:pPr>
        <w:pStyle w:val="BodyText"/>
      </w:pPr>
      <w:r>
        <w:t xml:space="preserve">[27] Dorigo, M., Maniezzo, V., Colorni, A., 1996. Ant system: optimization by a colony of cooperating agents. IEEE Transactions on Systems, Man, and Cybernetics, Part B (Cybernetics) 26 (1), 29–41. https://doi.org/10.1109/3477.484436</w:t>
      </w:r>
    </w:p>
    <w:p>
      <w:pPr>
        <w:pStyle w:val="BodyText"/>
      </w:pPr>
      <w:r>
        <w:t xml:space="preserve">[28] Zhao, S., Zhang, T., Ma, S., Chen, M., 2022. Dandelion Optimizer: A nature-inspired metaheuristic algorithm for engineering applications. Engineering Applications of Artificial Intelligence 114, 105075. https://doi.org/10.1016/j.engappai.2022.105075</w:t>
      </w:r>
    </w:p>
    <w:p>
      <w:pPr>
        <w:pStyle w:val="BodyText"/>
      </w:pPr>
      <w:r>
        <w:t xml:space="preserve">[29] Saka, M.P., 1991. Optimum design of steel frames with tapered members. Computers &amp; Structures 38 (1), 79–92. https://doi.org/10.1016/0045-7949(91)90205-Z</w:t>
      </w:r>
    </w:p>
    <w:p>
      <w:pPr>
        <w:pStyle w:val="BodyText"/>
      </w:pPr>
      <w:r>
        <w:t xml:space="preserve">[30] Kaveh, A., Talatahari, S., 2010. Optimal design of Schwedler and ribbed domes via hybrid Big Bang–Big Crunch algorithm. Journal of Constructional Steel Research 66 (3), 412–419. https://doi.org/10.1016/j.jcsr.2009.10.013</w:t>
      </w:r>
    </w:p>
    <w:p>
      <w:pPr>
        <w:pStyle w:val="BodyText"/>
      </w:pPr>
      <w:r>
        <w:t xml:space="preserve">[31] Carbas, S., 2016. Design optimization of steel braced domes using firefly algorithm. Structural Engineering and Mechanics 57 (2), 245–262. https://doi.org/10.12989/sem.2016.57.2.245</w:t>
      </w:r>
    </w:p>
    <w:p>
      <w:pPr>
        <w:pStyle w:val="BodyText"/>
      </w:pPr>
      <w:r>
        <w:t xml:space="preserve">[32] Derrac, J., García, S., Molina, D., Herrera, F., 2011. A practical tutorial on the use of nonparametric statistical tests as methodologies for comparison of evolutionary and swarm algorithms. Swarm and Evolutionary Computation 1 (1), 3–18. https://doi.org/10.1016/j.swevo.2011.02.002</w:t>
      </w:r>
    </w:p>
    <w:p>
      <w:pPr>
        <w:pStyle w:val="BodyText"/>
      </w:pPr>
      <w:r>
        <w:t xml:space="preserve">[33] Vargha, A., Delaney, H.D., 2000. A critique and improvement of the CL common language effect size statistics of McGraw and Wong. Journal of Educational and Behavioral Statistics 25 (2), 101–132. https://doi.org/10.3102/10769986025002101</w:t>
      </w:r>
    </w:p>
    <w:p>
      <w:pPr>
        <w:pStyle w:val="BodyText"/>
      </w:pPr>
      <w:r>
        <w:t xml:space="preserve">[34] AISC, 1989. Specification for Structural Steel Buildings: Allowable Stress Design and Plastic Design. American Institute of Steel Construction (AISC), Chicago, IL, USA.</w:t>
      </w:r>
    </w:p>
    <w:p>
      <w:pPr>
        <w:pStyle w:val="BodyText"/>
      </w:pPr>
      <w:r>
        <w:t xml:space="preserve">[35] ASCE, 2022. Minimum Design Loads and Associated Criteria for Buildings and Other Structures (ASCE/SEI 7-22). American Society of Civil Engineers, Reston, VA, USA. https://doi.org/10.1061/9780784415788</w:t>
      </w:r>
    </w:p>
    <w:p>
      <w:pPr>
        <w:pStyle w:val="BodyText"/>
      </w:pPr>
      <w:r>
        <w:t xml:space="preserve">[36] ISO, 2021. Bamboo Structures — Bamboo Culms — Structural Design (ISO 22156:2021). International Organization for Standardization (ISO), Geneva, Switzerland.</w:t>
      </w:r>
    </w:p>
    <w:p>
      <w:pPr>
        <w:pStyle w:val="BodyText"/>
      </w:pPr>
      <w:r>
        <w:t xml:space="preserve">[37] AIS, 2010. Reglamento Colombiano de Construcción Sismo Resistente (NSR-10), Título G — Estructuras de Madera y Estructuras de Guadua. Asociación Colombiana de Ingeniería Sísmica, Bogotá, Colombia.</w:t>
      </w:r>
    </w:p>
    <w:p>
      <w:pPr>
        <w:pStyle w:val="BodyText"/>
      </w:pPr>
      <w:r>
        <w:t xml:space="preserve">[38] van der Lugt, P., Vogtländer, J., 2015. The Environmental Impact of Industrial Bamboo Products: Life-Cycle Assessment and Carbon Sequestration. International Network for Bamboo and Rattan (INBAR), Technical Report No. 35, Beijing, China. ISBN: 978-92-95098-89-3 (print).</w:t>
      </w:r>
    </w:p>
    <w:p>
      <w:pPr>
        <w:pStyle w:val="BodyText"/>
      </w:pPr>
      <w:r>
        <w:t xml:space="preserve">[39] bauforumstahl e.V., 2018. Environmental Product Declaration, Baustähle: Offene Walzprofile und Grobbleche. Declaration no. EPD-BFS-20180116-IBG2-DE, Institut Bauen und Umwelt e.V. (IBU), Berlin. Valid until 24.10.2023.</w:t>
      </w:r>
    </w:p>
    <w:p>
      <w:pPr>
        <w:pStyle w:val="BodyText"/>
      </w:pPr>
      <w:r>
        <w:t xml:space="preserve">[40] Welded Tube of Canada, 2023. Environmental Product Declaration, Hollow Structural Sections (HSS). EPD International (International EPD System), Stockholm.</w:t>
      </w:r>
    </w:p>
    <w:p>
      <w:pPr>
        <w:pStyle w:val="BodyText"/>
      </w:pPr>
      <w:r>
        <w:t xml:space="preserve">[41] Sika Hellas, 2024. Environmental Product Declaration, SikaGrout-312 HP. EPD International (International EPD System), Stockholm.</w:t>
      </w:r>
    </w:p>
    <w:p>
      <w:pPr>
        <w:pStyle w:val="BodyText"/>
      </w:pPr>
      <w:r>
        <w:t xml:space="preserve">[42] UK Department for Energy Security and Net Zero, Department for Environment, Food and Rural Affairs, 2023. Greenhouse gas reporting: conversion factors 2023, sheet</w:t>
      </w:r>
      <w:r>
        <w:t xml:space="preserve"> </w:t>
      </w:r>
      <w:r>
        <w:t xml:space="preserve">‘Freighting goods’</w:t>
      </w:r>
      <w:r>
        <w:t xml:space="preserve">. London.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2026-10-13T15:27:24Z</dcterms:created>
  <dcterms:modified xsi:type="dcterms:W3CDTF">2026-10-13T15:27:24Z</dcterms:modified>
</cp:coreProperties>
</file>

<file path=docProps/custom.xml><?xml version="1.0" encoding="utf-8"?>
<Properties xmlns="http://schemas.openxmlformats.org/officeDocument/2006/custom-properties" xmlns:vt="http://schemas.openxmlformats.org/officeDocument/2006/docPropsVTypes"/>
</file>