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In spatial bio-structural engineering, experimental and numerical investigations have demonstrated the feasibility of wide-span bamboo configurations. For example, Seixas et al. [44] analyzed self-supporting bamboo spatial structures with flexible joints through physical testing and numerical simulation, focusing on the mechanics of pantographic grids and joint compliance. Wu and Xiao [43] developed and experimentally tested a hybrid space truss combining glued laminated bamboo (glubam) members with steel chords and bolted spherical nodes, demonstrating the feasibility of substituting steel compression chords with bio-composites. In computational design, Frangedaki et al. [45] demonstrated sizing and shape optimization of tree-shaped bio-based structural systems using full-culm Guadua bamboo and earthen materials. However, existing comparative assessments predominantly focus on raw materials, individual structural members, hybrid prototypes, or whole-building envelopes. Rigorous structural sizing optimization of large-scale 3D raw bamboo space domes (</w:t>
      </w:r>
      <w:r>
        <w:rPr>
          <w:i/>
          <w:iCs/>
        </w:rPr>
        <w:t xml:space="preserve">Guadua angustifolia</w:t>
      </w:r>
      <w:r>
        <w:t xml:space="preserve">) using codified allowable stress design (ISO 22156 / NSR-10) directly benchmarked against code-optimized structural steel across multiple spans and topologies has, to the author’s knowledge, not been performed.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Column buckling tests on Guadua culms are reported in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(Table G.12.11-2 of NSR-10 [37]),</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No source gives the price of Guadua culms as a function of the diameter; the exponent</w:t>
      </w:r>
      <w:r>
        <w:t xml:space="preserve"> </w:t>
      </w:r>
      <m:oMath>
        <m:r>
          <m:t>α</m:t>
        </m:r>
      </m:oMath>
      <w:r>
        <w:t xml:space="preserve"> </w:t>
      </w:r>
      <w:r>
        <w:t xml:space="preserve">is an assumption of the study, and the results are reported for</w:t>
      </w:r>
      <w:r>
        <w:t xml:space="preserve"> </w:t>
      </w:r>
      <m:oMath>
        <m:r>
          <m:t>α</m:t>
        </m:r>
        <m:r>
          <m:rPr>
            <m:sty m:val="p"/>
          </m:rPr>
          <m:t>=</m:t>
        </m:r>
        <m:r>
          <m:t>1.5</m:t>
        </m:r>
      </m:oMath>
      <w:r>
        <w:t xml:space="preserve"> </w:t>
      </w:r>
      <w:r>
        <w:t xml:space="preserve">to</w:t>
      </w:r>
      <w:r>
        <w:t xml:space="preserve"> </w:t>
      </w:r>
      <m:oMath>
        <m:r>
          <m:t>3.0</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30, 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30, 31]. In the original 354-member geometry, member lengths reach up to 5.97 m, which exceeds practical unbraced buckling limits for naturally grown structural bamboo culms. To make the topology viable for natural bio-materials without violating transportable culm lengths, a frequency-2 topological densification was executed,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30, 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w:t>
      </w:r>
    </w:p>
    <w:p>
      <w:pPr>
        <w:pStyle w:val="BodyText"/>
      </w:pPr>
      <w:r>
        <w:rPr>
          <w:b/>
          <w:bCs/>
        </w:rPr>
        <w:t xml:space="preserve">Methodological notes on LCI inventory assumptions.</w:t>
      </w:r>
      <w:r>
        <w:t xml:space="preserve"> </w:t>
      </w:r>
      <w:r>
        <w:t xml:space="preserve">Several inventory assumptions in Table 5 are highlighted for transparency: (i) The European structural steel plate EPD [39] (validity ended October 2023) represents an average across producing plants; to account for plant-level variations between electric arc and blast furnace routes, a broad sensitivity range of 0.5× to 2.0×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is evaluated in the parametric sweeps. (ii) The steel pipe factor [40] represents a single North American manufacturer (Welded Tube of Canada) as an indicative baseline for hollow structural sections. (iii) The road freight factor of</w:t>
      </w:r>
      <w:r>
        <w:t xml:space="preserve"> </w:t>
      </w:r>
      <m:oMath>
        <m:r>
          <m:t>0.185</m:t>
        </m:r>
        <m:sSub>
          <m:e>
            <m:r>
              <m:rPr>
                <m:nor/>
              </m:rPr>
              <m:t> kg CO</m:t>
            </m:r>
          </m:e>
          <m:sub>
            <m:r>
              <m:t>2</m:t>
            </m:r>
          </m:sub>
        </m:sSub>
        <m:r>
          <m:rPr>
            <m:nor/>
          </m:rPr>
          <m:t>e/(t</m:t>
        </m:r>
        <m:r>
          <m:rPr>
            <m:sty m:val="p"/>
          </m:rPr>
          <m:t>⋅</m:t>
        </m:r>
        <m:r>
          <m:rPr>
            <m:nor/>
          </m:rPr>
          <m:t>km)</m:t>
        </m:r>
      </m:oMath>
      <w:r>
        <w:t xml:space="preserve"> </w:t>
      </w:r>
      <w:r>
        <w:t xml:space="preserve">is selected within the UK DEFRA [42] interval (</w:t>
      </w:r>
      <m:oMath>
        <m:r>
          <m:t>0.1782</m:t>
        </m:r>
      </m:oMath>
      <w:r>
        <w:t xml:space="preserve"> </w:t>
      </w:r>
      <w:r>
        <w:t xml:space="preserve">to</w:t>
      </w:r>
      <w:r>
        <w:t xml:space="preserve"> </w:t>
      </w:r>
      <m:oMath>
        <m:r>
          <m:t>0.2146</m:t>
        </m:r>
        <m:sSub>
          <m:e>
            <m:r>
              <m:rPr>
                <m:nor/>
              </m:rPr>
              <m:t> kg CO</m:t>
            </m:r>
          </m:e>
          <m:sub>
            <m:r>
              <m:t>2</m:t>
            </m:r>
          </m:sub>
        </m:sSub>
        <m:r>
          <m:rPr>
            <m:nor/>
          </m:rPr>
          <m:t>e/(t</m:t>
        </m:r>
        <m:r>
          <m:rPr>
            <m:sty m:val="p"/>
          </m:rPr>
          <m:t>⋅</m:t>
        </m:r>
        <m:r>
          <m:rPr>
            <m:nor/>
          </m:rPr>
          <m:t>km)</m:t>
        </m:r>
      </m:oMath>
      <w:r>
        <w:t xml:space="preserve"> </w:t>
      </w:r>
      <w:r>
        <w:t xml:space="preserve">for rigid goods vehicles). (iv) The upper-bound culm factor (</w:t>
      </w:r>
      <m:oMath>
        <m:r>
          <m:t>1.23</m:t>
        </m:r>
        <m:sSub>
          <m:e>
            <m:r>
              <m:rPr>
                <m:nor/>
              </m:rPr>
              <m:t> kg CO</m:t>
            </m:r>
          </m:e>
          <m:sub>
            <m:r>
              <m:t>2</m:t>
            </m:r>
          </m:sub>
        </m:sSub>
        <m:r>
          <m:rPr>
            <m:nor/>
          </m:rPr>
          <m:t>e/kg</m:t>
        </m:r>
      </m:oMath>
      <w:r>
        <w:t xml:space="preserve">) is derived from the life-cycle inventory of industrial bamboo poles in [2], incorporating preservation, kiln drying, and transport. The sensitivity sweeps in Section 4.4 evaluate the influence of each assumption across these ranges.</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mean of the four regencies Cilacap, Banyumas, Purbalingga and Banjarnegara; exchange rate 15,855 IDR/USD) provide simultaneous local unit rates for bamboo culms, structural steel, and cementitious materials. For sensitivity analysis, illustrative cost models are developed for India (CPWD DSR 2023; 82.60 INR/USD), Türkiye (CSB 2026; 47.49 TRY/USD), and Colombia (price list for immunized Guadua of 27 June 2026, p. 4: 38,500 COP per 6 m unit; exchange rate 4,053 COP/USD, giving 1.583 USD/m; the list gives no diameter). The reference culm prices refer to poles of 60–80 mm diameter (Indonesia, with 70 mm taken as the reference) or to an unspecified diameter assumed as 120 mm (Colombia), and they are scaled to the diameters of the designs with the exponent</w:t>
      </w:r>
      <w:r>
        <w:t xml:space="preserve"> </w:t>
      </w:r>
      <m:oMath>
        <m:r>
          <m:t>α</m:t>
        </m:r>
      </m:oMath>
      <w:r>
        <w:t xml:space="preserve">. In these sensitivity scenarios, Indian and Turkish culm prices are scaled from the empirical Indonesian bamboo-to-steel price ratio; the Turkish steel material price is the erected steel price of the schedule (106.70 TRY/kg) divided by the ratio of the Indian erected to material steel price (3.26), and the Turkish and Indian grout and culm prices follow from Indonesian ratios where the schedule has no item,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 Furthermore, regional price variations reflect processing differences: the commercial quotation from Colombia corresponds to chemically immunized (boron-treated and dried) Guadua culms, whereas the Indonesian baseline reflects unprocessed round culms. Although post-harvest chemical preservation increases initial culm acquisition costs, it is indispensable for structural durability, insect resistance, and fungal decay prevention in permanent load-bearing service.</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Chan, C.M., 2017. Developing a CO2-e accounting method for quantification and analysis of embodied carbon in high-rise buildings. Journal of Cleaner Production 141, 825–836. https://doi.org/10.1016/j.jclepro.2016.09.126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1997. Optimum design of steel frames with tapered members. Computers &amp; Structures 63 (4), 797–811. https://doi.org/10.1016/S0045-7949(96)00074-0</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p>
      <w:pPr>
        <w:pStyle w:val="BodyText"/>
      </w:pPr>
      <w:r>
        <w:t xml:space="preserve">[43] Wu, Y., Xiao, Y., 2018. Steel and glubam hybrid space truss. Engineering Structures 171, 140–153. https://doi.org/10.1016/j.engstruct.2018.05.086</w:t>
      </w:r>
    </w:p>
    <w:p>
      <w:pPr>
        <w:pStyle w:val="BodyText"/>
      </w:pPr>
      <w:r>
        <w:t xml:space="preserve">[44] Seixas, M., Moreira, L.E., Stoffel, P., Bina, J., Ripper, J.L.M., Ferreira, J.L., Ghavami, K., 2021. Analysis of a self-supporting bamboo structure with flexible joints. International Journal of Space Structures 36 (2), 137–151. https://doi.org/10.1177/09560599211001660</w:t>
      </w:r>
    </w:p>
    <w:p>
      <w:pPr>
        <w:pStyle w:val="BodyText"/>
      </w:pPr>
      <w:r>
        <w:t xml:space="preserve">[45] Frangedaki, E., Sardone, L., Lagaros, N.D., 2021. Design optimization of tree-shaped structural systems and sustainable architecture using bamboo and earthen materials. Journal of Architectural Engineering 27 (4), 04021034. https://doi.org/10.1061/(ASCE)AE.1943-5568.0000492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2026-10-14T03:55:36Z</dcterms:created>
  <dcterms:modified xsi:type="dcterms:W3CDTF">2026-10-14T03:55:36Z</dcterms:modified>
</cp:coreProperties>
</file>

<file path=docProps/custom.xml><?xml version="1.0" encoding="utf-8"?>
<Properties xmlns="http://schemas.openxmlformats.org/officeDocument/2006/custom-properties" xmlns:vt="http://schemas.openxmlformats.org/officeDocument/2006/docPropsVTypes"/>
</file>