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9624f9399c9ffb8cb8e669dcf7dcaf7996681c"/>
    <w:p>
      <w:pPr>
        <w:pStyle w:val="Heading1"/>
      </w:pPr>
      <w:r>
        <w:t xml:space="preserve">CRISP-DM Report — Project 1: Cross-Country Yield Prediction &amp; Agronomic Recommendation Engine</w:t>
      </w:r>
    </w:p>
    <w:p>
      <w:pPr>
        <w:pStyle w:val="FirstParagraph"/>
      </w:pPr>
      <w:r>
        <w:rPr>
          <w:b/>
          <w:bCs/>
        </w:rPr>
        <w:t xml:space="preserve">Dataset:</w:t>
      </w:r>
      <w:r>
        <w:t xml:space="preserve"> </w:t>
      </w:r>
      <w:r>
        <w:t xml:space="preserve">One Acre Fund MEL Agronomic Survey, 2021 (</w:t>
      </w:r>
      <w:r>
        <w:rPr>
          <w:rStyle w:val="VerbatimChar"/>
        </w:rPr>
        <w:t xml:space="preserve">Data/Copy of Final 2021_One_Acre_Fund_Agronomic_Survey_Data_2021.xlsx</w:t>
      </w:r>
      <w:r>
        <w:t xml:space="preserve">)</w:t>
      </w:r>
      <w:r>
        <w:t xml:space="preserve"> </w:t>
      </w:r>
      <w:r>
        <w:rPr>
          <w:b/>
          <w:bCs/>
        </w:rPr>
        <w:t xml:space="preserve">Author:</w:t>
      </w:r>
      <w:r>
        <w:t xml:space="preserve"> </w:t>
      </w:r>
      <w:r>
        <w:t xml:space="preserve">mohaski24@gmail.com</w:t>
      </w:r>
      <w:r>
        <w:t xml:space="preserve"> </w:t>
      </w:r>
      <w:r>
        <w:rPr>
          <w:b/>
          <w:bCs/>
        </w:rPr>
        <w:t xml:space="preserve">Date:</w:t>
      </w:r>
      <w:r>
        <w:t xml:space="preserve"> </w:t>
      </w:r>
      <w:r>
        <w:t xml:space="preserve">2026-09-02</w:t>
      </w:r>
      <w:r>
        <w:t xml:space="preserve"> </w:t>
      </w:r>
      <w:r>
        <w:rPr>
          <w:b/>
          <w:bCs/>
        </w:rPr>
        <w:t xml:space="preserve">Scope:</w:t>
      </w:r>
      <w:r>
        <w:t xml:space="preserve"> </w:t>
      </w:r>
      <w:r>
        <w:t xml:space="preserve">This report follows the CRISP-DM 1.0 process model (Business Understanding → Data Understanding → Data Preparation → Modeling → Evaluation → Deployment) for Project 1 as scoped in the repo</w:t>
      </w:r>
      <w:r>
        <w:t xml:space="preserve"> </w:t>
      </w:r>
      <w:hyperlink r:id="rId9">
        <w:r>
          <w:rPr>
            <w:rStyle w:val="Hyperlink"/>
          </w:rPr>
          <w:t xml:space="preserve">README</w:t>
        </w:r>
      </w:hyperlink>
      <w:r>
        <w:t xml:space="preserve">. Figures in Section 2 were computed directly against the</w:t>
      </w:r>
      <w:r>
        <w:t xml:space="preserve"> </w:t>
      </w:r>
      <w:r>
        <w:rPr>
          <w:rStyle w:val="VerbatimChar"/>
        </w:rPr>
        <w:t xml:space="preserve">Data</w:t>
      </w:r>
      <w:r>
        <w:t xml:space="preserve"> </w:t>
      </w:r>
      <w:r>
        <w:t xml:space="preserve">sheet (81,411 rows × 117 columns) rather than estimated.</w:t>
      </w:r>
    </w:p>
    <w:p>
      <w:r>
        <w:pict>
          <v:rect style="width:0;height:1.5pt" o:hralign="center" o:hrstd="t" o:hr="t"/>
        </w:pict>
      </w:r>
    </w:p>
    <w:bookmarkStart w:id="17" w:name="business-understanding"/>
    <w:p>
      <w:pPr>
        <w:pStyle w:val="Heading2"/>
      </w:pPr>
      <w:r>
        <w:t xml:space="preserve">1. Business Understanding</w:t>
      </w:r>
    </w:p>
    <w:bookmarkStart w:id="10" w:name="background"/>
    <w:p>
      <w:pPr>
        <w:pStyle w:val="Heading3"/>
      </w:pPr>
      <w:r>
        <w:t xml:space="preserve">1.1 Background</w:t>
      </w:r>
    </w:p>
    <w:p>
      <w:pPr>
        <w:pStyle w:val="FirstParagraph"/>
      </w:pPr>
      <w:r>
        <w:t xml:space="preserve">One Acre Fund (OAF) supplies smallholder farmers in East and Southern Africa with input financing (seed, fertilizer) and agronomic training. Field agents currently give advice using generalized, country-level agronomic guidelines rather than plot-specific evidence, because no systematic model connects a given farmer’s conditions to expected yield outcomes. OAF’s MEL team already collects rich per-plot survey data every season, physically weighing harvests via two crop-cut boxes — but it is used for program evaluation, not predictive advisory.</w:t>
      </w:r>
    </w:p>
    <w:bookmarkEnd w:id="10"/>
    <w:bookmarkStart w:id="11" w:name="X23cc6c910e5765b44080fb49e19d33fb997727f"/>
    <w:p>
      <w:pPr>
        <w:pStyle w:val="Heading3"/>
      </w:pPr>
      <w:r>
        <w:t xml:space="preserve">1.1a Relevance to OAF’s Lending Model (repayment)</w:t>
      </w:r>
    </w:p>
    <w:p>
      <w:pPr>
        <w:pStyle w:val="FirstParagraph"/>
      </w:pPr>
      <w:r>
        <w:t xml:space="preserve">OAF is not just an agronomy program — it is functionally an agricultural microfinance institution. Farmers receive inputs</w:t>
      </w:r>
      <w:r>
        <w:t xml:space="preserve"> </w:t>
      </w:r>
      <w:r>
        <w:rPr>
          <w:b/>
          <w:bCs/>
        </w:rPr>
        <w:t xml:space="preserve">on credit</w:t>
      </w:r>
      <w:r>
        <w:t xml:space="preserve"> </w:t>
      </w:r>
      <w:r>
        <w:t xml:space="preserve">at planting and repay, typically in cash sourced from selling part of the harvest, after the season ends. This makes yield the primary determinant of repayment capacity: a farmer who receives an input loan but harvests poorly has correspondingly little from which to repay, independent of intent. Framed only as</w:t>
      </w:r>
      <w:r>
        <w:t xml:space="preserve"> </w:t>
      </w:r>
      <w:r>
        <w:t xml:space="preserve">“raising farmer income,”</w:t>
      </w:r>
      <w:r>
        <w:t xml:space="preserve"> </w:t>
      </w:r>
      <w:r>
        <w:t xml:space="preserve">the project understates its institutional value. Concretely, this model bears on repayment in five ways:</w:t>
      </w:r>
    </w:p>
    <w:p>
      <w:pPr>
        <w:pStyle w:val="Compact"/>
        <w:numPr>
          <w:ilvl w:val="0"/>
          <w:numId w:val="1001"/>
        </w:numPr>
      </w:pPr>
      <w:r>
        <w:rPr>
          <w:b/>
          <w:bCs/>
        </w:rPr>
        <w:t xml:space="preserve">Underwriting / loan sizing.</w:t>
      </w:r>
      <w:r>
        <w:t xml:space="preserve"> </w:t>
      </w:r>
      <w:r>
        <w:t xml:space="preserve">Calibrate how much input credit to extend to a given plot against its predicted yield potential, rather than a flat per-farmer amount — avoiding over-lending to plots that structurally cannot generate enough harvest value to repay.</w:t>
      </w:r>
    </w:p>
    <w:p>
      <w:pPr>
        <w:pStyle w:val="Compact"/>
        <w:numPr>
          <w:ilvl w:val="0"/>
          <w:numId w:val="1001"/>
        </w:numPr>
      </w:pPr>
      <w:r>
        <w:rPr>
          <w:b/>
          <w:bCs/>
        </w:rPr>
        <w:t xml:space="preserve">Mid-season early warning.</w:t>
      </w:r>
      <w:r>
        <w:t xml:space="preserve"> </w:t>
      </w:r>
      <w:r>
        <w:t xml:space="preserve">Rerunning the model with early-season signals already in this dataset (what was actually planted,</w:t>
      </w:r>
      <w:r>
        <w:t xml:space="preserve"> </w:t>
      </w:r>
      <w:r>
        <w:rPr>
          <w:rStyle w:val="VerbatimChar"/>
        </w:rPr>
        <w:t xml:space="preserve">drought</w:t>
      </w:r>
      <w:r>
        <w:t xml:space="preserve">/</w:t>
      </w:r>
      <w:r>
        <w:rPr>
          <w:rStyle w:val="VerbatimChar"/>
        </w:rPr>
        <w:t xml:space="preserve">flood</w:t>
      </w:r>
      <w:r>
        <w:t xml:space="preserve">/</w:t>
      </w:r>
      <w:r>
        <w:rPr>
          <w:rStyle w:val="VerbatimChar"/>
        </w:rPr>
        <w:t xml:space="preserve">heavy_rain</w:t>
      </w:r>
      <w:r>
        <w:t xml:space="preserve"> </w:t>
      </w:r>
      <w:r>
        <w:t xml:space="preserve">shock flags, early pest pressure) re-forecasts expected yield</w:t>
      </w:r>
      <w:r>
        <w:t xml:space="preserve"> </w:t>
      </w:r>
      <w:r>
        <w:rPr>
          <w:i/>
          <w:iCs/>
        </w:rPr>
        <w:t xml:space="preserve">before</w:t>
      </w:r>
      <w:r>
        <w:t xml:space="preserve"> </w:t>
      </w:r>
      <w:r>
        <w:t xml:space="preserve">harvest, flagging loans at elevated risk of under-repayment while there is still time to intervene (restructuring, a targeted coaching visit) rather than discovering the shortfall at collections.</w:t>
      </w:r>
    </w:p>
    <w:p>
      <w:pPr>
        <w:pStyle w:val="Compact"/>
        <w:numPr>
          <w:ilvl w:val="0"/>
          <w:numId w:val="1001"/>
        </w:numPr>
      </w:pPr>
      <w:r>
        <w:rPr>
          <w:b/>
          <w:bCs/>
        </w:rPr>
        <w:t xml:space="preserve">Controllable vs. uncontrollable shortfall.</w:t>
      </w:r>
      <w:r>
        <w:t xml:space="preserve"> </w:t>
      </w:r>
      <w:r>
        <w:t xml:space="preserve">The dataset separately captures shocks (</w:t>
      </w:r>
      <w:r>
        <w:rPr>
          <w:rStyle w:val="VerbatimChar"/>
        </w:rPr>
        <w:t xml:space="preserve">drought</w:t>
      </w:r>
      <w:r>
        <w:t xml:space="preserve">,</w:t>
      </w:r>
      <w:r>
        <w:t xml:space="preserve"> </w:t>
      </w:r>
      <w:r>
        <w:rPr>
          <w:rStyle w:val="VerbatimChar"/>
        </w:rPr>
        <w:t xml:space="preserve">flood</w:t>
      </w:r>
      <w:r>
        <w:t xml:space="preserve">,</w:t>
      </w:r>
      <w:r>
        <w:t xml:space="preserve"> </w:t>
      </w:r>
      <w:r>
        <w:rPr>
          <w:rStyle w:val="VerbatimChar"/>
        </w:rPr>
        <w:t xml:space="preserve">heavy_rain</w:t>
      </w:r>
      <w:r>
        <w:t xml:space="preserve">, pest/disease flags) from practice choices (fertilizer, seed, spacing, weeding). A forecast shortfall driven by weather is a materially different credit-risk case than one driven by skippable practices, and should route to different responses — loan restructuring/forgiveness for the former, targeted agronomic coaching for the latter.</w:t>
      </w:r>
    </w:p>
    <w:p>
      <w:pPr>
        <w:pStyle w:val="Compact"/>
        <w:numPr>
          <w:ilvl w:val="0"/>
          <w:numId w:val="1001"/>
        </w:numPr>
      </w:pPr>
      <w:r>
        <w:rPr>
          <w:b/>
          <w:bCs/>
        </w:rPr>
        <w:t xml:space="preserve">The recommendation layer is a repayment-capacity tool, not just an advisory one.</w:t>
      </w:r>
      <w:r>
        <w:t xml:space="preserve"> </w:t>
      </w:r>
      <w:r>
        <w:t xml:space="preserve">“Maximize predicted yield under a farmer’s input budget”</w:t>
      </w:r>
      <w:r>
        <w:t xml:space="preserve"> </w:t>
      </w:r>
      <w:r>
        <w:t xml:space="preserve">(Section 4.1) and</w:t>
      </w:r>
      <w:r>
        <w:t xml:space="preserve"> </w:t>
      </w:r>
      <w:r>
        <w:t xml:space="preserve">“maximize the farmer’s ability to repay that same budget”</w:t>
      </w:r>
      <w:r>
        <w:t xml:space="preserve"> </w:t>
      </w:r>
      <w:r>
        <w:t xml:space="preserve">are the same optimization target — this is the sharpest justification for building the recommendation layer at all, not a side benefit of it.</w:t>
      </w:r>
    </w:p>
    <w:p>
      <w:pPr>
        <w:pStyle w:val="Compact"/>
        <w:numPr>
          <w:ilvl w:val="0"/>
          <w:numId w:val="1001"/>
        </w:numPr>
      </w:pPr>
      <w:r>
        <w:rPr>
          <w:b/>
          <w:bCs/>
        </w:rPr>
        <w:t xml:space="preserve">Portfolio-level risk aggregation.</w:t>
      </w:r>
      <w:r>
        <w:t xml:space="preserve"> </w:t>
      </w:r>
      <w:r>
        <w:t xml:space="preserve">Rolling per-plot forecasts up to district/country level gives OAF an early seasonal read on aggregate repayment-risk exposure by region, informing loss provisioning and how aggressively to extend credit in future seasons/regions — a use case beyond any single farmer’s loan.</w:t>
      </w:r>
    </w:p>
    <w:p>
      <w:pPr>
        <w:pStyle w:val="FirstParagraph"/>
      </w:pPr>
      <w:r>
        <w:t xml:space="preserve">This reframes the</w:t>
      </w:r>
      <w:r>
        <w:t xml:space="preserve"> </w:t>
      </w:r>
      <w:r>
        <w:t xml:space="preserve">“agronomist-in-a-box”</w:t>
      </w:r>
      <w:r>
        <w:t xml:space="preserve"> </w:t>
      </w:r>
      <w:r>
        <w:t xml:space="preserve">ambition (README) as, more precisely, a</w:t>
      </w:r>
      <w:r>
        <w:t xml:space="preserve"> </w:t>
      </w:r>
      <w:r>
        <w:rPr>
          <w:b/>
          <w:bCs/>
        </w:rPr>
        <w:t xml:space="preserve">credit-risk-aware agronomic advisory tool</w:t>
      </w:r>
      <w:r>
        <w:t xml:space="preserve">: the same predicted yield surface serves both the farmer-facing recommendation and OAF’s internal portfolio-risk view, and should be evaluated against both.</w:t>
      </w:r>
    </w:p>
    <w:bookmarkEnd w:id="11"/>
    <w:bookmarkStart w:id="12" w:name="business-objectives"/>
    <w:p>
      <w:pPr>
        <w:pStyle w:val="Heading3"/>
      </w:pPr>
      <w:r>
        <w:t xml:space="preserve">1.2 Business Objectives</w:t>
      </w:r>
    </w:p>
    <w:p>
      <w:pPr>
        <w:pStyle w:val="Compact"/>
        <w:numPr>
          <w:ilvl w:val="0"/>
          <w:numId w:val="1002"/>
        </w:numPr>
      </w:pPr>
      <w:r>
        <w:t xml:space="preserve">Give field agents a plot-specific expected-yield estimate instead of a generic country/crop average.</w:t>
      </w:r>
    </w:p>
    <w:p>
      <w:pPr>
        <w:pStyle w:val="Compact"/>
        <w:numPr>
          <w:ilvl w:val="0"/>
          <w:numId w:val="1002"/>
        </w:numPr>
      </w:pPr>
      <w:r>
        <w:t xml:space="preserve">Rank the marginal value of each actionable lever available to a farmer (extra kg of DAP, switching to hybrid seed, tighter spacing, earlier planting) so advice can be prioritized under a real input-financing budget — directly increasing the harvest value a farmer has available to repay that budget (Section 1.1a).</w:t>
      </w:r>
    </w:p>
    <w:p>
      <w:pPr>
        <w:pStyle w:val="Compact"/>
        <w:numPr>
          <w:ilvl w:val="0"/>
          <w:numId w:val="1002"/>
        </w:numPr>
      </w:pPr>
      <w:r>
        <w:t xml:space="preserve">Surface plot-level and portfolio-level repayment risk early enough in the season for OAF to intervene (restructure, coach, or, for weather-driven shortfalls, forgive) before collections rather than after.</w:t>
      </w:r>
    </w:p>
    <w:p>
      <w:pPr>
        <w:pStyle w:val="Compact"/>
        <w:numPr>
          <w:ilvl w:val="0"/>
          <w:numId w:val="1002"/>
        </w:numPr>
      </w:pPr>
      <w:r>
        <w:t xml:space="preserve">Establish a reusable data-harmonization and evaluation pipeline (train/test splitting by country×crop×year, per-segment metrics) that Projects 2 (pest/disease early warning) and 3 (fertilizer ROI curves) can build on directly, per the README’s</w:t>
      </w:r>
      <w:r>
        <w:t xml:space="preserve"> </w:t>
      </w:r>
      <w:r>
        <w:t xml:space="preserve">“suggested next step.”</w:t>
      </w:r>
    </w:p>
    <w:bookmarkEnd w:id="12"/>
    <w:bookmarkStart w:id="13" w:name="business-success-criteria"/>
    <w:p>
      <w:pPr>
        <w:pStyle w:val="Heading3"/>
      </w:pPr>
      <w:r>
        <w:t xml:space="preserve">1.3 Business Success Criteria</w:t>
      </w:r>
    </w:p>
    <w:p>
      <w:pPr>
        <w:pStyle w:val="Compact"/>
        <w:numPr>
          <w:ilvl w:val="0"/>
          <w:numId w:val="1003"/>
        </w:numPr>
      </w:pPr>
      <w:r>
        <w:t xml:space="preserve">Field agents can retrieve a yield estimate and a ranked recommendation list for a real farmer profile in under a few seconds (batch or lightweight API), not require a data scientist in the loop.</w:t>
      </w:r>
    </w:p>
    <w:p>
      <w:pPr>
        <w:pStyle w:val="Compact"/>
        <w:numPr>
          <w:ilvl w:val="0"/>
          <w:numId w:val="1003"/>
        </w:numPr>
      </w:pPr>
      <w:r>
        <w:t xml:space="preserve">Recommendations are directionally consistent with known agronomics (diminishing fertilizer returns, hybrid seed advantage) on domain review — a model that is accurate but agronomically implausible will not be trusted or adopted by field staff.</w:t>
      </w:r>
    </w:p>
    <w:p>
      <w:pPr>
        <w:pStyle w:val="Compact"/>
        <w:numPr>
          <w:ilvl w:val="0"/>
          <w:numId w:val="1003"/>
        </w:numPr>
      </w:pPr>
      <w:r>
        <w:t xml:space="preserve">The pipeline generalizes: a held-out season’s actual yields fall within the model’s predicted error bounds per country, not just in-sample.</w:t>
      </w:r>
    </w:p>
    <w:p>
      <w:pPr>
        <w:pStyle w:val="Compact"/>
        <w:numPr>
          <w:ilvl w:val="0"/>
          <w:numId w:val="1003"/>
        </w:numPr>
      </w:pPr>
      <w:r>
        <w:t xml:space="preserve">Loans flagged mid-season as elevated-risk (Section 1.1a, point 2) show measurably worse actual repayment outcomes than loans not flagged — i.e., the risk signal is validated against real repayment data, not just yield accuracy.</w:t>
      </w:r>
    </w:p>
    <w:bookmarkEnd w:id="13"/>
    <w:bookmarkStart w:id="14" w:name="situation-assessment"/>
    <w:p>
      <w:pPr>
        <w:pStyle w:val="Heading3"/>
      </w:pPr>
      <w:r>
        <w:t xml:space="preserve">1.4 Situation Assessment</w:t>
      </w:r>
    </w:p>
    <w:p>
      <w:pPr>
        <w:pStyle w:val="FirstParagraph"/>
      </w:pPr>
      <w:r>
        <w:rPr>
          <w:b/>
          <w:bCs/>
        </w:rPr>
        <w:t xml:space="preserve">Resources.</w:t>
      </w:r>
      <w:r>
        <w:t xml:space="preserve"> </w:t>
      </w:r>
      <w:r>
        <w:t xml:space="preserve">One structured workbook (Description, Variables data dictionary, Data, MetaData sheets); no existing code, labels, or infrastructure in this repo yet — this is a greenfield build.</w:t>
      </w:r>
      <w:r>
        <w:t xml:space="preserve"> </w:t>
      </w:r>
      <w:r>
        <w:rPr>
          <w:b/>
          <w:bCs/>
        </w:rPr>
        <w:t xml:space="preserve">Constraints/risks</w:t>
      </w:r>
      <w:r>
        <w:t xml:space="preserve"> </w:t>
      </w:r>
      <w:r>
        <w:t xml:space="preserve">(see Section 2.4 for evidence):</w:t>
      </w:r>
      <w:r>
        <w:t xml:space="preserve"> </w:t>
      </w:r>
      <w:r>
        <w:t xml:space="preserve">- Survey design is</w:t>
      </w:r>
      <w:r>
        <w:t xml:space="preserve"> </w:t>
      </w:r>
      <w:r>
        <w:rPr>
          <w:b/>
          <w:bCs/>
        </w:rPr>
        <w:t xml:space="preserve">not uniform across countries</w:t>
      </w:r>
      <w:r>
        <w:t xml:space="preserve"> </w:t>
      </w:r>
      <w:r>
        <w:t xml:space="preserve">— plot-size definitions differ (Rwanda = harvested plot only; Kenya/Tanzania = all land under that crop/field type), and which questions were even asked varies by country-year. Pooling naively across countries will silently mix incompatible measurements.</w:t>
      </w:r>
      <w:r>
        <w:t xml:space="preserve"> </w:t>
      </w:r>
      <w:r>
        <w:t xml:space="preserve">- Most predictors are self-reported and sparse; several are populated in one or two countries only. A single global model risks learning</w:t>
      </w:r>
      <w:r>
        <w:t xml:space="preserve"> </w:t>
      </w:r>
      <w:r>
        <w:t xml:space="preserve">“country”</w:t>
      </w:r>
      <w:r>
        <w:t xml:space="preserve"> </w:t>
      </w:r>
      <w:r>
        <w:t xml:space="preserve">as a proxy for</w:t>
      </w:r>
      <w:r>
        <w:t xml:space="preserve"> </w:t>
      </w:r>
      <w:r>
        <w:t xml:space="preserve">“which fields happen to be non-null”</w:t>
      </w:r>
      <w:r>
        <w:t xml:space="preserve"> </w:t>
      </w:r>
      <w:r>
        <w:t xml:space="preserve">rather than genuine agronomic signal.</w:t>
      </w:r>
      <w:r>
        <w:t xml:space="preserve"> </w:t>
      </w:r>
      <w:r>
        <w:t xml:space="preserve">- No external price data (fertilizer cost, farm-gate crop price) exists in this workbook — needed for Project 3, not Project 1, but worth flagging now since Project 1’s recommendation layer should stay in yield units, not profit units, to avoid quietly depending on unavailable price assumptions.</w:t>
      </w:r>
      <w:r>
        <w:t xml:space="preserve"> </w:t>
      </w:r>
      <w:r>
        <w:rPr>
          <w:b/>
          <w:bCs/>
        </w:rPr>
        <w:t xml:space="preserve">Terminology.</w:t>
      </w:r>
      <w:r>
        <w:t xml:space="preserve"> </w:t>
      </w:r>
      <w:r>
        <w:rPr>
          <w:rStyle w:val="VerbatimChar"/>
        </w:rPr>
        <w:t xml:space="preserve">_kg</w:t>
      </w:r>
      <w:r>
        <w:t xml:space="preserve"> </w:t>
      </w:r>
      <w:r>
        <w:t xml:space="preserve">= raw kg applied on the surveyed plot;</w:t>
      </w:r>
      <w:r>
        <w:t xml:space="preserve"> </w:t>
      </w:r>
      <w:r>
        <w:rPr>
          <w:rStyle w:val="VerbatimChar"/>
        </w:rPr>
        <w:t xml:space="preserve">_kg_pa</w:t>
      </w:r>
      <w:r>
        <w:t xml:space="preserve"> </w:t>
      </w:r>
      <w:r>
        <w:t xml:space="preserve">= per acre;</w:t>
      </w:r>
      <w:r>
        <w:t xml:space="preserve"> </w:t>
      </w:r>
      <w:r>
        <w:rPr>
          <w:rStyle w:val="VerbatimChar"/>
        </w:rPr>
        <w:t xml:space="preserve">_kg_ph</w:t>
      </w:r>
      <w:r>
        <w:t xml:space="preserve"> </w:t>
      </w:r>
      <w:r>
        <w:t xml:space="preserve">= per hectare (the harmonized unit this project standardizes on).</w:t>
      </w:r>
      <w:r>
        <w:t xml:space="preserve"> </w:t>
      </w:r>
      <w:r>
        <w:rPr>
          <w:rStyle w:val="VerbatimChar"/>
        </w:rPr>
        <w:t xml:space="preserve">pa</w:t>
      </w:r>
      <w:r>
        <w:t xml:space="preserve">/</w:t>
      </w:r>
      <w:r>
        <w:rPr>
          <w:rStyle w:val="VerbatimChar"/>
        </w:rPr>
        <w:t xml:space="preserve">ph</w:t>
      </w:r>
      <w:r>
        <w:t xml:space="preserve"> </w:t>
      </w:r>
      <w:r>
        <w:t xml:space="preserve">variables were pre-derived by OAF from the raw</w:t>
      </w:r>
      <w:r>
        <w:t xml:space="preserve"> </w:t>
      </w:r>
      <w:r>
        <w:rPr>
          <w:rStyle w:val="VerbatimChar"/>
        </w:rPr>
        <w:t xml:space="preserve">_kg</w:t>
      </w:r>
      <w:r>
        <w:t xml:space="preserve"> </w:t>
      </w:r>
      <w:r>
        <w:t xml:space="preserve">and plot-size fields.</w:t>
      </w:r>
    </w:p>
    <w:bookmarkEnd w:id="14"/>
    <w:bookmarkStart w:id="15" w:name="data-mining-goals"/>
    <w:p>
      <w:pPr>
        <w:pStyle w:val="Heading3"/>
      </w:pPr>
      <w:r>
        <w:t xml:space="preserve">1.5 Data Mining Goals</w:t>
      </w:r>
    </w:p>
    <w:p>
      <w:pPr>
        <w:pStyle w:val="Compact"/>
        <w:numPr>
          <w:ilvl w:val="0"/>
          <w:numId w:val="1004"/>
        </w:numPr>
      </w:pPr>
      <w:r>
        <w:rPr>
          <w:b/>
          <w:bCs/>
        </w:rPr>
        <w:t xml:space="preserve">Primary:</w:t>
      </w:r>
      <w:r>
        <w:t xml:space="preserve"> </w:t>
      </w:r>
      <w:r>
        <w:t xml:space="preserve">a regression model predicting</w:t>
      </w:r>
      <w:r>
        <w:t xml:space="preserve"> </w:t>
      </w:r>
      <w:r>
        <w:rPr>
          <w:rStyle w:val="VerbatimChar"/>
        </w:rPr>
        <w:t xml:space="preserve">yield_kg_ph</w:t>
      </w:r>
      <w:r>
        <w:t xml:space="preserve">, evaluated separately per crop and per country (4 crops × 7 countries, though see Section 2.3 for which combinations actually have data).</w:t>
      </w:r>
    </w:p>
    <w:p>
      <w:pPr>
        <w:pStyle w:val="Compact"/>
        <w:numPr>
          <w:ilvl w:val="0"/>
          <w:numId w:val="1004"/>
        </w:numPr>
      </w:pPr>
      <w:r>
        <w:rPr>
          <w:b/>
          <w:bCs/>
        </w:rPr>
        <w:t xml:space="preserve">Secondary:</w:t>
      </w:r>
      <w:r>
        <w:t xml:space="preserve"> </w:t>
      </w:r>
      <w:r>
        <w:t xml:space="preserve">a recommendation layer that, given a farmer’s fixed conditions (country, plot characteristics, budget) and a set of controllable inputs, proposes the input bundle predicted to maximize</w:t>
      </w:r>
      <w:r>
        <w:t xml:space="preserve"> </w:t>
      </w:r>
      <w:r>
        <w:rPr>
          <w:rStyle w:val="VerbatimChar"/>
        </w:rPr>
        <w:t xml:space="preserve">yield_kg_ph</w:t>
      </w:r>
      <w:r>
        <w:t xml:space="preserve">.</w:t>
      </w:r>
    </w:p>
    <w:p>
      <w:pPr>
        <w:pStyle w:val="Compact"/>
        <w:numPr>
          <w:ilvl w:val="0"/>
          <w:numId w:val="1004"/>
        </w:numPr>
      </w:pPr>
      <w:r>
        <w:rPr>
          <w:b/>
          <w:bCs/>
        </w:rPr>
        <w:t xml:space="preserve">Data mining success criteria:</w:t>
      </w:r>
      <w:r>
        <w:t xml:space="preserve"> </w:t>
      </w:r>
      <w:r>
        <w:t xml:space="preserve">beat a naive country×crop median-yield baseline by a meaningful margin (target: ≥15–20% reduction in MAE over baseline, to be finalized once baseline is run) on out-of-time validation, with SHAP-based explanations that domain reviewers accept as agronomically sane.</w:t>
      </w:r>
    </w:p>
    <w:bookmarkEnd w:id="15"/>
    <w:bookmarkStart w:id="16" w:name="project-plan"/>
    <w:p>
      <w:pPr>
        <w:pStyle w:val="Heading3"/>
      </w:pPr>
      <w:r>
        <w:t xml:space="preserve">1.6 Project Plan</w:t>
      </w:r>
    </w:p>
    <w:p>
      <w:pPr>
        <w:pStyle w:val="FirstParagraph"/>
      </w:pPr>
      <w:r>
        <w:t xml:space="preserve">Phase order follows this document’s sections. Given the coverage disparities found in Data Understanding, the realistic build order is: (1) harmonize + baseline on</w:t>
      </w:r>
      <w:r>
        <w:t xml:space="preserve"> </w:t>
      </w:r>
      <w:r>
        <w:rPr>
          <w:b/>
          <w:bCs/>
        </w:rPr>
        <w:t xml:space="preserve">maize</w:t>
      </w:r>
      <w:r>
        <w:t xml:space="preserve"> </w:t>
      </w:r>
      <w:r>
        <w:t xml:space="preserve">only, since it is the one crop present in all 7 countries and has the largest N (45,569 rows) — this de-risks the country-harmonization work before tackling the bean/potato subset that exists only in Burundi and Rwanda; (2) extend to beans/climbing beans/potato once the maize pipeline validates; (3) layer in the optimization/recommendation logic last, since it depends on a trustworthy response surface from (1)–(2).</w:t>
      </w:r>
    </w:p>
    <w:p>
      <w:r>
        <w:pict>
          <v:rect style="width:0;height:1.5pt" o:hralign="center" o:hrstd="t" o:hr="t"/>
        </w:pict>
      </w:r>
    </w:p>
    <w:bookmarkEnd w:id="16"/>
    <w:bookmarkEnd w:id="17"/>
    <w:bookmarkStart w:id="22" w:name="data-understanding"/>
    <w:p>
      <w:pPr>
        <w:pStyle w:val="Heading2"/>
      </w:pPr>
      <w:r>
        <w:t xml:space="preserve">2. Data Understanding</w:t>
      </w:r>
    </w:p>
    <w:bookmarkStart w:id="18" w:name="initial-data-collection-report"/>
    <w:p>
      <w:pPr>
        <w:pStyle w:val="Heading3"/>
      </w:pPr>
      <w:r>
        <w:t xml:space="preserve">2.1 Initial Data Collection Report</w:t>
      </w:r>
    </w:p>
    <w:p>
      <w:pPr>
        <w:pStyle w:val="FirstParagraph"/>
      </w:pPr>
      <w:r>
        <w:t xml:space="preserve">Source workbook has four sheets:</w:t>
      </w:r>
      <w:r>
        <w:t xml:space="preserve"> </w:t>
      </w:r>
      <w:r>
        <w:rPr>
          <w:rStyle w:val="VerbatimChar"/>
        </w:rPr>
        <w:t xml:space="preserve">Description</w:t>
      </w:r>
      <w:r>
        <w:t xml:space="preserve"> </w:t>
      </w:r>
      <w:r>
        <w:t xml:space="preserve">(methodology notes, reproduced below),</w:t>
      </w:r>
      <w:r>
        <w:t xml:space="preserve"> </w:t>
      </w:r>
      <w:r>
        <w:rPr>
          <w:rStyle w:val="VerbatimChar"/>
        </w:rPr>
        <w:t xml:space="preserve">Variables</w:t>
      </w:r>
      <w:r>
        <w:t xml:space="preserve"> </w:t>
      </w:r>
      <w:r>
        <w:t xml:space="preserve">(117-row data dictionary with per-country-year coverage notes),</w:t>
      </w:r>
      <w:r>
        <w:t xml:space="preserve"> </w:t>
      </w:r>
      <w:r>
        <w:rPr>
          <w:rStyle w:val="VerbatimChar"/>
        </w:rPr>
        <w:t xml:space="preserve">Data</w:t>
      </w:r>
      <w:r>
        <w:t xml:space="preserve"> </w:t>
      </w:r>
      <w:r>
        <w:t xml:space="preserve">(81,411 rows × 117 columns, the modeling table), and</w:t>
      </w:r>
      <w:r>
        <w:t xml:space="preserve"> </w:t>
      </w:r>
      <w:r>
        <w:rPr>
          <w:rStyle w:val="VerbatimChar"/>
        </w:rPr>
        <w:t xml:space="preserve">MetaData</w:t>
      </w:r>
      <w:r>
        <w:t xml:space="preserve"> </w:t>
      </w:r>
      <w:r>
        <w:t xml:space="preserve">(not yet inventoried — recommended next action before Data Preparation begins). Data was collected 2015–2020 across Burundi, Kenya, Rwanda, Tanzania, Malawi, Zambia, and Uganda.</w:t>
      </w:r>
    </w:p>
    <w:p>
      <w:pPr>
        <w:pStyle w:val="BodyText"/>
      </w:pPr>
      <w:r>
        <w:rPr>
          <w:b/>
          <w:bCs/>
        </w:rPr>
        <w:t xml:space="preserve">Source’s own description (verbatim, from the</w:t>
      </w:r>
      <w:r>
        <w:rPr>
          <w:b/>
          <w:bCs/>
        </w:rPr>
        <w:t xml:space="preserve"> </w:t>
      </w:r>
      <w:r>
        <w:rPr>
          <w:rStyle w:val="VerbatimChar"/>
          <w:b/>
          <w:bCs/>
        </w:rPr>
        <w:t xml:space="preserve">Description</w:t>
      </w:r>
      <w:r>
        <w:rPr>
          <w:b/>
          <w:bCs/>
        </w:rPr>
        <w:t xml:space="preserve"> </w:t>
      </w:r>
      <w:r>
        <w:rPr>
          <w:b/>
          <w:bCs/>
        </w:rPr>
        <w:t xml:space="preserve">sheet):</w:t>
      </w:r>
      <w:r>
        <w:t xml:space="preserve"> </w:t>
      </w:r>
      <w:r>
        <w:t xml:space="preserve">&gt;</w:t>
      </w:r>
      <w:r>
        <w:t xml:space="preserve"> </w:t>
      </w:r>
      <w:r>
        <w:t xml:space="preserve">“These data were collected for internal monitoring and evaluation purposes. The scope of data collection therefore differed by country and by year based on internal needs. Survey questions were also not always uniform across countries. For example the estimate plot size estimates in Rwanda pertain to the individual plot on which we harvested, whereas in Tanzania and Kenya the plot refers to all land area dedicated to that crop and field type (program land vs. non program land)… Many of these data rely on self reports by farmers, which is inherently imprecise… However, harvest estimates are based on physically weighed harvests from 2 randomly placed boxes, and can be considered reliable.”</w:t>
      </w:r>
    </w:p>
    <w:p>
      <w:pPr>
        <w:pStyle w:val="BodyText"/>
      </w:pPr>
      <w:r>
        <w:t xml:space="preserve">This single paragraph is load-bearing for the whole project: it is the source’s own admission that (a) the country dimension is structural, not incidental, and (b) the target variable is trustworthy while most predictors are not.</w:t>
      </w:r>
    </w:p>
    <w:bookmarkEnd w:id="18"/>
    <w:bookmarkStart w:id="19" w:name="data-description"/>
    <w:p>
      <w:pPr>
        <w:pStyle w:val="Heading3"/>
      </w:pPr>
      <w:r>
        <w:t xml:space="preserve">2.2 Data Description</w:t>
      </w:r>
    </w:p>
    <w:p>
      <w:pPr>
        <w:pStyle w:val="FirstParagraph"/>
      </w:pPr>
      <w:r>
        <w:t xml:space="preserve">Unit of observation: one farmer’s field/plot in one growing season. 117 columns span:</w:t>
      </w:r>
      <w:r>
        <w:t xml:space="preserve"> </w:t>
      </w:r>
      <w:r>
        <w:t xml:space="preserve">-</w:t>
      </w:r>
      <w:r>
        <w:t xml:space="preserve"> </w:t>
      </w:r>
      <w:r>
        <w:rPr>
          <w:b/>
          <w:bCs/>
        </w:rPr>
        <w:t xml:space="preserve">Identifiers/geography:</w:t>
      </w:r>
      <w:r>
        <w:t xml:space="preserve"> </w:t>
      </w:r>
      <w:r>
        <w:rPr>
          <w:rStyle w:val="VerbatimChar"/>
        </w:rPr>
        <w:t xml:space="preserve">unique_id</w:t>
      </w:r>
      <w:r>
        <w:t xml:space="preserve">,</w:t>
      </w:r>
      <w:r>
        <w:t xml:space="preserve"> </w:t>
      </w:r>
      <w:r>
        <w:rPr>
          <w:rStyle w:val="VerbatimChar"/>
        </w:rPr>
        <w:t xml:space="preserve">district</w:t>
      </w:r>
      <w:r>
        <w:t xml:space="preserve">,</w:t>
      </w:r>
      <w:r>
        <w:t xml:space="preserve"> </w:t>
      </w:r>
      <w:r>
        <w:rPr>
          <w:rStyle w:val="VerbatimChar"/>
        </w:rPr>
        <w:t xml:space="preserve">site</w:t>
      </w:r>
      <w:r>
        <w:t xml:space="preserve">,</w:t>
      </w:r>
      <w:r>
        <w:t xml:space="preserve"> </w:t>
      </w:r>
      <w:r>
        <w:rPr>
          <w:rStyle w:val="VerbatimChar"/>
        </w:rPr>
        <w:t xml:space="preserve">sitename</w:t>
      </w:r>
      <w:r>
        <w:t xml:space="preserve">,</w:t>
      </w:r>
      <w:r>
        <w:t xml:space="preserve"> </w:t>
      </w:r>
      <w:r>
        <w:rPr>
          <w:rStyle w:val="VerbatimChar"/>
        </w:rPr>
        <w:t xml:space="preserve">country</w:t>
      </w:r>
      <w:r>
        <w:t xml:space="preserve">,</w:t>
      </w:r>
      <w:r>
        <w:t xml:space="preserve"> </w:t>
      </w:r>
      <w:r>
        <w:rPr>
          <w:rStyle w:val="VerbatimChar"/>
        </w:rPr>
        <w:t xml:space="preserve">year</w:t>
      </w:r>
      <w:r>
        <w:t xml:space="preserve">,</w:t>
      </w:r>
      <w:r>
        <w:t xml:space="preserve"> </w:t>
      </w:r>
      <w:r>
        <w:rPr>
          <w:rStyle w:val="VerbatimChar"/>
        </w:rPr>
        <w:t xml:space="preserve">season</w:t>
      </w:r>
      <w:r>
        <w:t xml:space="preserve">, GPS (</w:t>
      </w:r>
      <w:r>
        <w:rPr>
          <w:rStyle w:val="VerbatimChar"/>
        </w:rPr>
        <w:t xml:space="preserve">field_latitude/longitude</w:t>
      </w:r>
      <w:r>
        <w:t xml:space="preserve">,</w:t>
      </w:r>
      <w:r>
        <w:t xml:space="preserve"> </w:t>
      </w:r>
      <w:r>
        <w:rPr>
          <w:rStyle w:val="VerbatimChar"/>
        </w:rPr>
        <w:t xml:space="preserve">site_latitude/longitude</w:t>
      </w:r>
      <w:r>
        <w:t xml:space="preserve">).</w:t>
      </w:r>
      <w:r>
        <w:t xml:space="preserve"> </w:t>
      </w:r>
      <w:r>
        <w:t xml:space="preserve">-</w:t>
      </w:r>
      <w:r>
        <w:t xml:space="preserve"> </w:t>
      </w:r>
      <w:r>
        <w:rPr>
          <w:b/>
          <w:bCs/>
        </w:rPr>
        <w:t xml:space="preserve">Target/outcomes:</w:t>
      </w:r>
      <w:r>
        <w:t xml:space="preserve"> </w:t>
      </w:r>
      <w:r>
        <w:rPr>
          <w:rStyle w:val="VerbatimChar"/>
        </w:rPr>
        <w:t xml:space="preserve">yield_kg_pa</w:t>
      </w:r>
      <w:r>
        <w:t xml:space="preserve">,</w:t>
      </w:r>
      <w:r>
        <w:t xml:space="preserve"> </w:t>
      </w:r>
      <w:r>
        <w:rPr>
          <w:rStyle w:val="VerbatimChar"/>
        </w:rPr>
        <w:t xml:space="preserve">yield_kg_ph</w:t>
      </w:r>
      <w:r>
        <w:t xml:space="preserve">,</w:t>
      </w:r>
      <w:r>
        <w:t xml:space="preserve"> </w:t>
      </w:r>
      <w:r>
        <w:rPr>
          <w:rStyle w:val="VerbatimChar"/>
        </w:rPr>
        <w:t xml:space="preserve">prev_season_yield</w:t>
      </w:r>
      <w:r>
        <w:t xml:space="preserve">.</w:t>
      </w:r>
      <w:r>
        <w:t xml:space="preserve"> </w:t>
      </w:r>
      <w:r>
        <w:t xml:space="preserve">-</w:t>
      </w:r>
      <w:r>
        <w:t xml:space="preserve"> </w:t>
      </w:r>
      <w:r>
        <w:rPr>
          <w:b/>
          <w:bCs/>
        </w:rPr>
        <w:t xml:space="preserve">Inputs:</w:t>
      </w:r>
      <w:r>
        <w:t xml:space="preserve"> </w:t>
      </w:r>
      <w:r>
        <w:t xml:space="preserve">fertilizer (</w:t>
      </w:r>
      <w:r>
        <w:rPr>
          <w:rStyle w:val="VerbatimChar"/>
        </w:rPr>
        <w:t xml:space="preserve">dap_kg*</w:t>
      </w:r>
      <w:r>
        <w:t xml:space="preserve">,</w:t>
      </w:r>
      <w:r>
        <w:t xml:space="preserve"> </w:t>
      </w:r>
      <w:r>
        <w:rPr>
          <w:rStyle w:val="VerbatimChar"/>
        </w:rPr>
        <w:t xml:space="preserve">urea_kg*</w:t>
      </w:r>
      <w:r>
        <w:t xml:space="preserve">,</w:t>
      </w:r>
      <w:r>
        <w:t xml:space="preserve"> </w:t>
      </w:r>
      <w:r>
        <w:rPr>
          <w:rStyle w:val="VerbatimChar"/>
        </w:rPr>
        <w:t xml:space="preserve">npk_kg*</w:t>
      </w:r>
      <w:r>
        <w:t xml:space="preserve">,</w:t>
      </w:r>
      <w:r>
        <w:t xml:space="preserve"> </w:t>
      </w:r>
      <w:r>
        <w:rPr>
          <w:rStyle w:val="VerbatimChar"/>
        </w:rPr>
        <w:t xml:space="preserve">can_kg*</w:t>
      </w:r>
      <w:r>
        <w:t xml:space="preserve">,</w:t>
      </w:r>
      <w:r>
        <w:t xml:space="preserve"> </w:t>
      </w:r>
      <w:r>
        <w:rPr>
          <w:rStyle w:val="VerbatimChar"/>
        </w:rPr>
        <w:t xml:space="preserve">lime_kg*</w:t>
      </w:r>
      <w:r>
        <w:t xml:space="preserve">), compost (</w:t>
      </w:r>
      <w:r>
        <w:rPr>
          <w:rStyle w:val="VerbatimChar"/>
        </w:rPr>
        <w:t xml:space="preserve">compost</w:t>
      </w:r>
      <w:r>
        <w:t xml:space="preserve">,</w:t>
      </w:r>
      <w:r>
        <w:t xml:space="preserve"> </w:t>
      </w:r>
      <w:r>
        <w:rPr>
          <w:rStyle w:val="VerbatimChar"/>
        </w:rPr>
        <w:t xml:space="preserve">comp_kg*</w:t>
      </w:r>
      <w:r>
        <w:t xml:space="preserve">,</w:t>
      </w:r>
      <w:r>
        <w:t xml:space="preserve"> </w:t>
      </w:r>
      <w:r>
        <w:rPr>
          <w:rStyle w:val="VerbatimChar"/>
        </w:rPr>
        <w:t xml:space="preserve">comp_method</w:t>
      </w:r>
      <w:r>
        <w:t xml:space="preserve">,</w:t>
      </w:r>
      <w:r>
        <w:t xml:space="preserve"> </w:t>
      </w:r>
      <w:r>
        <w:rPr>
          <w:rStyle w:val="VerbatimChar"/>
        </w:rPr>
        <w:t xml:space="preserve">comp_quality</w:t>
      </w:r>
      <w:r>
        <w:t xml:space="preserve">,</w:t>
      </w:r>
      <w:r>
        <w:t xml:space="preserve"> </w:t>
      </w:r>
      <w:r>
        <w:rPr>
          <w:rStyle w:val="VerbatimChar"/>
        </w:rPr>
        <w:t xml:space="preserve">comp_source</w:t>
      </w:r>
      <w:r>
        <w:t xml:space="preserve">), seed (</w:t>
      </w:r>
      <w:r>
        <w:rPr>
          <w:rStyle w:val="VerbatimChar"/>
        </w:rPr>
        <w:t xml:space="preserve">seed_type</w:t>
      </w:r>
      <w:r>
        <w:t xml:space="preserve">,</w:t>
      </w:r>
      <w:r>
        <w:t xml:space="preserve"> </w:t>
      </w:r>
      <w:r>
        <w:rPr>
          <w:rStyle w:val="VerbatimChar"/>
        </w:rPr>
        <w:t xml:space="preserve">hybrid</w:t>
      </w:r>
      <w:r>
        <w:t xml:space="preserve">,</w:t>
      </w:r>
      <w:r>
        <w:t xml:space="preserve"> </w:t>
      </w:r>
      <w:r>
        <w:rPr>
          <w:rStyle w:val="VerbatimChar"/>
        </w:rPr>
        <w:t xml:space="preserve">hybridseed_kg*</w:t>
      </w:r>
      <w:r>
        <w:t xml:space="preserve">,</w:t>
      </w:r>
      <w:r>
        <w:t xml:space="preserve"> </w:t>
      </w:r>
      <w:r>
        <w:rPr>
          <w:rStyle w:val="VerbatimChar"/>
        </w:rPr>
        <w:t xml:space="preserve">localseed_kg*</w:t>
      </w:r>
      <w:r>
        <w:t xml:space="preserve">,</w:t>
      </w:r>
      <w:r>
        <w:t xml:space="preserve"> </w:t>
      </w:r>
      <w:r>
        <w:rPr>
          <w:rStyle w:val="VerbatimChar"/>
        </w:rPr>
        <w:t xml:space="preserve">seed_depth_num</w:t>
      </w:r>
      <w:r>
        <w:t xml:space="preserve">), method fields (</w:t>
      </w:r>
      <w:r>
        <w:rPr>
          <w:rStyle w:val="VerbatimChar"/>
        </w:rPr>
        <w:t xml:space="preserve">dap_method</w:t>
      </w:r>
      <w:r>
        <w:t xml:space="preserve">,</w:t>
      </w:r>
      <w:r>
        <w:t xml:space="preserve"> </w:t>
      </w:r>
      <w:r>
        <w:rPr>
          <w:rStyle w:val="VerbatimChar"/>
        </w:rPr>
        <w:t xml:space="preserve">urea_method</w:t>
      </w:r>
      <w:r>
        <w:t xml:space="preserve">,</w:t>
      </w:r>
      <w:r>
        <w:t xml:space="preserve"> </w:t>
      </w:r>
      <w:r>
        <w:rPr>
          <w:rStyle w:val="VerbatimChar"/>
        </w:rPr>
        <w:t xml:space="preserve">npk_method</w:t>
      </w:r>
      <w:r>
        <w:t xml:space="preserve">,</w:t>
      </w:r>
      <w:r>
        <w:t xml:space="preserve"> </w:t>
      </w:r>
      <w:r>
        <w:rPr>
          <w:rStyle w:val="VerbatimChar"/>
        </w:rPr>
        <w:t xml:space="preserve">basal_method</w:t>
      </w:r>
      <w:r>
        <w:t xml:space="preserve">,</w:t>
      </w:r>
      <w:r>
        <w:t xml:space="preserve"> </w:t>
      </w:r>
      <w:r>
        <w:rPr>
          <w:rStyle w:val="VerbatimChar"/>
        </w:rPr>
        <w:t xml:space="preserve">planting_method</w:t>
      </w:r>
      <w:r>
        <w:t xml:space="preserve">).</w:t>
      </w:r>
      <w:r>
        <w:t xml:space="preserve"> </w:t>
      </w:r>
      <w:r>
        <w:t xml:space="preserve">-</w:t>
      </w:r>
      <w:r>
        <w:t xml:space="preserve"> </w:t>
      </w:r>
      <w:r>
        <w:rPr>
          <w:b/>
          <w:bCs/>
        </w:rPr>
        <w:t xml:space="preserve">Practices:</w:t>
      </w:r>
      <w:r>
        <w:t xml:space="preserve"> </w:t>
      </w:r>
      <w:r>
        <w:rPr>
          <w:rStyle w:val="VerbatimChar"/>
        </w:rPr>
        <w:t xml:space="preserve">intercrop</w:t>
      </w:r>
      <w:r>
        <w:t xml:space="preserve">,</w:t>
      </w:r>
      <w:r>
        <w:t xml:space="preserve"> </w:t>
      </w:r>
      <w:r>
        <w:rPr>
          <w:rStyle w:val="VerbatimChar"/>
        </w:rPr>
        <w:t xml:space="preserve">intercrop_type</w:t>
      </w:r>
      <w:r>
        <w:t xml:space="preserve">,</w:t>
      </w:r>
      <w:r>
        <w:t xml:space="preserve"> </w:t>
      </w:r>
      <w:r>
        <w:rPr>
          <w:rStyle w:val="VerbatimChar"/>
        </w:rPr>
        <w:t xml:space="preserve">weed</w:t>
      </w:r>
      <w:r>
        <w:t xml:space="preserve">,</w:t>
      </w:r>
      <w:r>
        <w:t xml:space="preserve"> </w:t>
      </w:r>
      <w:r>
        <w:rPr>
          <w:rStyle w:val="VerbatimChar"/>
        </w:rPr>
        <w:t xml:space="preserve">plant_date</w:t>
      </w:r>
      <w:r>
        <w:t xml:space="preserve">,</w:t>
      </w:r>
      <w:r>
        <w:t xml:space="preserve"> </w:t>
      </w:r>
      <w:r>
        <w:rPr>
          <w:rStyle w:val="VerbatimChar"/>
        </w:rPr>
        <w:t xml:space="preserve">harvest_date</w:t>
      </w:r>
      <w:r>
        <w:t xml:space="preserve">,</w:t>
      </w:r>
      <w:r>
        <w:t xml:space="preserve"> </w:t>
      </w:r>
      <w:r>
        <w:rPr>
          <w:rStyle w:val="VerbatimChar"/>
        </w:rPr>
        <w:t xml:space="preserve">row_spacing</w:t>
      </w:r>
      <w:r>
        <w:t xml:space="preserve">,</w:t>
      </w:r>
      <w:r>
        <w:t xml:space="preserve"> </w:t>
      </w:r>
      <w:r>
        <w:rPr>
          <w:rStyle w:val="VerbatimChar"/>
        </w:rPr>
        <w:t xml:space="preserve">plant_spacing</w:t>
      </w:r>
      <w:r>
        <w:t xml:space="preserve">,</w:t>
      </w:r>
      <w:r>
        <w:t xml:space="preserve"> </w:t>
      </w:r>
      <w:r>
        <w:rPr>
          <w:rStyle w:val="VerbatimChar"/>
        </w:rPr>
        <w:t xml:space="preserve">plants_sqm_spacing</w:t>
      </w:r>
      <w:r>
        <w:t xml:space="preserve">.</w:t>
      </w:r>
      <w:r>
        <w:t xml:space="preserve"> </w:t>
      </w:r>
      <w:r>
        <w:t xml:space="preserve">-</w:t>
      </w:r>
      <w:r>
        <w:t xml:space="preserve"> </w:t>
      </w:r>
      <w:r>
        <w:rPr>
          <w:b/>
          <w:bCs/>
        </w:rPr>
        <w:t xml:space="preserve">Field context:</w:t>
      </w:r>
      <w:r>
        <w:t xml:space="preserve"> </w:t>
      </w:r>
      <w:r>
        <w:rPr>
          <w:rStyle w:val="VerbatimChar"/>
        </w:rPr>
        <w:t xml:space="preserve">plot_hectares</w:t>
      </w:r>
      <w:r>
        <w:t xml:space="preserve">,</w:t>
      </w:r>
      <w:r>
        <w:t xml:space="preserve"> </w:t>
      </w:r>
      <w:r>
        <w:rPr>
          <w:rStyle w:val="VerbatimChar"/>
        </w:rPr>
        <w:t xml:space="preserve">plot_acres</w:t>
      </w:r>
      <w:r>
        <w:t xml:space="preserve">,</w:t>
      </w:r>
      <w:r>
        <w:t xml:space="preserve"> </w:t>
      </w:r>
      <w:r>
        <w:rPr>
          <w:rStyle w:val="VerbatimChar"/>
        </w:rPr>
        <w:t xml:space="preserve">fertility</w:t>
      </w:r>
      <w:r>
        <w:t xml:space="preserve">,</w:t>
      </w:r>
      <w:r>
        <w:t xml:space="preserve"> </w:t>
      </w:r>
      <w:r>
        <w:rPr>
          <w:rStyle w:val="VerbatimChar"/>
        </w:rPr>
        <w:t xml:space="preserve">slope_angle_num</w:t>
      </w:r>
      <w:r>
        <w:t xml:space="preserve">,</w:t>
      </w:r>
      <w:r>
        <w:t xml:space="preserve"> </w:t>
      </w:r>
      <w:r>
        <w:rPr>
          <w:rStyle w:val="VerbatimChar"/>
        </w:rPr>
        <w:t xml:space="preserve">slope_angle_des</w:t>
      </w:r>
      <w:r>
        <w:t xml:space="preserve">,</w:t>
      </w:r>
      <w:r>
        <w:t xml:space="preserve"> </w:t>
      </w:r>
      <w:r>
        <w:rPr>
          <w:rStyle w:val="VerbatimChar"/>
        </w:rPr>
        <w:t xml:space="preserve">distance_min</w:t>
      </w:r>
      <w:r>
        <w:t xml:space="preserve">,</w:t>
      </w:r>
      <w:r>
        <w:t xml:space="preserve"> </w:t>
      </w:r>
      <w:r>
        <w:rPr>
          <w:rStyle w:val="VerbatimChar"/>
        </w:rPr>
        <w:t xml:space="preserve">distance_meter</w:t>
      </w:r>
      <w:r>
        <w:t xml:space="preserve">.</w:t>
      </w:r>
      <w:r>
        <w:t xml:space="preserve"> </w:t>
      </w:r>
      <w:r>
        <w:t xml:space="preserve">-</w:t>
      </w:r>
      <w:r>
        <w:t xml:space="preserve"> </w:t>
      </w:r>
      <w:r>
        <w:rPr>
          <w:b/>
          <w:bCs/>
        </w:rPr>
        <w:t xml:space="preserve">Pest/disease flags:</w:t>
      </w:r>
      <w:r>
        <w:t xml:space="preserve"> </w:t>
      </w:r>
      <w:r>
        <w:rPr>
          <w:rStyle w:val="VerbatimChar"/>
        </w:rPr>
        <w:t xml:space="preserve">pest_disease</w:t>
      </w:r>
      <w:r>
        <w:t xml:space="preserve"> </w:t>
      </w:r>
      <w:r>
        <w:t xml:space="preserve">(aggregate),</w:t>
      </w:r>
      <w:r>
        <w:t xml:space="preserve"> </w:t>
      </w:r>
      <w:r>
        <w:rPr>
          <w:rStyle w:val="VerbatimChar"/>
        </w:rPr>
        <w:t xml:space="preserve">FAW</w:t>
      </w:r>
      <w:r>
        <w:t xml:space="preserve">,</w:t>
      </w:r>
      <w:r>
        <w:t xml:space="preserve"> </w:t>
      </w:r>
      <w:r>
        <w:rPr>
          <w:rStyle w:val="VerbatimChar"/>
        </w:rPr>
        <w:t xml:space="preserve">striga</w:t>
      </w:r>
      <w:r>
        <w:t xml:space="preserve">,</w:t>
      </w:r>
      <w:r>
        <w:t xml:space="preserve"> </w:t>
      </w:r>
      <w:r>
        <w:rPr>
          <w:rStyle w:val="VerbatimChar"/>
        </w:rPr>
        <w:t xml:space="preserve">stemborer</w:t>
      </w:r>
      <w:r>
        <w:t xml:space="preserve">,</w:t>
      </w:r>
      <w:r>
        <w:t xml:space="preserve"> </w:t>
      </w:r>
      <w:r>
        <w:rPr>
          <w:rStyle w:val="VerbatimChar"/>
        </w:rPr>
        <w:t xml:space="preserve">mlnd</w:t>
      </w:r>
      <w:r>
        <w:t xml:space="preserve">,</w:t>
      </w:r>
      <w:r>
        <w:t xml:space="preserve"> </w:t>
      </w:r>
      <w:r>
        <w:rPr>
          <w:rStyle w:val="VerbatimChar"/>
        </w:rPr>
        <w:t xml:space="preserve">msv</w:t>
      </w:r>
      <w:r>
        <w:t xml:space="preserve">,</w:t>
      </w:r>
      <w:r>
        <w:t xml:space="preserve"> </w:t>
      </w:r>
      <w:r>
        <w:rPr>
          <w:rStyle w:val="VerbatimChar"/>
        </w:rPr>
        <w:t xml:space="preserve">termites</w:t>
      </w:r>
      <w:r>
        <w:t xml:space="preserve">,</w:t>
      </w:r>
      <w:r>
        <w:t xml:space="preserve"> </w:t>
      </w:r>
      <w:r>
        <w:rPr>
          <w:rStyle w:val="VerbatimChar"/>
        </w:rPr>
        <w:t xml:space="preserve">cutworms</w:t>
      </w:r>
      <w:r>
        <w:t xml:space="preserve">,</w:t>
      </w:r>
      <w:r>
        <w:t xml:space="preserve"> </w:t>
      </w:r>
      <w:r>
        <w:rPr>
          <w:rStyle w:val="VerbatimChar"/>
        </w:rPr>
        <w:t xml:space="preserve">aphids</w:t>
      </w:r>
      <w:r>
        <w:t xml:space="preserve">,</w:t>
      </w:r>
      <w:r>
        <w:t xml:space="preserve"> </w:t>
      </w:r>
      <w:r>
        <w:rPr>
          <w:rStyle w:val="VerbatimChar"/>
        </w:rPr>
        <w:t xml:space="preserve">gls</w:t>
      </w:r>
      <w:r>
        <w:t xml:space="preserve">,</w:t>
      </w:r>
      <w:r>
        <w:t xml:space="preserve"> </w:t>
      </w:r>
      <w:r>
        <w:rPr>
          <w:rStyle w:val="VerbatimChar"/>
        </w:rPr>
        <w:t xml:space="preserve">anthracnose</w:t>
      </w:r>
      <w:r>
        <w:t xml:space="preserve">,</w:t>
      </w:r>
      <w:r>
        <w:t xml:space="preserve"> </w:t>
      </w:r>
      <w:r>
        <w:rPr>
          <w:rStyle w:val="VerbatimChar"/>
        </w:rPr>
        <w:t xml:space="preserve">hail</w:t>
      </w:r>
      <w:r>
        <w:t xml:space="preserve">,</w:t>
      </w:r>
      <w:r>
        <w:t xml:space="preserve"> </w:t>
      </w:r>
      <w:r>
        <w:rPr>
          <w:rStyle w:val="VerbatimChar"/>
        </w:rPr>
        <w:t xml:space="preserve">blight</w:t>
      </w:r>
      <w:r>
        <w:t xml:space="preserve">,</w:t>
      </w:r>
      <w:r>
        <w:t xml:space="preserve"> </w:t>
      </w:r>
      <w:r>
        <w:rPr>
          <w:rStyle w:val="VerbatimChar"/>
        </w:rPr>
        <w:t xml:space="preserve">stalk_rot</w:t>
      </w:r>
      <w:r>
        <w:t xml:space="preserve">,</w:t>
      </w:r>
      <w:r>
        <w:t xml:space="preserve"> </w:t>
      </w:r>
      <w:r>
        <w:rPr>
          <w:rStyle w:val="VerbatimChar"/>
        </w:rPr>
        <w:t xml:space="preserve">kelnel_rot</w:t>
      </w:r>
      <w:r>
        <w:t xml:space="preserve">.</w:t>
      </w:r>
      <w:r>
        <w:t xml:space="preserve"> </w:t>
      </w:r>
      <w:r>
        <w:t xml:space="preserve">-</w:t>
      </w:r>
      <w:r>
        <w:t xml:space="preserve"> </w:t>
      </w:r>
      <w:r>
        <w:rPr>
          <w:b/>
          <w:bCs/>
        </w:rPr>
        <w:t xml:space="preserve">Shocks:</w:t>
      </w:r>
      <w:r>
        <w:t xml:space="preserve"> </w:t>
      </w:r>
      <w:r>
        <w:rPr>
          <w:rStyle w:val="VerbatimChar"/>
        </w:rPr>
        <w:t xml:space="preserve">drought</w:t>
      </w:r>
      <w:r>
        <w:t xml:space="preserve">,</w:t>
      </w:r>
      <w:r>
        <w:t xml:space="preserve"> </w:t>
      </w:r>
      <w:r>
        <w:rPr>
          <w:rStyle w:val="VerbatimChar"/>
        </w:rPr>
        <w:t xml:space="preserve">flood</w:t>
      </w:r>
      <w:r>
        <w:t xml:space="preserve">,</w:t>
      </w:r>
      <w:r>
        <w:t xml:space="preserve"> </w:t>
      </w:r>
      <w:r>
        <w:rPr>
          <w:rStyle w:val="VerbatimChar"/>
        </w:rPr>
        <w:t xml:space="preserve">heavy_rain</w:t>
      </w:r>
      <w:r>
        <w:t xml:space="preserve">.</w:t>
      </w:r>
      <w:r>
        <w:t xml:space="preserve"> </w:t>
      </w:r>
      <w:r>
        <w:t xml:space="preserve">-</w:t>
      </w:r>
      <w:r>
        <w:t xml:space="preserve"> </w:t>
      </w:r>
      <w:r>
        <w:rPr>
          <w:b/>
          <w:bCs/>
        </w:rPr>
        <w:t xml:space="preserve">Household demographics/wealth proxies:</w:t>
      </w:r>
      <w:r>
        <w:t xml:space="preserve"> </w:t>
      </w:r>
      <w:r>
        <w:t xml:space="preserve">livestock counts (</w:t>
      </w:r>
      <w:r>
        <w:rPr>
          <w:rStyle w:val="VerbatimChar"/>
        </w:rPr>
        <w:t xml:space="preserve">chickens</w:t>
      </w:r>
      <w:r>
        <w:t xml:space="preserve">,</w:t>
      </w:r>
      <w:r>
        <w:t xml:space="preserve"> </w:t>
      </w:r>
      <w:r>
        <w:rPr>
          <w:rStyle w:val="VerbatimChar"/>
        </w:rPr>
        <w:t xml:space="preserve">cows</w:t>
      </w:r>
      <w:r>
        <w:t xml:space="preserve">,</w:t>
      </w:r>
      <w:r>
        <w:t xml:space="preserve"> </w:t>
      </w:r>
      <w:r>
        <w:rPr>
          <w:rStyle w:val="VerbatimChar"/>
        </w:rPr>
        <w:t xml:space="preserve">pigs</w:t>
      </w:r>
      <w:r>
        <w:t xml:space="preserve">,</w:t>
      </w:r>
      <w:r>
        <w:t xml:space="preserve"> </w:t>
      </w:r>
      <w:r>
        <w:rPr>
          <w:rStyle w:val="VerbatimChar"/>
        </w:rPr>
        <w:t xml:space="preserve">goats</w:t>
      </w:r>
      <w:r>
        <w:t xml:space="preserve">,</w:t>
      </w:r>
      <w:r>
        <w:t xml:space="preserve"> </w:t>
      </w:r>
      <w:r>
        <w:rPr>
          <w:rStyle w:val="VerbatimChar"/>
        </w:rPr>
        <w:t xml:space="preserve">sheep</w:t>
      </w:r>
      <w:r>
        <w:t xml:space="preserve">,</w:t>
      </w:r>
      <w:r>
        <w:t xml:space="preserve"> </w:t>
      </w:r>
      <w:r>
        <w:rPr>
          <w:rStyle w:val="VerbatimChar"/>
        </w:rPr>
        <w:t xml:space="preserve">ducks</w:t>
      </w:r>
      <w:r>
        <w:t xml:space="preserve">,</w:t>
      </w:r>
      <w:r>
        <w:t xml:space="preserve"> </w:t>
      </w:r>
      <w:r>
        <w:rPr>
          <w:rStyle w:val="VerbatimChar"/>
        </w:rPr>
        <w:t xml:space="preserve">oxen</w:t>
      </w:r>
      <w:r>
        <w:t xml:space="preserve">,</w:t>
      </w:r>
      <w:r>
        <w:t xml:space="preserve"> </w:t>
      </w:r>
      <w:r>
        <w:rPr>
          <w:rStyle w:val="VerbatimChar"/>
        </w:rPr>
        <w:t xml:space="preserve">rabbits</w:t>
      </w:r>
      <w:r>
        <w:t xml:space="preserve">,</w:t>
      </w:r>
      <w:r>
        <w:t xml:space="preserve"> </w:t>
      </w:r>
      <w:r>
        <w:rPr>
          <w:rStyle w:val="VerbatimChar"/>
        </w:rPr>
        <w:t xml:space="preserve">guinea_fowl</w:t>
      </w:r>
      <w:r>
        <w:t xml:space="preserve">,</w:t>
      </w:r>
      <w:r>
        <w:t xml:space="preserve"> </w:t>
      </w:r>
      <w:r>
        <w:rPr>
          <w:rStyle w:val="VerbatimChar"/>
        </w:rPr>
        <w:t xml:space="preserve">chicks</w:t>
      </w:r>
      <w:r>
        <w:t xml:space="preserve">), asset binaries (</w:t>
      </w:r>
      <w:r>
        <w:rPr>
          <w:rStyle w:val="VerbatimChar"/>
        </w:rPr>
        <w:t xml:space="preserve">electricity</w:t>
      </w:r>
      <w:r>
        <w:t xml:space="preserve">,</w:t>
      </w:r>
      <w:r>
        <w:t xml:space="preserve"> </w:t>
      </w:r>
      <w:r>
        <w:rPr>
          <w:rStyle w:val="VerbatimChar"/>
        </w:rPr>
        <w:t xml:space="preserve">radio_binary</w:t>
      </w:r>
      <w:r>
        <w:t xml:space="preserve">,</w:t>
      </w:r>
      <w:r>
        <w:t xml:space="preserve"> </w:t>
      </w:r>
      <w:r>
        <w:rPr>
          <w:rStyle w:val="VerbatimChar"/>
        </w:rPr>
        <w:t xml:space="preserve">bikes_binary</w:t>
      </w:r>
      <w:r>
        <w:t xml:space="preserve">,</w:t>
      </w:r>
      <w:r>
        <w:t xml:space="preserve"> </w:t>
      </w:r>
      <w:r>
        <w:rPr>
          <w:rStyle w:val="VerbatimChar"/>
        </w:rPr>
        <w:t xml:space="preserve">chicken_binary</w:t>
      </w:r>
      <w:r>
        <w:t xml:space="preserve">,</w:t>
      </w:r>
      <w:r>
        <w:t xml:space="preserve"> </w:t>
      </w:r>
      <w:r>
        <w:rPr>
          <w:rStyle w:val="VerbatimChar"/>
        </w:rPr>
        <w:t xml:space="preserve">goats_binary</w:t>
      </w:r>
      <w:r>
        <w:t xml:space="preserve">,</w:t>
      </w:r>
      <w:r>
        <w:t xml:space="preserve"> </w:t>
      </w:r>
      <w:r>
        <w:rPr>
          <w:rStyle w:val="VerbatimChar"/>
        </w:rPr>
        <w:t xml:space="preserve">cows_binary</w:t>
      </w:r>
      <w:r>
        <w:t xml:space="preserve">), household size (</w:t>
      </w:r>
      <w:r>
        <w:rPr>
          <w:rStyle w:val="VerbatimChar"/>
        </w:rPr>
        <w:t xml:space="preserve">hh_num</w:t>
      </w:r>
      <w:r>
        <w:t xml:space="preserve">,</w:t>
      </w:r>
      <w:r>
        <w:t xml:space="preserve"> </w:t>
      </w:r>
      <w:r>
        <w:rPr>
          <w:rStyle w:val="VerbatimChar"/>
        </w:rPr>
        <w:t xml:space="preserve">hh_num_under18</w:t>
      </w:r>
      <w:r>
        <w:t xml:space="preserve">,</w:t>
      </w:r>
      <w:r>
        <w:t xml:space="preserve"> </w:t>
      </w:r>
      <w:r>
        <w:rPr>
          <w:rStyle w:val="VerbatimChar"/>
        </w:rPr>
        <w:t xml:space="preserve">hh_num_under5</w:t>
      </w:r>
      <w:r>
        <w:t xml:space="preserve">).</w:t>
      </w:r>
      <w:r>
        <w:t xml:space="preserve"> </w:t>
      </w:r>
      <w:r>
        <w:t xml:space="preserve">-</w:t>
      </w:r>
      <w:r>
        <w:t xml:space="preserve"> </w:t>
      </w:r>
      <w:r>
        <w:rPr>
          <w:b/>
          <w:bCs/>
        </w:rPr>
        <w:t xml:space="preserve">Prior-season carryover:</w:t>
      </w:r>
      <w:r>
        <w:t xml:space="preserve"> </w:t>
      </w:r>
      <w:r>
        <w:rPr>
          <w:rStyle w:val="VerbatimChar"/>
        </w:rPr>
        <w:t xml:space="preserve">prev_season_lime_kg</w:t>
      </w:r>
      <w:r>
        <w:t xml:space="preserve">,</w:t>
      </w:r>
      <w:r>
        <w:t xml:space="preserve"> </w:t>
      </w:r>
      <w:r>
        <w:rPr>
          <w:rStyle w:val="VerbatimChar"/>
        </w:rPr>
        <w:t xml:space="preserve">prev_season_npk_kg</w:t>
      </w:r>
      <w:r>
        <w:t xml:space="preserve">,</w:t>
      </w:r>
      <w:r>
        <w:t xml:space="preserve"> </w:t>
      </w:r>
      <w:r>
        <w:rPr>
          <w:rStyle w:val="VerbatimChar"/>
        </w:rPr>
        <w:t xml:space="preserve">prev_season_dap_kg</w:t>
      </w:r>
      <w:r>
        <w:t xml:space="preserve">,</w:t>
      </w:r>
      <w:r>
        <w:t xml:space="preserve"> </w:t>
      </w:r>
      <w:r>
        <w:rPr>
          <w:rStyle w:val="VerbatimChar"/>
        </w:rPr>
        <w:t xml:space="preserve">prev_season_can_kg</w:t>
      </w:r>
      <w:r>
        <w:t xml:space="preserve">,</w:t>
      </w:r>
      <w:r>
        <w:t xml:space="preserve"> </w:t>
      </w:r>
      <w:r>
        <w:rPr>
          <w:rStyle w:val="VerbatimChar"/>
        </w:rPr>
        <w:t xml:space="preserve">prev_season_urea_kg</w:t>
      </w:r>
      <w:r>
        <w:t xml:space="preserve">,</w:t>
      </w:r>
      <w:r>
        <w:t xml:space="preserve"> </w:t>
      </w:r>
      <w:r>
        <w:rPr>
          <w:rStyle w:val="VerbatimChar"/>
        </w:rPr>
        <w:t xml:space="preserve">prev_season_yield</w:t>
      </w:r>
      <w:r>
        <w:t xml:space="preserve">.</w:t>
      </w:r>
    </w:p>
    <w:bookmarkEnd w:id="19"/>
    <w:bookmarkStart w:id="20" w:name="data-exploration"/>
    <w:p>
      <w:pPr>
        <w:pStyle w:val="Heading3"/>
      </w:pPr>
      <w:r>
        <w:t xml:space="preserve">2.3 Data Exploration</w:t>
      </w:r>
    </w:p>
    <w:p>
      <w:pPr>
        <w:pStyle w:val="FirstParagraph"/>
      </w:pPr>
      <w:r>
        <w:rPr>
          <w:b/>
          <w:bCs/>
        </w:rPr>
        <w:t xml:space="preserve">Crop distribution:</w:t>
      </w:r>
      <w:r>
        <w:t xml:space="preserve"> </w:t>
      </w:r>
      <w:r>
        <w:t xml:space="preserve">maize 45,569 · climbing beans 22,951 · bush beans 8,749 · potato 4,134 · 8 rows missing crop label.</w:t>
      </w:r>
    </w:p>
    <w:p>
      <w:pPr>
        <w:pStyle w:val="BodyText"/>
      </w:pPr>
      <w:r>
        <w:rPr>
          <w:b/>
          <w:bCs/>
        </w:rPr>
        <w:t xml:space="preserve">Country distribution:</w:t>
      </w:r>
      <w:r>
        <w:t xml:space="preserve"> </w:t>
      </w:r>
      <w:r>
        <w:t xml:space="preserve">Burundi 23,956 · Kenya 23,674 · Rwanda 23,363 · Tanzania 5,881 · Malawi 2,594 · Zambia 1,697 · Uganda 246.</w:t>
      </w:r>
    </w:p>
    <w:p>
      <w:pPr>
        <w:pStyle w:val="BodyText"/>
      </w:pPr>
      <w:r>
        <w:rPr>
          <w:b/>
          <w:bCs/>
        </w:rPr>
        <w:t xml:space="preserve">Year distribution:</w:t>
      </w:r>
      <w:r>
        <w:t xml:space="preserve"> </w:t>
      </w:r>
      <w:r>
        <w:t xml:space="preserve">2015: 4,316 · 2016: 13,078 · 2017: 14,967 · 2018: 10,264 · 2019: 19,279 · 2020: 19,507.</w:t>
      </w:r>
    </w:p>
    <w:p>
      <w:pPr>
        <w:pStyle w:val="BodyText"/>
      </w:pPr>
      <w:r>
        <w:rPr>
          <w:b/>
          <w:bCs/>
        </w:rPr>
        <w:t xml:space="preserve">Critical structural finding — country × crop is a near-block-diagonal matrix, not a full grid: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jc w:val="right"/>
            </w:pPr>
            <w:r>
              <w:t xml:space="preserve">Beans</w:t>
            </w:r>
          </w:p>
        </w:tc>
        <w:tc>
          <w:tcPr/>
          <w:p>
            <w:pPr>
              <w:pStyle w:val="Compact"/>
              <w:jc w:val="right"/>
            </w:pPr>
            <w:r>
              <w:t xml:space="preserve">Climbing beans</w:t>
            </w:r>
          </w:p>
        </w:tc>
        <w:tc>
          <w:tcPr/>
          <w:p>
            <w:pPr>
              <w:pStyle w:val="Compact"/>
              <w:jc w:val="right"/>
            </w:pPr>
            <w:r>
              <w:t xml:space="preserve">Maize</w:t>
            </w:r>
          </w:p>
        </w:tc>
        <w:tc>
          <w:tcPr/>
          <w:p>
            <w:pPr>
              <w:pStyle w:val="Compact"/>
              <w:jc w:val="right"/>
            </w:pPr>
            <w:r>
              <w:t xml:space="preserve">Potato</w:t>
            </w:r>
          </w:p>
        </w:tc>
      </w:tr>
      <w:tr>
        <w:tc>
          <w:tcPr/>
          <w:p>
            <w:pPr>
              <w:pStyle w:val="Compact"/>
            </w:pPr>
            <w:r>
              <w:t xml:space="preserve">Burundi</w:t>
            </w:r>
          </w:p>
        </w:tc>
        <w:tc>
          <w:tcPr/>
          <w:p>
            <w:pPr>
              <w:pStyle w:val="Compact"/>
              <w:jc w:val="right"/>
            </w:pPr>
            <w:r>
              <w:t xml:space="preserve">1,003</w:t>
            </w:r>
          </w:p>
        </w:tc>
        <w:tc>
          <w:tcPr/>
          <w:p>
            <w:pPr>
              <w:pStyle w:val="Compact"/>
              <w:jc w:val="right"/>
            </w:pPr>
            <w:r>
              <w:t xml:space="preserve">15,148</w:t>
            </w:r>
          </w:p>
        </w:tc>
        <w:tc>
          <w:tcPr/>
          <w:p>
            <w:pPr>
              <w:pStyle w:val="Compact"/>
              <w:jc w:val="right"/>
            </w:pPr>
            <w:r>
              <w:t xml:space="preserve">5,873</w:t>
            </w:r>
          </w:p>
        </w:tc>
        <w:tc>
          <w:tcPr/>
          <w:p>
            <w:pPr>
              <w:pStyle w:val="Compact"/>
              <w:jc w:val="right"/>
            </w:pPr>
            <w:r>
              <w:t xml:space="preserve">1,932</w:t>
            </w:r>
          </w:p>
        </w:tc>
      </w:tr>
      <w:tr>
        <w:tc>
          <w:tcPr/>
          <w:p>
            <w:pPr>
              <w:pStyle w:val="Compact"/>
            </w:pPr>
            <w:r>
              <w:t xml:space="preserve">Kenya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23,674</w:t>
            </w:r>
          </w:p>
        </w:tc>
        <w:tc>
          <w:tcPr/>
          <w:p>
            <w:pPr>
              <w:pStyle w:val="Compact"/>
              <w:jc w:val="right"/>
            </w:pPr>
            <w:r>
              <w:t xml:space="preserve">0</w:t>
            </w:r>
          </w:p>
        </w:tc>
      </w:tr>
      <w:tr>
        <w:tc>
          <w:tcPr/>
          <w:p>
            <w:pPr>
              <w:pStyle w:val="Compact"/>
            </w:pPr>
            <w:r>
              <w:t xml:space="preserve">Malawi</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2,594</w:t>
            </w:r>
          </w:p>
        </w:tc>
        <w:tc>
          <w:tcPr/>
          <w:p>
            <w:pPr>
              <w:pStyle w:val="Compact"/>
              <w:jc w:val="right"/>
            </w:pPr>
            <w:r>
              <w:t xml:space="preserve">0</w:t>
            </w:r>
          </w:p>
        </w:tc>
      </w:tr>
      <w:tr>
        <w:tc>
          <w:tcPr/>
          <w:p>
            <w:pPr>
              <w:pStyle w:val="Compact"/>
            </w:pPr>
            <w:r>
              <w:t xml:space="preserve">Rwanda</w:t>
            </w:r>
          </w:p>
        </w:tc>
        <w:tc>
          <w:tcPr/>
          <w:p>
            <w:pPr>
              <w:pStyle w:val="Compact"/>
              <w:jc w:val="right"/>
            </w:pPr>
            <w:r>
              <w:t xml:space="preserve">7,746</w:t>
            </w:r>
          </w:p>
        </w:tc>
        <w:tc>
          <w:tcPr/>
          <w:p>
            <w:pPr>
              <w:pStyle w:val="Compact"/>
              <w:jc w:val="right"/>
            </w:pPr>
            <w:r>
              <w:t xml:space="preserve">7,803</w:t>
            </w:r>
          </w:p>
        </w:tc>
        <w:tc>
          <w:tcPr/>
          <w:p>
            <w:pPr>
              <w:pStyle w:val="Compact"/>
              <w:jc w:val="right"/>
            </w:pPr>
            <w:r>
              <w:t xml:space="preserve">5,604</w:t>
            </w:r>
          </w:p>
        </w:tc>
        <w:tc>
          <w:tcPr/>
          <w:p>
            <w:pPr>
              <w:pStyle w:val="Compact"/>
              <w:jc w:val="right"/>
            </w:pPr>
            <w:r>
              <w:t xml:space="preserve">2,202</w:t>
            </w:r>
          </w:p>
        </w:tc>
      </w:tr>
      <w:tr>
        <w:tc>
          <w:tcPr/>
          <w:p>
            <w:pPr>
              <w:pStyle w:val="Compact"/>
            </w:pPr>
            <w:r>
              <w:t xml:space="preserve">Tanzania</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5,881</w:t>
            </w:r>
          </w:p>
        </w:tc>
        <w:tc>
          <w:tcPr/>
          <w:p>
            <w:pPr>
              <w:pStyle w:val="Compact"/>
              <w:jc w:val="right"/>
            </w:pPr>
            <w:r>
              <w:t xml:space="preserve">0</w:t>
            </w:r>
          </w:p>
        </w:tc>
      </w:tr>
      <w:tr>
        <w:tc>
          <w:tcPr/>
          <w:p>
            <w:pPr>
              <w:pStyle w:val="Compact"/>
            </w:pPr>
            <w:r>
              <w:t xml:space="preserve">Uganda</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246</w:t>
            </w:r>
          </w:p>
        </w:tc>
        <w:tc>
          <w:tcPr/>
          <w:p>
            <w:pPr>
              <w:pStyle w:val="Compact"/>
              <w:jc w:val="right"/>
            </w:pPr>
            <w:r>
              <w:t xml:space="preserve">0</w:t>
            </w:r>
          </w:p>
        </w:tc>
      </w:tr>
      <w:tr>
        <w:tc>
          <w:tcPr/>
          <w:p>
            <w:pPr>
              <w:pStyle w:val="Compact"/>
            </w:pPr>
            <w:r>
              <w:t xml:space="preserve">Zambia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1,697</w:t>
            </w:r>
          </w:p>
        </w:tc>
        <w:tc>
          <w:tcPr/>
          <w:p>
            <w:pPr>
              <w:pStyle w:val="Compact"/>
              <w:jc w:val="right"/>
            </w:pPr>
            <w:r>
              <w:t xml:space="preserve">0</w:t>
            </w:r>
          </w:p>
        </w:tc>
      </w:tr>
    </w:tbl>
    <w:p>
      <w:pPr>
        <w:pStyle w:val="BodyText"/>
      </w:pPr>
      <w:r>
        <w:rPr>
          <w:b/>
          <w:bCs/>
        </w:rPr>
        <w:t xml:space="preserve">Maize is the only crop present in all 7 countries.</w:t>
      </w:r>
      <w:r>
        <w:t xml:space="preserve"> </w:t>
      </w:r>
      <w:r>
        <w:t xml:space="preserve">Beans, climbing beans, and potato exist only in Burundi and Rwanda. This directly changes the modeling scope in Section 1.6: a genuinely</w:t>
      </w:r>
      <w:r>
        <w:t xml:space="preserve"> </w:t>
      </w:r>
      <w:r>
        <w:t xml:space="preserve">“cross-country”</w:t>
      </w:r>
      <w:r>
        <w:t xml:space="preserve"> </w:t>
      </w:r>
      <w:r>
        <w:t xml:space="preserve">model can only be validated cross-country on maize; the legume/potato models are inherently Burundi/Rwanda-only and should be framed as such rather than implied to generalize further.</w:t>
      </w:r>
    </w:p>
    <w:p>
      <w:pPr>
        <w:pStyle w:val="BodyText"/>
      </w:pPr>
      <w:r>
        <w:rPr>
          <w:b/>
          <w:bCs/>
        </w:rPr>
        <w:t xml:space="preserve">Country × year coverage is also uneven</w:t>
      </w:r>
      <w:r>
        <w:t xml:space="preserve"> </w:t>
      </w:r>
      <w:r>
        <w:t xml:space="preserve">— not every country has data in every year, which constrains the out-of-time holdout strategy (Section 3.5):</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Year</w:t>
            </w:r>
          </w:p>
        </w:tc>
        <w:tc>
          <w:tcPr/>
          <w:p>
            <w:pPr>
              <w:pStyle w:val="Compact"/>
              <w:jc w:val="right"/>
            </w:pPr>
            <w:r>
              <w:t xml:space="preserve">Burundi</w:t>
            </w:r>
          </w:p>
        </w:tc>
        <w:tc>
          <w:tcPr/>
          <w:p>
            <w:pPr>
              <w:pStyle w:val="Compact"/>
              <w:jc w:val="right"/>
            </w:pPr>
            <w:r>
              <w:t xml:space="preserve">Kenya</w:t>
            </w:r>
          </w:p>
        </w:tc>
        <w:tc>
          <w:tcPr/>
          <w:p>
            <w:pPr>
              <w:pStyle w:val="Compact"/>
              <w:jc w:val="right"/>
            </w:pPr>
            <w:r>
              <w:t xml:space="preserve">Malawi</w:t>
            </w:r>
          </w:p>
        </w:tc>
        <w:tc>
          <w:tcPr/>
          <w:p>
            <w:pPr>
              <w:pStyle w:val="Compact"/>
              <w:jc w:val="right"/>
            </w:pPr>
            <w:r>
              <w:t xml:space="preserve">Rwanda</w:t>
            </w:r>
          </w:p>
        </w:tc>
        <w:tc>
          <w:tcPr/>
          <w:p>
            <w:pPr>
              <w:pStyle w:val="Compact"/>
              <w:jc w:val="right"/>
            </w:pPr>
            <w:r>
              <w:t xml:space="preserve">Tanzania</w:t>
            </w:r>
          </w:p>
        </w:tc>
        <w:tc>
          <w:tcPr/>
          <w:p>
            <w:pPr>
              <w:pStyle w:val="Compact"/>
              <w:jc w:val="right"/>
            </w:pPr>
            <w:r>
              <w:t xml:space="preserve">Uganda</w:t>
            </w:r>
          </w:p>
        </w:tc>
        <w:tc>
          <w:tcPr/>
          <w:p>
            <w:pPr>
              <w:pStyle w:val="Compact"/>
              <w:jc w:val="right"/>
            </w:pPr>
            <w:r>
              <w:t xml:space="preserve">Zambia</w:t>
            </w:r>
          </w:p>
        </w:tc>
      </w:tr>
      <w:tr>
        <w:tc>
          <w:tcPr/>
          <w:p>
            <w:pPr>
              <w:pStyle w:val="Compact"/>
            </w:pPr>
            <w:r>
              <w:t xml:space="preserve">2015</w:t>
            </w:r>
          </w:p>
        </w:tc>
        <w:tc>
          <w:tcPr/>
          <w:p>
            <w:pPr>
              <w:pStyle w:val="Compact"/>
              <w:jc w:val="right"/>
            </w:pPr>
            <w:r>
              <w:t xml:space="preserve">4,316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2016</w:t>
            </w:r>
          </w:p>
        </w:tc>
        <w:tc>
          <w:tcPr/>
          <w:p>
            <w:pPr>
              <w:pStyle w:val="Compact"/>
              <w:jc w:val="right"/>
            </w:pPr>
            <w:r>
              <w:t xml:space="preserve">4,100</w:t>
            </w:r>
          </w:p>
        </w:tc>
        <w:tc>
          <w:tcPr/>
          <w:p>
            <w:pPr>
              <w:pStyle w:val="Compact"/>
              <w:jc w:val="right"/>
            </w:pPr>
            <w:r>
              <w:t xml:space="preserve">3,876</w:t>
            </w:r>
          </w:p>
        </w:tc>
        <w:tc>
          <w:tcPr/>
          <w:p>
            <w:pPr>
              <w:pStyle w:val="Compact"/>
              <w:jc w:val="right"/>
            </w:pPr>
            <w:r>
              <w:t xml:space="preserve">–</w:t>
            </w:r>
          </w:p>
        </w:tc>
        <w:tc>
          <w:tcPr/>
          <w:p>
            <w:pPr>
              <w:pStyle w:val="Compact"/>
              <w:jc w:val="right"/>
            </w:pPr>
            <w:r>
              <w:t xml:space="preserve">3,725</w:t>
            </w:r>
          </w:p>
        </w:tc>
        <w:tc>
          <w:tcPr/>
          <w:p>
            <w:pPr>
              <w:pStyle w:val="Compact"/>
              <w:jc w:val="right"/>
            </w:pPr>
            <w:r>
              <w:t xml:space="preserve">1,377</w:t>
            </w:r>
          </w:p>
        </w:tc>
        <w:tc>
          <w:tcPr/>
          <w:p>
            <w:pPr>
              <w:pStyle w:val="Compact"/>
              <w:jc w:val="right"/>
            </w:pPr>
            <w:r>
              <w:t xml:space="preserve">–</w:t>
            </w:r>
          </w:p>
        </w:tc>
        <w:tc>
          <w:tcPr/>
          <w:p>
            <w:pPr>
              <w:pStyle w:val="Compact"/>
              <w:jc w:val="right"/>
            </w:pPr>
            <w:r>
              <w:t xml:space="preserve">–</w:t>
            </w:r>
          </w:p>
        </w:tc>
      </w:tr>
      <w:tr>
        <w:tc>
          <w:tcPr/>
          <w:p>
            <w:pPr>
              <w:pStyle w:val="Compact"/>
            </w:pPr>
            <w:r>
              <w:t xml:space="preserve">2017</w:t>
            </w:r>
          </w:p>
        </w:tc>
        <w:tc>
          <w:tcPr/>
          <w:p>
            <w:pPr>
              <w:pStyle w:val="Compact"/>
              <w:jc w:val="right"/>
            </w:pPr>
            <w:r>
              <w:t xml:space="preserve">4,869</w:t>
            </w:r>
          </w:p>
        </w:tc>
        <w:tc>
          <w:tcPr/>
          <w:p>
            <w:pPr>
              <w:pStyle w:val="Compact"/>
              <w:jc w:val="right"/>
            </w:pPr>
            <w:r>
              <w:t xml:space="preserve">3,991</w:t>
            </w:r>
          </w:p>
        </w:tc>
        <w:tc>
          <w:tcPr/>
          <w:p>
            <w:pPr>
              <w:pStyle w:val="Compact"/>
              <w:jc w:val="right"/>
            </w:pPr>
            <w:r>
              <w:t xml:space="preserve">–</w:t>
            </w:r>
          </w:p>
        </w:tc>
        <w:tc>
          <w:tcPr/>
          <w:p>
            <w:pPr>
              <w:pStyle w:val="Compact"/>
              <w:jc w:val="right"/>
            </w:pPr>
            <w:r>
              <w:t xml:space="preserve">4,484</w:t>
            </w:r>
          </w:p>
        </w:tc>
        <w:tc>
          <w:tcPr/>
          <w:p>
            <w:pPr>
              <w:pStyle w:val="Compact"/>
              <w:jc w:val="right"/>
            </w:pPr>
            <w:r>
              <w:t xml:space="preserve">1,623</w:t>
            </w:r>
          </w:p>
        </w:tc>
        <w:tc>
          <w:tcPr/>
          <w:p>
            <w:pPr>
              <w:pStyle w:val="Compact"/>
              <w:jc w:val="right"/>
            </w:pPr>
            <w:r>
              <w:t xml:space="preserve">–</w:t>
            </w:r>
          </w:p>
        </w:tc>
        <w:tc>
          <w:tcPr/>
          <w:p>
            <w:pPr>
              <w:pStyle w:val="Compact"/>
              <w:jc w:val="right"/>
            </w:pPr>
            <w:r>
              <w:t xml:space="preserve">–</w:t>
            </w:r>
          </w:p>
        </w:tc>
      </w:tr>
      <w:tr>
        <w:tc>
          <w:tcPr/>
          <w:p>
            <w:pPr>
              <w:pStyle w:val="Compact"/>
            </w:pPr>
            <w:r>
              <w:t xml:space="preserve">2018</w:t>
            </w:r>
          </w:p>
        </w:tc>
        <w:tc>
          <w:tcPr/>
          <w:p>
            <w:pPr>
              <w:pStyle w:val="Compact"/>
              <w:jc w:val="right"/>
            </w:pPr>
            <w:r>
              <w:t xml:space="preserve">–</w:t>
            </w:r>
          </w:p>
        </w:tc>
        <w:tc>
          <w:tcPr/>
          <w:p>
            <w:pPr>
              <w:pStyle w:val="Compact"/>
              <w:jc w:val="right"/>
            </w:pPr>
            <w:r>
              <w:t xml:space="preserve">4,245</w:t>
            </w:r>
          </w:p>
        </w:tc>
        <w:tc>
          <w:tcPr/>
          <w:p>
            <w:pPr>
              <w:pStyle w:val="Compact"/>
              <w:jc w:val="right"/>
            </w:pPr>
            <w:r>
              <w:t xml:space="preserve">–</w:t>
            </w:r>
          </w:p>
        </w:tc>
        <w:tc>
          <w:tcPr/>
          <w:p>
            <w:pPr>
              <w:pStyle w:val="Compact"/>
              <w:jc w:val="right"/>
            </w:pPr>
            <w:r>
              <w:t xml:space="preserve">4,426</w:t>
            </w:r>
          </w:p>
        </w:tc>
        <w:tc>
          <w:tcPr/>
          <w:p>
            <w:pPr>
              <w:pStyle w:val="Compact"/>
              <w:jc w:val="right"/>
            </w:pPr>
            <w:r>
              <w:t xml:space="preserve">1,066</w:t>
            </w:r>
          </w:p>
        </w:tc>
        <w:tc>
          <w:tcPr/>
          <w:p>
            <w:pPr>
              <w:pStyle w:val="Compact"/>
              <w:jc w:val="right"/>
            </w:pPr>
            <w:r>
              <w:t xml:space="preserve">–</w:t>
            </w:r>
          </w:p>
        </w:tc>
        <w:tc>
          <w:tcPr/>
          <w:p>
            <w:pPr>
              <w:pStyle w:val="Compact"/>
              <w:jc w:val="right"/>
            </w:pPr>
            <w:r>
              <w:t xml:space="preserve">527</w:t>
            </w:r>
          </w:p>
        </w:tc>
      </w:tr>
      <w:tr>
        <w:tc>
          <w:tcPr/>
          <w:p>
            <w:pPr>
              <w:pStyle w:val="Compact"/>
            </w:pPr>
            <w:r>
              <w:t xml:space="preserve">2019</w:t>
            </w:r>
          </w:p>
        </w:tc>
        <w:tc>
          <w:tcPr/>
          <w:p>
            <w:pPr>
              <w:pStyle w:val="Compact"/>
              <w:jc w:val="right"/>
            </w:pPr>
            <w:r>
              <w:t xml:space="preserve">6,094</w:t>
            </w:r>
          </w:p>
        </w:tc>
        <w:tc>
          <w:tcPr/>
          <w:p>
            <w:pPr>
              <w:pStyle w:val="Compact"/>
              <w:jc w:val="right"/>
            </w:pPr>
            <w:r>
              <w:t xml:space="preserve">5,372</w:t>
            </w:r>
          </w:p>
        </w:tc>
        <w:tc>
          <w:tcPr/>
          <w:p>
            <w:pPr>
              <w:pStyle w:val="Compact"/>
              <w:jc w:val="right"/>
            </w:pPr>
            <w:r>
              <w:t xml:space="preserve">–</w:t>
            </w:r>
          </w:p>
        </w:tc>
        <w:tc>
          <w:tcPr/>
          <w:p>
            <w:pPr>
              <w:pStyle w:val="Compact"/>
              <w:jc w:val="right"/>
            </w:pPr>
            <w:r>
              <w:t xml:space="preserve">5,436</w:t>
            </w:r>
          </w:p>
        </w:tc>
        <w:tc>
          <w:tcPr/>
          <w:p>
            <w:pPr>
              <w:pStyle w:val="Compact"/>
              <w:jc w:val="right"/>
            </w:pPr>
            <w:r>
              <w:t xml:space="preserve">1,622</w:t>
            </w:r>
          </w:p>
        </w:tc>
        <w:tc>
          <w:tcPr/>
          <w:p>
            <w:pPr>
              <w:pStyle w:val="Compact"/>
              <w:jc w:val="right"/>
            </w:pPr>
            <w:r>
              <w:t xml:space="preserve">–</w:t>
            </w:r>
          </w:p>
        </w:tc>
        <w:tc>
          <w:tcPr/>
          <w:p>
            <w:pPr>
              <w:pStyle w:val="Compact"/>
              <w:jc w:val="right"/>
            </w:pPr>
            <w:r>
              <w:t xml:space="preserve">755</w:t>
            </w:r>
          </w:p>
        </w:tc>
      </w:tr>
      <w:tr>
        <w:tc>
          <w:tcPr/>
          <w:p>
            <w:pPr>
              <w:pStyle w:val="Compact"/>
            </w:pPr>
            <w:r>
              <w:t xml:space="preserve">2020</w:t>
            </w:r>
          </w:p>
        </w:tc>
        <w:tc>
          <w:tcPr/>
          <w:p>
            <w:pPr>
              <w:pStyle w:val="Compact"/>
              <w:jc w:val="right"/>
            </w:pPr>
            <w:r>
              <w:t xml:space="preserve">4,577</w:t>
            </w:r>
          </w:p>
        </w:tc>
        <w:tc>
          <w:tcPr/>
          <w:p>
            <w:pPr>
              <w:pStyle w:val="Compact"/>
              <w:jc w:val="right"/>
            </w:pPr>
            <w:r>
              <w:t xml:space="preserve">6,190</w:t>
            </w:r>
          </w:p>
        </w:tc>
        <w:tc>
          <w:tcPr/>
          <w:p>
            <w:pPr>
              <w:pStyle w:val="Compact"/>
              <w:jc w:val="right"/>
            </w:pPr>
            <w:r>
              <w:t xml:space="preserve">2,594</w:t>
            </w:r>
          </w:p>
        </w:tc>
        <w:tc>
          <w:tcPr/>
          <w:p>
            <w:pPr>
              <w:pStyle w:val="Compact"/>
              <w:jc w:val="right"/>
            </w:pPr>
            <w:r>
              <w:t xml:space="preserve">5,292</w:t>
            </w:r>
          </w:p>
        </w:tc>
        <w:tc>
          <w:tcPr/>
          <w:p>
            <w:pPr>
              <w:pStyle w:val="Compact"/>
              <w:jc w:val="right"/>
            </w:pPr>
            <w:r>
              <w:t xml:space="preserve">193</w:t>
            </w:r>
          </w:p>
        </w:tc>
        <w:tc>
          <w:tcPr/>
          <w:p>
            <w:pPr>
              <w:pStyle w:val="Compact"/>
              <w:jc w:val="right"/>
            </w:pPr>
            <w:r>
              <w:t xml:space="preserve">246</w:t>
            </w:r>
          </w:p>
        </w:tc>
        <w:tc>
          <w:tcPr/>
          <w:p>
            <w:pPr>
              <w:pStyle w:val="Compact"/>
              <w:jc w:val="right"/>
            </w:pPr>
            <w:r>
              <w:t xml:space="preserve">415</w:t>
            </w:r>
          </w:p>
        </w:tc>
      </w:tr>
    </w:tbl>
    <w:p>
      <w:pPr>
        <w:pStyle w:val="BodyText"/>
      </w:pPr>
      <w:r>
        <w:t xml:space="preserve">Burundi has no 2018 data, Kenya no 2015 data, Malawi/Uganda only appear in 2020, and Tanzania’s 2020 slice is thin (193 rows).</w:t>
      </w:r>
      <w:r>
        <w:t xml:space="preserve"> </w:t>
      </w:r>
      <w:r>
        <w:t xml:space="preserve">“Hold out one full year per country”</w:t>
      </w:r>
      <w:r>
        <w:t xml:space="preserve"> </w:t>
      </w:r>
      <w:r>
        <w:t xml:space="preserve">(as stated in the README) is therefore only cleanly achievable for Burundi, Kenya, Rwanda, and Tanzania; Malawi, Uganda, and Zambia don’t yet have enough multi-year history to support an out-of-time split and should initially be treated as small in-sample validation sets, or folded into the maize model’s pooled cross-validation rather than given their own holdout year.</w:t>
      </w:r>
    </w:p>
    <w:p>
      <w:pPr>
        <w:pStyle w:val="BodyText"/>
      </w:pPr>
      <w:r>
        <w:rPr>
          <w:b/>
          <w:bCs/>
        </w:rPr>
        <w:t xml:space="preserve">Target variable (</w:t>
      </w:r>
      <w:r>
        <w:rPr>
          <w:rStyle w:val="VerbatimChar"/>
          <w:b/>
          <w:bCs/>
        </w:rPr>
        <w:t xml:space="preserve">yield_kg_ph</w:t>
      </w:r>
      <w:r>
        <w:rPr>
          <w:b/>
          <w:bCs/>
        </w:rPr>
        <w:t xml:space="preserve">):</w:t>
      </w:r>
      <w:r>
        <w:t xml:space="preserve"> </w:t>
      </w:r>
      <w:r>
        <w:t xml:space="preserve">97.3% complete (79,244 / 81,411). Distribution: mean 2,415 kg/ha, median 1,800 kg/ha, std 2,209 kg/ha, min 0, max 37,667 kg/ha. Median by crop: beans 800 · climbing beans 1,170 · maize 2,701 · potato 4,400 kg/ha — consistent with known agronomic yield ranges, a good sign for data trustworthiness. 1,497 rows record exactly 0 kg/ha (true crop failure, not necessarily a data error — flagged for review, not automatic removal, in Section 3.2).</w:t>
      </w:r>
    </w:p>
    <w:p>
      <w:pPr>
        <w:pStyle w:val="BodyText"/>
      </w:pPr>
      <w:r>
        <w:rPr>
          <w:b/>
          <w:bCs/>
        </w:rPr>
        <w:t xml:space="preserve">Predictor completeness (overall, % non-null of 81,411):</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t xml:space="preserve">Variable</w:t>
            </w:r>
          </w:p>
        </w:tc>
        <w:tc>
          <w:tcPr/>
          <w:p>
            <w:pPr>
              <w:pStyle w:val="Compact"/>
              <w:jc w:val="right"/>
            </w:pPr>
            <w:r>
              <w:t xml:space="preserve">% complete</w:t>
            </w:r>
          </w:p>
        </w:tc>
        <w:tc>
          <w:tcPr/>
          <w:p>
            <w:pPr>
              <w:pStyle w:val="Compact"/>
            </w:pPr>
            <w:r>
              <w:t xml:space="preserve">Variable</w:t>
            </w:r>
          </w:p>
        </w:tc>
        <w:tc>
          <w:tcPr/>
          <w:p>
            <w:pPr>
              <w:pStyle w:val="Compact"/>
              <w:jc w:val="right"/>
            </w:pPr>
            <w:r>
              <w:t xml:space="preserve">% complete</w:t>
            </w:r>
          </w:p>
        </w:tc>
      </w:tr>
      <w:tr>
        <w:tc>
          <w:tcPr/>
          <w:p>
            <w:pPr>
              <w:pStyle w:val="Compact"/>
            </w:pPr>
            <w:r>
              <w:t xml:space="preserve">yield_kg_ph / yield_kg_pa</w:t>
            </w:r>
          </w:p>
        </w:tc>
        <w:tc>
          <w:tcPr/>
          <w:p>
            <w:pPr>
              <w:pStyle w:val="Compact"/>
              <w:jc w:val="right"/>
            </w:pPr>
            <w:r>
              <w:t xml:space="preserve">97.3</w:t>
            </w:r>
          </w:p>
        </w:tc>
        <w:tc>
          <w:tcPr/>
          <w:p>
            <w:pPr>
              <w:pStyle w:val="Compact"/>
            </w:pPr>
            <w:r>
              <w:t xml:space="preserve">field_latitude/longitude</w:t>
            </w:r>
          </w:p>
        </w:tc>
        <w:tc>
          <w:tcPr/>
          <w:p>
            <w:pPr>
              <w:pStyle w:val="Compact"/>
              <w:jc w:val="right"/>
            </w:pPr>
            <w:r>
              <w:t xml:space="preserve">45.6</w:t>
            </w:r>
          </w:p>
        </w:tc>
      </w:tr>
      <w:tr>
        <w:tc>
          <w:tcPr/>
          <w:p>
            <w:pPr>
              <w:pStyle w:val="Compact"/>
            </w:pPr>
            <w:r>
              <w:t xml:space="preserve">plot_acres</w:t>
            </w:r>
          </w:p>
        </w:tc>
        <w:tc>
          <w:tcPr/>
          <w:p>
            <w:pPr>
              <w:pStyle w:val="Compact"/>
              <w:jc w:val="right"/>
            </w:pPr>
            <w:r>
              <w:t xml:space="preserve">95.6</w:t>
            </w:r>
          </w:p>
        </w:tc>
        <w:tc>
          <w:tcPr/>
          <w:p>
            <w:pPr>
              <w:pStyle w:val="Compact"/>
            </w:pPr>
            <w:r>
              <w:t xml:space="preserve">drought</w:t>
            </w:r>
          </w:p>
        </w:tc>
        <w:tc>
          <w:tcPr/>
          <w:p>
            <w:pPr>
              <w:pStyle w:val="Compact"/>
              <w:jc w:val="right"/>
            </w:pPr>
            <w:r>
              <w:t xml:space="preserve">37.1</w:t>
            </w:r>
          </w:p>
        </w:tc>
      </w:tr>
      <w:tr>
        <w:tc>
          <w:tcPr/>
          <w:p>
            <w:pPr>
              <w:pStyle w:val="Compact"/>
            </w:pPr>
            <w:r>
              <w:t xml:space="preserve">intercrop</w:t>
            </w:r>
          </w:p>
        </w:tc>
        <w:tc>
          <w:tcPr/>
          <w:p>
            <w:pPr>
              <w:pStyle w:val="Compact"/>
              <w:jc w:val="right"/>
            </w:pPr>
            <w:r>
              <w:t xml:space="preserve">94.9</w:t>
            </w:r>
          </w:p>
        </w:tc>
        <w:tc>
          <w:tcPr/>
          <w:p>
            <w:pPr>
              <w:pStyle w:val="Compact"/>
            </w:pPr>
            <w:r>
              <w:t xml:space="preserve">fertility</w:t>
            </w:r>
          </w:p>
        </w:tc>
        <w:tc>
          <w:tcPr/>
          <w:p>
            <w:pPr>
              <w:pStyle w:val="Compact"/>
              <w:jc w:val="right"/>
            </w:pPr>
            <w:r>
              <w:t xml:space="preserve">33.2</w:t>
            </w:r>
          </w:p>
        </w:tc>
      </w:tr>
      <w:tr>
        <w:tc>
          <w:tcPr/>
          <w:p>
            <w:pPr>
              <w:pStyle w:val="Compact"/>
            </w:pPr>
            <w:r>
              <w:t xml:space="preserve">plot_hectares</w:t>
            </w:r>
          </w:p>
        </w:tc>
        <w:tc>
          <w:tcPr/>
          <w:p>
            <w:pPr>
              <w:pStyle w:val="Compact"/>
              <w:jc w:val="right"/>
            </w:pPr>
            <w:r>
              <w:t xml:space="preserve">87.7</w:t>
            </w:r>
          </w:p>
        </w:tc>
        <w:tc>
          <w:tcPr/>
          <w:p>
            <w:pPr>
              <w:pStyle w:val="Compact"/>
            </w:pPr>
            <w:r>
              <w:t xml:space="preserve">slope_angle_num</w:t>
            </w:r>
          </w:p>
        </w:tc>
        <w:tc>
          <w:tcPr/>
          <w:p>
            <w:pPr>
              <w:pStyle w:val="Compact"/>
              <w:jc w:val="right"/>
            </w:pPr>
            <w:r>
              <w:t xml:space="preserve">31.4</w:t>
            </w:r>
          </w:p>
        </w:tc>
      </w:tr>
      <w:tr>
        <w:tc>
          <w:tcPr/>
          <w:p>
            <w:pPr>
              <w:pStyle w:val="Compact"/>
            </w:pPr>
            <w:r>
              <w:t xml:space="preserve">dap_kg_ph</w:t>
            </w:r>
          </w:p>
        </w:tc>
        <w:tc>
          <w:tcPr/>
          <w:p>
            <w:pPr>
              <w:pStyle w:val="Compact"/>
              <w:jc w:val="right"/>
            </w:pPr>
            <w:r>
              <w:t xml:space="preserve">84.5</w:t>
            </w:r>
          </w:p>
        </w:tc>
        <w:tc>
          <w:tcPr/>
          <w:p>
            <w:pPr>
              <w:pStyle w:val="Compact"/>
            </w:pPr>
            <w:r>
              <w:t xml:space="preserve">distance_min</w:t>
            </w:r>
          </w:p>
        </w:tc>
        <w:tc>
          <w:tcPr/>
          <w:p>
            <w:pPr>
              <w:pStyle w:val="Compact"/>
              <w:jc w:val="right"/>
            </w:pPr>
            <w:r>
              <w:t xml:space="preserve">27.5</w:t>
            </w:r>
          </w:p>
        </w:tc>
      </w:tr>
      <w:tr>
        <w:tc>
          <w:tcPr/>
          <w:p>
            <w:pPr>
              <w:pStyle w:val="Compact"/>
            </w:pPr>
            <w:r>
              <w:t xml:space="preserve">harvest_date</w:t>
            </w:r>
          </w:p>
        </w:tc>
        <w:tc>
          <w:tcPr/>
          <w:p>
            <w:pPr>
              <w:pStyle w:val="Compact"/>
              <w:jc w:val="right"/>
            </w:pPr>
            <w:r>
              <w:t xml:space="preserve">77.1</w:t>
            </w:r>
          </w:p>
        </w:tc>
        <w:tc>
          <w:tcPr/>
          <w:p>
            <w:pPr>
              <w:pStyle w:val="Compact"/>
            </w:pPr>
            <w:r>
              <w:t xml:space="preserve">can_kg_ph</w:t>
            </w:r>
          </w:p>
        </w:tc>
        <w:tc>
          <w:tcPr/>
          <w:p>
            <w:pPr>
              <w:pStyle w:val="Compact"/>
              <w:jc w:val="right"/>
            </w:pPr>
            <w:r>
              <w:t xml:space="preserve">26.5</w:t>
            </w:r>
          </w:p>
        </w:tc>
      </w:tr>
      <w:tr>
        <w:tc>
          <w:tcPr/>
          <w:p>
            <w:pPr>
              <w:pStyle w:val="Compact"/>
            </w:pPr>
            <w:r>
              <w:t xml:space="preserve">urea_kg_ph</w:t>
            </w:r>
          </w:p>
        </w:tc>
        <w:tc>
          <w:tcPr/>
          <w:p>
            <w:pPr>
              <w:pStyle w:val="Compact"/>
              <w:jc w:val="right"/>
            </w:pPr>
            <w:r>
              <w:t xml:space="preserve">75.0</w:t>
            </w:r>
          </w:p>
        </w:tc>
        <w:tc>
          <w:tcPr/>
          <w:p>
            <w:pPr>
              <w:pStyle w:val="Compact"/>
            </w:pPr>
            <w:r>
              <w:t xml:space="preserve">flood</w:t>
            </w:r>
          </w:p>
        </w:tc>
        <w:tc>
          <w:tcPr/>
          <w:p>
            <w:pPr>
              <w:pStyle w:val="Compact"/>
              <w:jc w:val="right"/>
            </w:pPr>
            <w:r>
              <w:t xml:space="preserve">26.4</w:t>
            </w:r>
          </w:p>
        </w:tc>
      </w:tr>
      <w:tr>
        <w:tc>
          <w:tcPr/>
          <w:p>
            <w:pPr>
              <w:pStyle w:val="Compact"/>
            </w:pPr>
            <w:r>
              <w:t xml:space="preserve">npk_kg_ph</w:t>
            </w:r>
          </w:p>
        </w:tc>
        <w:tc>
          <w:tcPr/>
          <w:p>
            <w:pPr>
              <w:pStyle w:val="Compact"/>
              <w:jc w:val="right"/>
            </w:pPr>
            <w:r>
              <w:t xml:space="preserve">70.6</w:t>
            </w:r>
          </w:p>
        </w:tc>
        <w:tc>
          <w:tcPr/>
          <w:p>
            <w:pPr>
              <w:pStyle w:val="Compact"/>
            </w:pPr>
            <w:r>
              <w:t xml:space="preserve">comp_kg_ph</w:t>
            </w:r>
          </w:p>
        </w:tc>
        <w:tc>
          <w:tcPr/>
          <w:p>
            <w:pPr>
              <w:pStyle w:val="Compact"/>
              <w:jc w:val="right"/>
            </w:pPr>
            <w:r>
              <w:t xml:space="preserve">25.7</w:t>
            </w:r>
          </w:p>
        </w:tc>
      </w:tr>
      <w:tr>
        <w:tc>
          <w:tcPr/>
          <w:p>
            <w:pPr>
              <w:pStyle w:val="Compact"/>
            </w:pPr>
            <w:r>
              <w:t xml:space="preserve">compost</w:t>
            </w:r>
          </w:p>
        </w:tc>
        <w:tc>
          <w:tcPr/>
          <w:p>
            <w:pPr>
              <w:pStyle w:val="Compact"/>
              <w:jc w:val="right"/>
            </w:pPr>
            <w:r>
              <w:t xml:space="preserve">69.4</w:t>
            </w:r>
          </w:p>
        </w:tc>
        <w:tc>
          <w:tcPr/>
          <w:p>
            <w:pPr>
              <w:pStyle w:val="Compact"/>
            </w:pPr>
            <w:r>
              <w:t xml:space="preserve">FAW</w:t>
            </w:r>
          </w:p>
        </w:tc>
        <w:tc>
          <w:tcPr/>
          <w:p>
            <w:pPr>
              <w:pStyle w:val="Compact"/>
              <w:jc w:val="right"/>
            </w:pPr>
            <w:r>
              <w:t xml:space="preserve">20.0</w:t>
            </w:r>
          </w:p>
        </w:tc>
      </w:tr>
      <w:tr>
        <w:tc>
          <w:tcPr/>
          <w:p>
            <w:pPr>
              <w:pStyle w:val="Compact"/>
            </w:pPr>
            <w:r>
              <w:t xml:space="preserve">plant_date</w:t>
            </w:r>
          </w:p>
        </w:tc>
        <w:tc>
          <w:tcPr/>
          <w:p>
            <w:pPr>
              <w:pStyle w:val="Compact"/>
              <w:jc w:val="right"/>
            </w:pPr>
            <w:r>
              <w:t xml:space="preserve">67.1</w:t>
            </w:r>
          </w:p>
        </w:tc>
        <w:tc>
          <w:tcPr/>
          <w:p>
            <w:pPr>
              <w:pStyle w:val="Compact"/>
            </w:pPr>
            <w:r>
              <w:t xml:space="preserve">heavy_rain</w:t>
            </w:r>
          </w:p>
        </w:tc>
        <w:tc>
          <w:tcPr/>
          <w:p>
            <w:pPr>
              <w:pStyle w:val="Compact"/>
              <w:jc w:val="right"/>
            </w:pPr>
            <w:r>
              <w:t xml:space="preserve">14.0</w:t>
            </w:r>
          </w:p>
        </w:tc>
      </w:tr>
      <w:tr>
        <w:tc>
          <w:tcPr/>
          <w:p>
            <w:pPr>
              <w:pStyle w:val="Compact"/>
            </w:pPr>
            <w:r>
              <w:t xml:space="preserve">weed</w:t>
            </w:r>
          </w:p>
        </w:tc>
        <w:tc>
          <w:tcPr/>
          <w:p>
            <w:pPr>
              <w:pStyle w:val="Compact"/>
              <w:jc w:val="right"/>
            </w:pPr>
            <w:r>
              <w:t xml:space="preserve">59.2</w:t>
            </w:r>
          </w:p>
        </w:tc>
        <w:tc>
          <w:tcPr/>
          <w:p>
            <w:pPr>
              <w:pStyle w:val="Compact"/>
            </w:pPr>
            <w:r>
              <w:t xml:space="preserve">stemborer/mlnd/msv/blight/cutworms/striga/aphids</w:t>
            </w:r>
          </w:p>
        </w:tc>
        <w:tc>
          <w:tcPr/>
          <w:p>
            <w:pPr>
              <w:pStyle w:val="Compact"/>
              <w:jc w:val="right"/>
            </w:pPr>
            <w:r>
              <w:t xml:space="preserve">7.8–9.3</w:t>
            </w:r>
          </w:p>
        </w:tc>
      </w:tr>
      <w:tr>
        <w:tc>
          <w:tcPr/>
          <w:p>
            <w:pPr>
              <w:pStyle w:val="Compact"/>
            </w:pPr>
            <w:r>
              <w:t xml:space="preserve">pest_disease</w:t>
            </w:r>
          </w:p>
        </w:tc>
        <w:tc>
          <w:tcPr/>
          <w:p>
            <w:pPr>
              <w:pStyle w:val="Compact"/>
              <w:jc w:val="right"/>
            </w:pPr>
            <w:r>
              <w:t xml:space="preserve">58.3</w:t>
            </w:r>
          </w:p>
        </w:tc>
        <w:tc>
          <w:tcPr/>
          <w:p>
            <w:pPr>
              <w:pStyle w:val="Compact"/>
            </w:pPr>
            <w:r>
              <w:t xml:space="preserve">termites</w:t>
            </w:r>
          </w:p>
        </w:tc>
        <w:tc>
          <w:tcPr/>
          <w:p>
            <w:pPr>
              <w:pStyle w:val="Compact"/>
              <w:jc w:val="right"/>
            </w:pPr>
            <w:r>
              <w:t xml:space="preserve">3.7</w:t>
            </w:r>
          </w:p>
        </w:tc>
      </w:tr>
      <w:tr>
        <w:tc>
          <w:tcPr/>
          <w:p>
            <w:pPr>
              <w:pStyle w:val="Compact"/>
            </w:pPr>
            <w:r>
              <w:t xml:space="preserve">hybrid</w:t>
            </w:r>
          </w:p>
        </w:tc>
        <w:tc>
          <w:tcPr/>
          <w:p>
            <w:pPr>
              <w:pStyle w:val="Compact"/>
              <w:jc w:val="right"/>
            </w:pPr>
            <w:r>
              <w:t xml:space="preserve">50.5</w:t>
            </w:r>
          </w:p>
        </w:tc>
        <w:tc>
          <w:tcPr/>
          <w:p>
            <w:pPr>
              <w:pStyle w:val="Compact"/>
            </w:pPr>
            <w:r>
              <w:t xml:space="preserve">anthracnose</w:t>
            </w:r>
          </w:p>
        </w:tc>
        <w:tc>
          <w:tcPr/>
          <w:p>
            <w:pPr>
              <w:pStyle w:val="Compact"/>
              <w:jc w:val="right"/>
            </w:pPr>
            <w:r>
              <w:t xml:space="preserve">0.7</w:t>
            </w:r>
          </w:p>
        </w:tc>
      </w:tr>
      <w:tr>
        <w:tc>
          <w:tcPr/>
          <w:p>
            <w:pPr>
              <w:pStyle w:val="Compact"/>
            </w:pPr>
            <w:r>
              <w:t xml:space="preserve">lime_kg_ph</w:t>
            </w:r>
          </w:p>
        </w:tc>
        <w:tc>
          <w:tcPr/>
          <w:p>
            <w:pPr>
              <w:pStyle w:val="Compact"/>
              <w:jc w:val="right"/>
            </w:pPr>
            <w:r>
              <w:t xml:space="preserve">50.0</w:t>
            </w:r>
          </w:p>
        </w:tc>
        <w:tc>
          <w:tcPr/>
          <w:p>
            <w:pPr>
              <w:pStyle w:val="Compact"/>
            </w:pPr>
            <w:r>
              <w:t xml:space="preserve">hail</w:t>
            </w:r>
          </w:p>
        </w:tc>
        <w:tc>
          <w:tcPr/>
          <w:p>
            <w:pPr>
              <w:pStyle w:val="Compact"/>
              <w:jc w:val="right"/>
            </w:pPr>
            <w:r>
              <w:t xml:space="preserve">0.1</w:t>
            </w:r>
          </w:p>
        </w:tc>
      </w:tr>
      <w:tr>
        <w:tc>
          <w:tcPr/>
          <w:p>
            <w:pPr>
              <w:pStyle w:val="Compact"/>
            </w:pPr>
          </w:p>
        </w:tc>
        <w:tc>
          <w:tcPr/>
          <w:p>
            <w:pPr>
              <w:pStyle w:val="Compact"/>
            </w:pPr>
          </w:p>
        </w:tc>
        <w:tc>
          <w:tcPr/>
          <w:p>
            <w:pPr>
              <w:pStyle w:val="Compact"/>
            </w:pPr>
            <w:r>
              <w:t xml:space="preserve">gls</w:t>
            </w:r>
          </w:p>
        </w:tc>
        <w:tc>
          <w:tcPr/>
          <w:p>
            <w:pPr>
              <w:pStyle w:val="Compact"/>
              <w:jc w:val="right"/>
            </w:pPr>
            <w:r>
              <w:t xml:space="preserve">0.0 (2 rows)</w:t>
            </w:r>
          </w:p>
        </w:tc>
      </w:tr>
    </w:tbl>
    <w:p>
      <w:pPr>
        <w:pStyle w:val="BodyText"/>
      </w:pPr>
      <w:r>
        <w:rPr>
          <w:b/>
          <w:bCs/>
        </w:rPr>
        <w:t xml:space="preserve">Coverage is not just sparse overall — it is sparse</w:t>
      </w:r>
      <w:r>
        <w:rPr>
          <w:b/>
          <w:bCs/>
        </w:rPr>
        <w:t xml:space="preserve"> </w:t>
      </w:r>
      <w:r>
        <w:rPr>
          <w:b/>
          <w:bCs/>
          <w:i/>
          <w:iCs/>
        </w:rPr>
        <w:t xml:space="preserve">by country</w:t>
      </w:r>
      <w:r>
        <w:rPr>
          <w:b/>
          <w:bCs/>
        </w:rPr>
        <w:t xml:space="preserve">, and different countries are missing different columns</w:t>
      </w:r>
      <w:r>
        <w:t xml:space="preserve">, which is the strongest evidence yet that country must enter the model as a structural variable rather than a simple fixed effect:</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Variable</w:t>
            </w:r>
          </w:p>
        </w:tc>
        <w:tc>
          <w:tcPr/>
          <w:p>
            <w:pPr>
              <w:pStyle w:val="Compact"/>
              <w:jc w:val="right"/>
            </w:pPr>
            <w:r>
              <w:t xml:space="preserve">Burundi</w:t>
            </w:r>
          </w:p>
        </w:tc>
        <w:tc>
          <w:tcPr/>
          <w:p>
            <w:pPr>
              <w:pStyle w:val="Compact"/>
              <w:jc w:val="right"/>
            </w:pPr>
            <w:r>
              <w:t xml:space="preserve">Kenya</w:t>
            </w:r>
          </w:p>
        </w:tc>
        <w:tc>
          <w:tcPr/>
          <w:p>
            <w:pPr>
              <w:pStyle w:val="Compact"/>
              <w:jc w:val="right"/>
            </w:pPr>
            <w:r>
              <w:t xml:space="preserve">Malawi</w:t>
            </w:r>
          </w:p>
        </w:tc>
        <w:tc>
          <w:tcPr/>
          <w:p>
            <w:pPr>
              <w:pStyle w:val="Compact"/>
              <w:jc w:val="right"/>
            </w:pPr>
            <w:r>
              <w:t xml:space="preserve">Rwanda</w:t>
            </w:r>
          </w:p>
        </w:tc>
        <w:tc>
          <w:tcPr/>
          <w:p>
            <w:pPr>
              <w:pStyle w:val="Compact"/>
              <w:jc w:val="right"/>
            </w:pPr>
            <w:r>
              <w:t xml:space="preserve">Tanzania</w:t>
            </w:r>
          </w:p>
        </w:tc>
        <w:tc>
          <w:tcPr/>
          <w:p>
            <w:pPr>
              <w:pStyle w:val="Compact"/>
              <w:jc w:val="right"/>
            </w:pPr>
            <w:r>
              <w:t xml:space="preserve">Uganda</w:t>
            </w:r>
          </w:p>
        </w:tc>
        <w:tc>
          <w:tcPr/>
          <w:p>
            <w:pPr>
              <w:pStyle w:val="Compact"/>
              <w:jc w:val="right"/>
            </w:pPr>
            <w:r>
              <w:t xml:space="preserve">Zambia</w:t>
            </w:r>
          </w:p>
        </w:tc>
      </w:tr>
      <w:tr>
        <w:tc>
          <w:tcPr/>
          <w:p>
            <w:pPr>
              <w:pStyle w:val="Compact"/>
            </w:pPr>
            <w:r>
              <w:t xml:space="preserve">dap_kg_ph</w:t>
            </w:r>
          </w:p>
        </w:tc>
        <w:tc>
          <w:tcPr/>
          <w:p>
            <w:pPr>
              <w:pStyle w:val="Compact"/>
              <w:jc w:val="right"/>
            </w:pPr>
            <w:r>
              <w:t xml:space="preserve">97.3%</w:t>
            </w:r>
          </w:p>
        </w:tc>
        <w:tc>
          <w:tcPr/>
          <w:p>
            <w:pPr>
              <w:pStyle w:val="Compact"/>
              <w:jc w:val="right"/>
            </w:pPr>
            <w:r>
              <w:t xml:space="preserve">73.9%</w:t>
            </w:r>
          </w:p>
        </w:tc>
        <w:tc>
          <w:tcPr/>
          <w:p>
            <w:pPr>
              <w:pStyle w:val="Compact"/>
              <w:jc w:val="right"/>
            </w:pPr>
            <w:r>
              <w:t xml:space="preserve">36.7%</w:t>
            </w:r>
          </w:p>
        </w:tc>
        <w:tc>
          <w:tcPr/>
          <w:p>
            <w:pPr>
              <w:pStyle w:val="Compact"/>
              <w:jc w:val="right"/>
            </w:pPr>
            <w:r>
              <w:t xml:space="preserve">90.6%</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r>
      <w:tr>
        <w:tc>
          <w:tcPr/>
          <w:p>
            <w:pPr>
              <w:pStyle w:val="Compact"/>
            </w:pPr>
            <w:r>
              <w:t xml:space="preserve">urea_kg_ph</w:t>
            </w:r>
          </w:p>
        </w:tc>
        <w:tc>
          <w:tcPr/>
          <w:p>
            <w:pPr>
              <w:pStyle w:val="Compact"/>
              <w:jc w:val="right"/>
            </w:pPr>
            <w:r>
              <w:t xml:space="preserve">77.2%</w:t>
            </w:r>
          </w:p>
        </w:tc>
        <w:tc>
          <w:tcPr/>
          <w:p>
            <w:pPr>
              <w:pStyle w:val="Compact"/>
              <w:jc w:val="right"/>
            </w:pPr>
            <w:r>
              <w:t xml:space="preserve">73.9%</w:t>
            </w:r>
          </w:p>
        </w:tc>
        <w:tc>
          <w:tcPr/>
          <w:p>
            <w:pPr>
              <w:pStyle w:val="Compact"/>
              <w:jc w:val="right"/>
            </w:pPr>
            <w:r>
              <w:t xml:space="preserve">51.6%</w:t>
            </w:r>
          </w:p>
        </w:tc>
        <w:tc>
          <w:tcPr/>
          <w:p>
            <w:pPr>
              <w:pStyle w:val="Compact"/>
              <w:jc w:val="right"/>
            </w:pPr>
            <w:r>
              <w:t xml:space="preserve">81.1%</w:t>
            </w:r>
          </w:p>
        </w:tc>
        <w:tc>
          <w:tcPr/>
          <w:p>
            <w:pPr>
              <w:pStyle w:val="Compact"/>
              <w:jc w:val="right"/>
            </w:pPr>
            <w:r>
              <w:t xml:space="preserve">72.4%</w:t>
            </w:r>
          </w:p>
        </w:tc>
        <w:tc>
          <w:tcPr/>
          <w:p>
            <w:pPr>
              <w:pStyle w:val="Compact"/>
              <w:jc w:val="right"/>
            </w:pPr>
            <w:r>
              <w:t xml:space="preserve">0.0%</w:t>
            </w:r>
          </w:p>
        </w:tc>
        <w:tc>
          <w:tcPr/>
          <w:p>
            <w:pPr>
              <w:pStyle w:val="Compact"/>
              <w:jc w:val="right"/>
            </w:pPr>
            <w:r>
              <w:t xml:space="preserve">31.8%</w:t>
            </w:r>
          </w:p>
        </w:tc>
      </w:tr>
      <w:tr>
        <w:tc>
          <w:tcPr/>
          <w:p>
            <w:pPr>
              <w:pStyle w:val="Compact"/>
            </w:pPr>
            <w:r>
              <w:t xml:space="preserve">npk_kg_ph</w:t>
            </w:r>
          </w:p>
        </w:tc>
        <w:tc>
          <w:tcPr/>
          <w:p>
            <w:pPr>
              <w:pStyle w:val="Compact"/>
              <w:jc w:val="right"/>
            </w:pPr>
            <w:r>
              <w:t xml:space="preserve">81.4%</w:t>
            </w:r>
          </w:p>
        </w:tc>
        <w:tc>
          <w:tcPr/>
          <w:p>
            <w:pPr>
              <w:pStyle w:val="Compact"/>
              <w:jc w:val="right"/>
            </w:pPr>
            <w:r>
              <w:t xml:space="preserve">73.9%</w:t>
            </w:r>
          </w:p>
        </w:tc>
        <w:tc>
          <w:tcPr/>
          <w:p>
            <w:pPr>
              <w:pStyle w:val="Compact"/>
              <w:jc w:val="right"/>
            </w:pPr>
            <w:r>
              <w:t xml:space="preserve">0.0%</w:t>
            </w:r>
          </w:p>
        </w:tc>
        <w:tc>
          <w:tcPr/>
          <w:p>
            <w:pPr>
              <w:pStyle w:val="Compact"/>
              <w:jc w:val="right"/>
            </w:pPr>
            <w:r>
              <w:t xml:space="preserve">81.1%</w:t>
            </w:r>
          </w:p>
        </w:tc>
        <w:tc>
          <w:tcPr/>
          <w:p>
            <w:pPr>
              <w:pStyle w:val="Compact"/>
              <w:jc w:val="right"/>
            </w:pPr>
            <w:r>
              <w:t xml:space="preserve">3.3%</w:t>
            </w:r>
          </w:p>
        </w:tc>
        <w:tc>
          <w:tcPr/>
          <w:p>
            <w:pPr>
              <w:pStyle w:val="Compact"/>
              <w:jc w:val="right"/>
            </w:pPr>
            <w:r>
              <w:t xml:space="preserve">0.0%</w:t>
            </w:r>
          </w:p>
        </w:tc>
        <w:tc>
          <w:tcPr/>
          <w:p>
            <w:pPr>
              <w:pStyle w:val="Compact"/>
              <w:jc w:val="right"/>
            </w:pPr>
            <w:r>
              <w:t xml:space="preserve">82.1%</w:t>
            </w:r>
          </w:p>
        </w:tc>
      </w:tr>
      <w:tr>
        <w:tc>
          <w:tcPr/>
          <w:p>
            <w:pPr>
              <w:pStyle w:val="Compact"/>
            </w:pPr>
            <w:r>
              <w:t xml:space="preserve">hybrid</w:t>
            </w:r>
          </w:p>
        </w:tc>
        <w:tc>
          <w:tcPr/>
          <w:p>
            <w:pPr>
              <w:pStyle w:val="Compact"/>
              <w:jc w:val="right"/>
            </w:pPr>
            <w:r>
              <w:t xml:space="preserve">21.9%</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29.1%</w:t>
            </w:r>
          </w:p>
        </w:tc>
        <w:tc>
          <w:tcPr/>
          <w:p>
            <w:pPr>
              <w:pStyle w:val="Compact"/>
              <w:jc w:val="right"/>
            </w:pPr>
            <w:r>
              <w:t xml:space="preserve">58.9%</w:t>
            </w:r>
          </w:p>
        </w:tc>
        <w:tc>
          <w:tcPr/>
          <w:p>
            <w:pPr>
              <w:pStyle w:val="Compact"/>
              <w:jc w:val="right"/>
            </w:pPr>
            <w:r>
              <w:t xml:space="preserve">100.0%</w:t>
            </w:r>
          </w:p>
        </w:tc>
        <w:tc>
          <w:tcPr/>
          <w:p>
            <w:pPr>
              <w:pStyle w:val="Compact"/>
              <w:jc w:val="right"/>
            </w:pPr>
            <w:r>
              <w:t xml:space="preserve">100.0%</w:t>
            </w:r>
          </w:p>
        </w:tc>
      </w:tr>
      <w:tr>
        <w:tc>
          <w:tcPr/>
          <w:p>
            <w:pPr>
              <w:pStyle w:val="Compact"/>
            </w:pPr>
            <w:r>
              <w:t xml:space="preserve">fertility</w:t>
            </w:r>
          </w:p>
        </w:tc>
        <w:tc>
          <w:tcPr/>
          <w:p>
            <w:pPr>
              <w:pStyle w:val="Compact"/>
              <w:jc w:val="right"/>
            </w:pPr>
            <w:r>
              <w:t xml:space="preserve">10.0%</w:t>
            </w:r>
          </w:p>
        </w:tc>
        <w:tc>
          <w:tcPr/>
          <w:p>
            <w:pPr>
              <w:pStyle w:val="Compact"/>
              <w:jc w:val="right"/>
            </w:pPr>
            <w:r>
              <w:t xml:space="preserve">82.5%</w:t>
            </w:r>
          </w:p>
        </w:tc>
        <w:tc>
          <w:tcPr/>
          <w:p>
            <w:pPr>
              <w:pStyle w:val="Compact"/>
              <w:jc w:val="right"/>
            </w:pPr>
            <w:r>
              <w:t xml:space="preserve">0.0%</w:t>
            </w:r>
          </w:p>
        </w:tc>
        <w:tc>
          <w:tcPr/>
          <w:p>
            <w:pPr>
              <w:pStyle w:val="Compact"/>
              <w:jc w:val="right"/>
            </w:pPr>
            <w:r>
              <w:t xml:space="preserve">21.7%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r>
              <w:t xml:space="preserve">slope_angle_num</w:t>
            </w:r>
          </w:p>
        </w:tc>
        <w:tc>
          <w:tcPr/>
          <w:p>
            <w:pPr>
              <w:pStyle w:val="Compact"/>
              <w:jc w:val="right"/>
            </w:pPr>
            <w:r>
              <w:t xml:space="preserve">0.0%</w:t>
            </w:r>
          </w:p>
        </w:tc>
        <w:tc>
          <w:tcPr/>
          <w:p>
            <w:pPr>
              <w:pStyle w:val="Compact"/>
              <w:jc w:val="right"/>
            </w:pPr>
            <w:r>
              <w:t xml:space="preserve">48.6%</w:t>
            </w:r>
          </w:p>
        </w:tc>
        <w:tc>
          <w:tcPr/>
          <w:p>
            <w:pPr>
              <w:pStyle w:val="Compact"/>
              <w:jc w:val="right"/>
            </w:pPr>
            <w:r>
              <w:t xml:space="preserve">8.2%</w:t>
            </w:r>
          </w:p>
        </w:tc>
        <w:tc>
          <w:tcPr/>
          <w:p>
            <w:pPr>
              <w:pStyle w:val="Compact"/>
              <w:jc w:val="right"/>
            </w:pPr>
            <w:r>
              <w:t xml:space="preserve">59.1%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1.6%</w:t>
            </w:r>
          </w:p>
        </w:tc>
      </w:tr>
      <w:tr>
        <w:tc>
          <w:tcPr/>
          <w:p>
            <w:pPr>
              <w:pStyle w:val="Compact"/>
            </w:pPr>
            <w:r>
              <w:t xml:space="preserve">field_latitude</w:t>
            </w:r>
          </w:p>
        </w:tc>
        <w:tc>
          <w:tcPr/>
          <w:p>
            <w:pPr>
              <w:pStyle w:val="Compact"/>
              <w:jc w:val="right"/>
            </w:pPr>
            <w:r>
              <w:t xml:space="preserve">15.3%</w:t>
            </w:r>
          </w:p>
        </w:tc>
        <w:tc>
          <w:tcPr/>
          <w:p>
            <w:pPr>
              <w:pStyle w:val="Compact"/>
              <w:jc w:val="right"/>
            </w:pPr>
            <w:r>
              <w:t xml:space="preserve">97.8%</w:t>
            </w:r>
          </w:p>
        </w:tc>
        <w:tc>
          <w:tcPr/>
          <w:p>
            <w:pPr>
              <w:pStyle w:val="Compact"/>
              <w:jc w:val="right"/>
            </w:pPr>
            <w:r>
              <w:t xml:space="preserve">70.6%</w:t>
            </w:r>
          </w:p>
        </w:tc>
        <w:tc>
          <w:tcPr/>
          <w:p>
            <w:pPr>
              <w:pStyle w:val="Compact"/>
              <w:jc w:val="right"/>
            </w:pPr>
            <w:r>
              <w:t xml:space="preserve">21.2%</w:t>
            </w:r>
          </w:p>
        </w:tc>
        <w:tc>
          <w:tcPr/>
          <w:p>
            <w:pPr>
              <w:pStyle w:val="Compact"/>
              <w:jc w:val="right"/>
            </w:pPr>
            <w:r>
              <w:t xml:space="preserve">33.6%</w:t>
            </w:r>
          </w:p>
        </w:tc>
        <w:tc>
          <w:tcPr/>
          <w:p>
            <w:pPr>
              <w:pStyle w:val="Compact"/>
              <w:jc w:val="right"/>
            </w:pPr>
            <w:r>
              <w:t xml:space="preserve">100.0%</w:t>
            </w:r>
          </w:p>
        </w:tc>
        <w:tc>
          <w:tcPr/>
          <w:p>
            <w:pPr>
              <w:pStyle w:val="Compact"/>
              <w:jc w:val="right"/>
            </w:pPr>
            <w:r>
              <w:t xml:space="preserve">100.0%</w:t>
            </w:r>
          </w:p>
        </w:tc>
      </w:tr>
    </w:tbl>
    <w:p>
      <w:pPr>
        <w:pStyle w:val="BodyText"/>
      </w:pPr>
      <w:r>
        <w:t xml:space="preserve">Concretely: Uganda and Zambia never recorded DAP usage at all (0.0%), Malawi never recorded NPK or fertility, Tanzania and Burundi never recorded slope, and</w:t>
      </w:r>
      <w:r>
        <w:t xml:space="preserve"> </w:t>
      </w:r>
      <w:r>
        <w:rPr>
          <w:rStyle w:val="VerbatimChar"/>
        </w:rPr>
        <w:t xml:space="preserve">fertility</w:t>
      </w:r>
      <w:r>
        <w:t xml:space="preserve"> </w:t>
      </w:r>
      <w:r>
        <w:t xml:space="preserve">is essentially Kenya-only data (82.5% there, ≤22% everywhere else, 0% in three countries). A model trained on all countries pooled would have to treat</w:t>
      </w:r>
      <w:r>
        <w:t xml:space="preserve"> </w:t>
      </w:r>
      <w:r>
        <w:t xml:space="preserve">“missing”</w:t>
      </w:r>
      <w:r>
        <w:t xml:space="preserve"> </w:t>
      </w:r>
      <w:r>
        <w:t xml:space="preserve">as a real, highly country-correlated signal — or the model would learn spurious country effects that are really</w:t>
      </w:r>
      <w:r>
        <w:t xml:space="preserve"> </w:t>
      </w:r>
      <w:r>
        <w:t xml:space="preserve">“which survey form this country used.”</w:t>
      </w:r>
    </w:p>
    <w:bookmarkEnd w:id="20"/>
    <w:bookmarkStart w:id="21" w:name="data-quality-verification"/>
    <w:p>
      <w:pPr>
        <w:pStyle w:val="Heading3"/>
      </w:pPr>
      <w:r>
        <w:t xml:space="preserve">2.4 Data Quality Verification</w:t>
      </w:r>
    </w:p>
    <w:p>
      <w:pPr>
        <w:pStyle w:val="FirstParagraph"/>
      </w:pPr>
      <w:r>
        <w:t xml:space="preserve">Several fields contain extreme outliers consistent with unit/entry errors, not real agronomic values — these must be resolved before modeling, not passed through:</w:t>
      </w:r>
      <w:r>
        <w:t xml:space="preserve"> </w:t>
      </w:r>
      <w:r>
        <w:t xml:space="preserve">-</w:t>
      </w:r>
      <w:r>
        <w:t xml:space="preserve"> </w:t>
      </w:r>
      <w:r>
        <w:rPr>
          <w:rStyle w:val="VerbatimChar"/>
        </w:rPr>
        <w:t xml:space="preserve">dap_kg_ph</w:t>
      </w:r>
      <w:r>
        <w:t xml:space="preserve">: mean 92 kg/ha but max</w:t>
      </w:r>
      <w:r>
        <w:t xml:space="preserve"> </w:t>
      </w:r>
      <w:r>
        <w:rPr>
          <w:b/>
          <w:bCs/>
        </w:rPr>
        <w:t xml:space="preserve">103,704 kg/ha</w:t>
      </w:r>
      <w:r>
        <w:t xml:space="preserve"> </w:t>
      </w:r>
      <w:r>
        <w:t xml:space="preserve">(physically implausible; typical DAP application is 50–150 kg/ha) — almost certainly a plot-size or decimal error propagating into the per-hectare conversion.</w:t>
      </w:r>
      <w:r>
        <w:t xml:space="preserve"> </w:t>
      </w:r>
      <w:r>
        <w:t xml:space="preserve">-</w:t>
      </w:r>
      <w:r>
        <w:t xml:space="preserve"> </w:t>
      </w:r>
      <w:r>
        <w:rPr>
          <w:rStyle w:val="VerbatimChar"/>
        </w:rPr>
        <w:t xml:space="preserve">plot_hectares</w:t>
      </w:r>
      <w:r>
        <w:t xml:space="preserve">: median a plausible 0.05 ha (~0.13 acres, consistent with smallholder plots) but max</w:t>
      </w:r>
      <w:r>
        <w:t xml:space="preserve"> </w:t>
      </w:r>
      <w:r>
        <w:rPr>
          <w:b/>
          <w:bCs/>
        </w:rPr>
        <w:t xml:space="preserve">462 hectares</w:t>
      </w:r>
      <w:r>
        <w:t xml:space="preserve"> </w:t>
      </w:r>
      <w:r>
        <w:t xml:space="preserve">— several orders of magnitude beyond a smallholder field, likely a unit-entry error (acres entered as hectares, or a missing decimal).</w:t>
      </w:r>
      <w:r>
        <w:t xml:space="preserve"> </w:t>
      </w:r>
      <w:r>
        <w:t xml:space="preserve">-</w:t>
      </w:r>
      <w:r>
        <w:t xml:space="preserve"> </w:t>
      </w:r>
      <w:r>
        <w:rPr>
          <w:rStyle w:val="VerbatimChar"/>
        </w:rPr>
        <w:t xml:space="preserve">yield_kg_ph</w:t>
      </w:r>
      <w:r>
        <w:t xml:space="preserve">: max 37,667 kg/ha is high but not impossible for potato under intensive management; the 99.9th percentile is 21,988 kg/ha, so the tail is short enough to handle with a country×crop-specific winsorization cap rather than treating the whole variable as unreliable.</w:t>
      </w:r>
      <w:r>
        <w:t xml:space="preserve"> </w:t>
      </w:r>
      <w:r>
        <w:t xml:space="preserve">- 1,497 rows (1.8%) record</w:t>
      </w:r>
      <w:r>
        <w:t xml:space="preserve"> </w:t>
      </w:r>
      <w:r>
        <w:rPr>
          <w:rStyle w:val="VerbatimChar"/>
        </w:rPr>
        <w:t xml:space="preserve">yield_kg_ph == 0</w:t>
      </w:r>
      <w:r>
        <w:t xml:space="preserve"> </w:t>
      </w:r>
      <w:r>
        <w:t xml:space="preserve">— worth splitting into a</w:t>
      </w:r>
      <w:r>
        <w:t xml:space="preserve"> </w:t>
      </w:r>
      <w:r>
        <w:t xml:space="preserve">“crop failure”</w:t>
      </w:r>
      <w:r>
        <w:t xml:space="preserve"> </w:t>
      </w:r>
      <w:r>
        <w:t xml:space="preserve">flag rather than silently averaging into regression loss, since a true 0 has different modeling implications than a missing/miscoded value.</w:t>
      </w:r>
    </w:p>
    <w:p>
      <w:pPr>
        <w:pStyle w:val="BodyText"/>
      </w:pPr>
      <w:r>
        <w:t xml:space="preserve">Because per-hectare fields are</w:t>
      </w:r>
      <w:r>
        <w:t xml:space="preserve"> </w:t>
      </w:r>
      <w:r>
        <w:rPr>
          <w:i/>
          <w:iCs/>
        </w:rPr>
        <w:t xml:space="preserve">derived</w:t>
      </w:r>
      <w:r>
        <w:t xml:space="preserve"> </w:t>
      </w:r>
      <w:r>
        <w:t xml:space="preserve">(</w:t>
      </w:r>
      <w:r>
        <w:rPr>
          <w:rStyle w:val="VerbatimChar"/>
        </w:rPr>
        <w:t xml:space="preserve">_kg</w:t>
      </w:r>
      <w:r>
        <w:t xml:space="preserve"> </w:t>
      </w:r>
      <w:r>
        <w:t xml:space="preserve">÷ plot size), an error in</w:t>
      </w:r>
      <w:r>
        <w:t xml:space="preserve"> </w:t>
      </w:r>
      <w:r>
        <w:rPr>
          <w:rStyle w:val="VerbatimChar"/>
        </w:rPr>
        <w:t xml:space="preserve">plot_hectares</w:t>
      </w:r>
      <w:r>
        <w:t xml:space="preserve"> </w:t>
      </w:r>
      <w:r>
        <w:t xml:space="preserve">corrupts every</w:t>
      </w:r>
      <w:r>
        <w:t xml:space="preserve"> </w:t>
      </w:r>
      <w:r>
        <w:rPr>
          <w:rStyle w:val="VerbatimChar"/>
        </w:rPr>
        <w:t xml:space="preserve">_kg_ph</w:t>
      </w:r>
      <w:r>
        <w:t xml:space="preserve">/</w:t>
      </w:r>
      <w:r>
        <w:rPr>
          <w:rStyle w:val="VerbatimChar"/>
        </w:rPr>
        <w:t xml:space="preserve">_kg_pa</w:t>
      </w:r>
      <w:r>
        <w:t xml:space="preserve"> </w:t>
      </w:r>
      <w:r>
        <w:t xml:space="preserve">column derived from that row simultaneously — this is the likely root cause of the</w:t>
      </w:r>
      <w:r>
        <w:t xml:space="preserve"> </w:t>
      </w:r>
      <w:r>
        <w:rPr>
          <w:rStyle w:val="VerbatimChar"/>
        </w:rPr>
        <w:t xml:space="preserve">dap_kg_ph</w:t>
      </w:r>
      <w:r>
        <w:t xml:space="preserve"> </w:t>
      </w:r>
      <w:r>
        <w:t xml:space="preserve">outlier above, and means outlier detection should run on the plot-size denominator first, before trusting any per-hectare feature. This is a concrete, actionable finding for Data Preparation, not a hypothetical risk.</w:t>
      </w:r>
    </w:p>
    <w:p>
      <w:pPr>
        <w:pStyle w:val="BodyText"/>
      </w:pPr>
      <w:r>
        <w:rPr>
          <w:b/>
          <w:bCs/>
        </w:rPr>
        <w:t xml:space="preserve">Recommended immediate next step:</w:t>
      </w:r>
      <w:r>
        <w:t xml:space="preserve"> </w:t>
      </w:r>
      <w:r>
        <w:t xml:space="preserve">open the</w:t>
      </w:r>
      <w:r>
        <w:t xml:space="preserve"> </w:t>
      </w:r>
      <w:r>
        <w:rPr>
          <w:rStyle w:val="VerbatimChar"/>
        </w:rPr>
        <w:t xml:space="preserve">Variables</w:t>
      </w:r>
      <w:r>
        <w:t xml:space="preserve"> </w:t>
      </w:r>
      <w:r>
        <w:t xml:space="preserve">and</w:t>
      </w:r>
      <w:r>
        <w:t xml:space="preserve"> </w:t>
      </w:r>
      <w:r>
        <w:rPr>
          <w:rStyle w:val="VerbatimChar"/>
        </w:rPr>
        <w:t xml:space="preserve">MetaData</w:t>
      </w:r>
      <w:r>
        <w:t xml:space="preserve"> </w:t>
      </w:r>
      <w:r>
        <w:t xml:space="preserve">sheets (not yet inventoried in this pass) to confirm per-country-year question rosters referenced by the source description, before finalizing the per-country feature list in Section 3.</w:t>
      </w:r>
    </w:p>
    <w:p>
      <w:r>
        <w:pict>
          <v:rect style="width:0;height:1.5pt" o:hralign="center" o:hrstd="t" o:hr="t"/>
        </w:pict>
      </w:r>
    </w:p>
    <w:bookmarkEnd w:id="21"/>
    <w:bookmarkEnd w:id="22"/>
    <w:bookmarkStart w:id="28" w:name="data-preparation"/>
    <w:p>
      <w:pPr>
        <w:pStyle w:val="Heading2"/>
      </w:pPr>
      <w:r>
        <w:t xml:space="preserve">3. Data Preparation</w:t>
      </w:r>
    </w:p>
    <w:bookmarkStart w:id="23" w:name="data-selection"/>
    <w:p>
      <w:pPr>
        <w:pStyle w:val="Heading3"/>
      </w:pPr>
      <w:r>
        <w:t xml:space="preserve">3.1 Data Selection</w:t>
      </w:r>
    </w:p>
    <w:p>
      <w:pPr>
        <w:pStyle w:val="Compact"/>
        <w:numPr>
          <w:ilvl w:val="0"/>
          <w:numId w:val="1005"/>
        </w:numPr>
      </w:pPr>
      <w:r>
        <w:rPr>
          <w:b/>
          <w:bCs/>
        </w:rPr>
        <w:t xml:space="preserve">Phase 1 scope:</w:t>
      </w:r>
      <w:r>
        <w:t xml:space="preserve"> </w:t>
      </w:r>
      <w:r>
        <w:t xml:space="preserve">maize only, all 7 countries, all years — the one crop with full country coverage (Section 2.3), used to validate the harmonization pipeline before extending to legumes/potato (Burundi + Rwanda only).</w:t>
      </w:r>
    </w:p>
    <w:p>
      <w:pPr>
        <w:pStyle w:val="Compact"/>
        <w:numPr>
          <w:ilvl w:val="0"/>
          <w:numId w:val="1005"/>
        </w:numPr>
      </w:pPr>
      <w:r>
        <w:t xml:space="preserve">Drop the 8 rows with missing</w:t>
      </w:r>
      <w:r>
        <w:t xml:space="preserve"> </w:t>
      </w:r>
      <w:r>
        <w:rPr>
          <w:rStyle w:val="VerbatimChar"/>
        </w:rPr>
        <w:t xml:space="preserve">crop</w:t>
      </w:r>
      <w:r>
        <w:t xml:space="preserve"> </w:t>
      </w:r>
      <w:r>
        <w:t xml:space="preserve">and rows with missing</w:t>
      </w:r>
      <w:r>
        <w:t xml:space="preserve"> </w:t>
      </w:r>
      <w:r>
        <w:rPr>
          <w:rStyle w:val="VerbatimChar"/>
        </w:rPr>
        <w:t xml:space="preserve">yield_kg_ph</w:t>
      </w:r>
      <w:r>
        <w:t xml:space="preserve"> </w:t>
      </w:r>
      <w:r>
        <w:t xml:space="preserve">(2.7%) from the modeling frame (target must be observed); route zero-yield rows into a</w:t>
      </w:r>
      <w:r>
        <w:t xml:space="preserve"> </w:t>
      </w:r>
      <w:r>
        <w:t xml:space="preserve">“crop failure”</w:t>
      </w:r>
      <w:r>
        <w:t xml:space="preserve"> </w:t>
      </w:r>
      <w:r>
        <w:t xml:space="preserve">analysis flag rather than deletion (Section 2.4).</w:t>
      </w:r>
    </w:p>
    <w:p>
      <w:pPr>
        <w:pStyle w:val="Compact"/>
        <w:numPr>
          <w:ilvl w:val="0"/>
          <w:numId w:val="1005"/>
        </w:numPr>
      </w:pPr>
      <w:r>
        <w:t xml:space="preserve">Exclude</w:t>
      </w:r>
      <w:r>
        <w:t xml:space="preserve"> </w:t>
      </w:r>
      <w:r>
        <w:rPr>
          <w:rStyle w:val="VerbatimChar"/>
        </w:rPr>
        <w:t xml:space="preserve">gls</w:t>
      </w:r>
      <w:r>
        <w:t xml:space="preserve"> </w:t>
      </w:r>
      <w:r>
        <w:t xml:space="preserve">(2 rows),</w:t>
      </w:r>
      <w:r>
        <w:t xml:space="preserve"> </w:t>
      </w:r>
      <w:r>
        <w:rPr>
          <w:rStyle w:val="VerbatimChar"/>
        </w:rPr>
        <w:t xml:space="preserve">hail</w:t>
      </w:r>
      <w:r>
        <w:t xml:space="preserve"> </w:t>
      </w:r>
      <w:r>
        <w:t xml:space="preserve">(43 rows), and</w:t>
      </w:r>
      <w:r>
        <w:t xml:space="preserve"> </w:t>
      </w:r>
      <w:r>
        <w:rPr>
          <w:rStyle w:val="VerbatimChar"/>
        </w:rPr>
        <w:t xml:space="preserve">anthracnose</w:t>
      </w:r>
      <w:r>
        <w:t xml:space="preserve"> </w:t>
      </w:r>
      <w:r>
        <w:t xml:space="preserve">(585 rows) from Project 1’s feature set entirely — too sparse to inform a yield model; they belong to Project 2’s pest/disease scope instead, and even there only as merged/aggregate categories.</w:t>
      </w:r>
    </w:p>
    <w:bookmarkEnd w:id="23"/>
    <w:bookmarkStart w:id="24" w:name="data-cleaning"/>
    <w:p>
      <w:pPr>
        <w:pStyle w:val="Heading3"/>
      </w:pPr>
      <w:r>
        <w:t xml:space="preserve">3.2 Data Cleaning</w:t>
      </w:r>
    </w:p>
    <w:p>
      <w:pPr>
        <w:pStyle w:val="Compact"/>
        <w:numPr>
          <w:ilvl w:val="0"/>
          <w:numId w:val="1006"/>
        </w:numPr>
      </w:pPr>
      <w:r>
        <w:rPr>
          <w:b/>
          <w:bCs/>
        </w:rPr>
        <w:t xml:space="preserve">Denominator-first outlier screen:</w:t>
      </w:r>
      <w:r>
        <w:t xml:space="preserve"> </w:t>
      </w:r>
      <w:r>
        <w:t xml:space="preserve">flag rows where</w:t>
      </w:r>
      <w:r>
        <w:t xml:space="preserve"> </w:t>
      </w:r>
      <w:r>
        <w:rPr>
          <w:rStyle w:val="VerbatimChar"/>
        </w:rPr>
        <w:t xml:space="preserve">plot_hectares</w:t>
      </w:r>
      <w:r>
        <w:t xml:space="preserve"> </w:t>
      </w:r>
      <w:r>
        <w:t xml:space="preserve">falls outside a plausible smallholder range (e.g., &gt;5 ha, given the 75th percentile is 0.20 ha) for manual/rule-based review before trusting any</w:t>
      </w:r>
      <w:r>
        <w:t xml:space="preserve"> </w:t>
      </w:r>
      <w:r>
        <w:rPr>
          <w:rStyle w:val="VerbatimChar"/>
        </w:rPr>
        <w:t xml:space="preserve">_kg_ph</w:t>
      </w:r>
      <w:r>
        <w:t xml:space="preserve"> </w:t>
      </w:r>
      <w:r>
        <w:t xml:space="preserve">value derived from them, per the root-cause finding in 2.4.</w:t>
      </w:r>
    </w:p>
    <w:p>
      <w:pPr>
        <w:pStyle w:val="Compact"/>
        <w:numPr>
          <w:ilvl w:val="0"/>
          <w:numId w:val="1006"/>
        </w:numPr>
      </w:pPr>
      <w:r>
        <w:rPr>
          <w:b/>
          <w:bCs/>
        </w:rPr>
        <w:t xml:space="preserve">Per-hectare rate caps:</w:t>
      </w:r>
      <w:r>
        <w:t xml:space="preserve"> </w:t>
      </w:r>
      <w:r>
        <w:t xml:space="preserve">winsorize</w:t>
      </w:r>
      <w:r>
        <w:t xml:space="preserve"> </w:t>
      </w:r>
      <w:r>
        <w:rPr>
          <w:rStyle w:val="VerbatimChar"/>
        </w:rPr>
        <w:t xml:space="preserve">dap_kg_ph</w:t>
      </w:r>
      <w:r>
        <w:t xml:space="preserve">,</w:t>
      </w:r>
      <w:r>
        <w:t xml:space="preserve"> </w:t>
      </w:r>
      <w:r>
        <w:rPr>
          <w:rStyle w:val="VerbatimChar"/>
        </w:rPr>
        <w:t xml:space="preserve">urea_kg_ph</w:t>
      </w:r>
      <w:r>
        <w:t xml:space="preserve">,</w:t>
      </w:r>
      <w:r>
        <w:t xml:space="preserve"> </w:t>
      </w:r>
      <w:r>
        <w:rPr>
          <w:rStyle w:val="VerbatimChar"/>
        </w:rPr>
        <w:t xml:space="preserve">npk_kg_ph</w:t>
      </w:r>
      <w:r>
        <w:t xml:space="preserve">,</w:t>
      </w:r>
      <w:r>
        <w:t xml:space="preserve"> </w:t>
      </w:r>
      <w:r>
        <w:rPr>
          <w:rStyle w:val="VerbatimChar"/>
        </w:rPr>
        <w:t xml:space="preserve">can_kg_ph</w:t>
      </w:r>
      <w:r>
        <w:t xml:space="preserve">,</w:t>
      </w:r>
      <w:r>
        <w:t xml:space="preserve"> </w:t>
      </w:r>
      <w:r>
        <w:rPr>
          <w:rStyle w:val="VerbatimChar"/>
        </w:rPr>
        <w:t xml:space="preserve">lime_kg_ph</w:t>
      </w:r>
      <w:r>
        <w:t xml:space="preserve">,</w:t>
      </w:r>
      <w:r>
        <w:t xml:space="preserve"> </w:t>
      </w:r>
      <w:r>
        <w:rPr>
          <w:rStyle w:val="VerbatimChar"/>
        </w:rPr>
        <w:t xml:space="preserve">comp_kg_ph</w:t>
      </w:r>
      <w:r>
        <w:t xml:space="preserve"> </w:t>
      </w:r>
      <w:r>
        <w:t xml:space="preserve">at country×crop-specific agronomic plausibility ceilings (e.g., no smallholder maize plot should show &gt;500 kg/ha of a single fertilizer type) rather than a single global cutoff, since typical rates differ by fertilizer type and country practice.</w:t>
      </w:r>
    </w:p>
    <w:p>
      <w:pPr>
        <w:pStyle w:val="Compact"/>
        <w:numPr>
          <w:ilvl w:val="0"/>
          <w:numId w:val="1006"/>
        </w:numPr>
      </w:pPr>
      <w:r>
        <w:rPr>
          <w:b/>
          <w:bCs/>
        </w:rPr>
        <w:t xml:space="preserve">Target outlier handling:</w:t>
      </w:r>
      <w:r>
        <w:t xml:space="preserve"> </w:t>
      </w:r>
      <w:r>
        <w:t xml:space="preserve">winsorize</w:t>
      </w:r>
      <w:r>
        <w:t xml:space="preserve"> </w:t>
      </w:r>
      <w:r>
        <w:rPr>
          <w:rStyle w:val="VerbatimChar"/>
        </w:rPr>
        <w:t xml:space="preserve">yield_kg_ph</w:t>
      </w:r>
      <w:r>
        <w:t xml:space="preserve"> </w:t>
      </w:r>
      <w:r>
        <w:t xml:space="preserve">at the 99.5th percentile within country×crop groups (not globally — potato’s legitimate high end would be clipped by a maize-calibrated cutoff).</w:t>
      </w:r>
    </w:p>
    <w:p>
      <w:pPr>
        <w:pStyle w:val="Compact"/>
        <w:numPr>
          <w:ilvl w:val="0"/>
          <w:numId w:val="1006"/>
        </w:numPr>
      </w:pPr>
      <w:r>
        <w:rPr>
          <w:b/>
          <w:bCs/>
        </w:rPr>
        <w:t xml:space="preserve">Reconcile</w:t>
      </w:r>
      <w:r>
        <w:rPr>
          <w:b/>
          <w:bCs/>
        </w:rPr>
        <w:t xml:space="preserve"> </w:t>
      </w:r>
      <w:r>
        <w:rPr>
          <w:rStyle w:val="VerbatimChar"/>
          <w:b/>
          <w:bCs/>
        </w:rPr>
        <w:t xml:space="preserve">_kg</w:t>
      </w:r>
      <w:r>
        <w:rPr>
          <w:b/>
          <w:bCs/>
        </w:rPr>
        <w:t xml:space="preserve"> </w:t>
      </w:r>
      <w:r>
        <w:rPr>
          <w:b/>
          <w:bCs/>
        </w:rPr>
        <w:t xml:space="preserve">/</w:t>
      </w:r>
      <w:r>
        <w:rPr>
          <w:b/>
          <w:bCs/>
        </w:rPr>
        <w:t xml:space="preserve"> </w:t>
      </w:r>
      <w:r>
        <w:rPr>
          <w:rStyle w:val="VerbatimChar"/>
          <w:b/>
          <w:bCs/>
        </w:rPr>
        <w:t xml:space="preserve">_kg_pa</w:t>
      </w:r>
      <w:r>
        <w:rPr>
          <w:b/>
          <w:bCs/>
        </w:rPr>
        <w:t xml:space="preserve"> </w:t>
      </w:r>
      <w:r>
        <w:rPr>
          <w:b/>
          <w:bCs/>
        </w:rPr>
        <w:t xml:space="preserve">/</w:t>
      </w:r>
      <w:r>
        <w:rPr>
          <w:b/>
          <w:bCs/>
        </w:rPr>
        <w:t xml:space="preserve"> </w:t>
      </w:r>
      <w:r>
        <w:rPr>
          <w:rStyle w:val="VerbatimChar"/>
          <w:b/>
          <w:bCs/>
        </w:rPr>
        <w:t xml:space="preserve">_kg_ph</w:t>
      </w:r>
      <w:r>
        <w:rPr>
          <w:b/>
          <w:bCs/>
        </w:rPr>
        <w:t xml:space="preserve"> </w:t>
      </w:r>
      <w:r>
        <w:rPr>
          <w:b/>
          <w:bCs/>
        </w:rPr>
        <w:t xml:space="preserve">variants:</w:t>
      </w:r>
      <w:r>
        <w:t xml:space="preserve"> </w:t>
      </w:r>
      <w:r>
        <w:t xml:space="preserve">standardize on</w:t>
      </w:r>
      <w:r>
        <w:t xml:space="preserve"> </w:t>
      </w:r>
      <w:r>
        <w:rPr>
          <w:rStyle w:val="VerbatimChar"/>
        </w:rPr>
        <w:t xml:space="preserve">_kg_ph</w:t>
      </w:r>
      <w:r>
        <w:t xml:space="preserve"> </w:t>
      </w:r>
      <w:r>
        <w:t xml:space="preserve">(per-hectare) as the single modeling unit per input, dropping the raw</w:t>
      </w:r>
      <w:r>
        <w:t xml:space="preserve"> </w:t>
      </w:r>
      <w:r>
        <w:rPr>
          <w:rStyle w:val="VerbatimChar"/>
        </w:rPr>
        <w:t xml:space="preserve">_kg</w:t>
      </w:r>
      <w:r>
        <w:t xml:space="preserve"> </w:t>
      </w:r>
      <w:r>
        <w:t xml:space="preserve">and</w:t>
      </w:r>
      <w:r>
        <w:t xml:space="preserve"> </w:t>
      </w:r>
      <w:r>
        <w:rPr>
          <w:rStyle w:val="VerbatimChar"/>
        </w:rPr>
        <w:t xml:space="preserve">_kg_pa</w:t>
      </w:r>
      <w:r>
        <w:t xml:space="preserve"> </w:t>
      </w:r>
      <w:r>
        <w:t xml:space="preserve">duplicates once conversion is verified consistent with</w:t>
      </w:r>
      <w:r>
        <w:t xml:space="preserve"> </w:t>
      </w:r>
      <w:r>
        <w:rPr>
          <w:rStyle w:val="VerbatimChar"/>
        </w:rPr>
        <w:t xml:space="preserve">plot_hectares</w:t>
      </w:r>
      <w:r>
        <w:t xml:space="preserve">.</w:t>
      </w:r>
    </w:p>
    <w:p>
      <w:pPr>
        <w:pStyle w:val="Compact"/>
        <w:numPr>
          <w:ilvl w:val="0"/>
          <w:numId w:val="1006"/>
        </w:numPr>
      </w:pPr>
      <w:r>
        <w:rPr>
          <w:b/>
          <w:bCs/>
        </w:rPr>
        <w:t xml:space="preserve">Date fields:</w:t>
      </w:r>
      <w:r>
        <w:t xml:space="preserve"> </w:t>
      </w:r>
      <w:r>
        <w:t xml:space="preserve">parse</w:t>
      </w:r>
      <w:r>
        <w:t xml:space="preserve"> </w:t>
      </w:r>
      <w:r>
        <w:rPr>
          <w:rStyle w:val="VerbatimChar"/>
        </w:rPr>
        <w:t xml:space="preserve">plant_date</w:t>
      </w:r>
      <w:r>
        <w:t xml:space="preserve">/</w:t>
      </w:r>
      <w:r>
        <w:rPr>
          <w:rStyle w:val="VerbatimChar"/>
        </w:rPr>
        <w:t xml:space="preserve">harvest_date</w:t>
      </w:r>
      <w:r>
        <w:t xml:space="preserve">; flag harvest-before-plant or &gt;12-month gaps as likely entry errors rather than computing a growing-season-length feature directly from them.</w:t>
      </w:r>
    </w:p>
    <w:bookmarkEnd w:id="24"/>
    <w:bookmarkStart w:id="25" w:name="feature-construction"/>
    <w:p>
      <w:pPr>
        <w:pStyle w:val="Heading3"/>
      </w:pPr>
      <w:r>
        <w:t xml:space="preserve">3.3 Feature Construction</w:t>
      </w:r>
    </w:p>
    <w:p>
      <w:pPr>
        <w:pStyle w:val="Compact"/>
        <w:numPr>
          <w:ilvl w:val="0"/>
          <w:numId w:val="1007"/>
        </w:numPr>
      </w:pPr>
      <w:r>
        <w:rPr>
          <w:rStyle w:val="VerbatimChar"/>
        </w:rPr>
        <w:t xml:space="preserve">growing_season_days</w:t>
      </w:r>
      <w:r>
        <w:t xml:space="preserve"> </w:t>
      </w:r>
      <w:r>
        <w:t xml:space="preserve">=</w:t>
      </w:r>
      <w:r>
        <w:t xml:space="preserve"> </w:t>
      </w:r>
      <w:r>
        <w:rPr>
          <w:rStyle w:val="VerbatimChar"/>
        </w:rPr>
        <w:t xml:space="preserve">harvest_date</w:t>
      </w:r>
      <w:r>
        <w:t xml:space="preserve"> </w:t>
      </w:r>
      <w:r>
        <w:t xml:space="preserve">−</w:t>
      </w:r>
      <w:r>
        <w:t xml:space="preserve"> </w:t>
      </w:r>
      <w:r>
        <w:rPr>
          <w:rStyle w:val="VerbatimChar"/>
        </w:rPr>
        <w:t xml:space="preserve">plant_date</w:t>
      </w:r>
      <w:r>
        <w:t xml:space="preserve"> </w:t>
      </w:r>
      <w:r>
        <w:t xml:space="preserve">(after date-quality screening above).</w:t>
      </w:r>
    </w:p>
    <w:p>
      <w:pPr>
        <w:pStyle w:val="Compact"/>
        <w:numPr>
          <w:ilvl w:val="0"/>
          <w:numId w:val="1007"/>
        </w:numPr>
      </w:pPr>
      <w:r>
        <w:rPr>
          <w:rStyle w:val="VerbatimChar"/>
        </w:rPr>
        <w:t xml:space="preserve">total_npk_equivalent_kg_ph</w:t>
      </w:r>
      <w:r>
        <w:t xml:space="preserve"> </w:t>
      </w:r>
      <w:r>
        <w:t xml:space="preserve">= weighted sum of DAP/urea/NPK/CAN nitrogen-equivalent content, to give one comparable nutrient-load feature across fertilizer types instead of five separate sparse columns.</w:t>
      </w:r>
    </w:p>
    <w:p>
      <w:pPr>
        <w:pStyle w:val="Compact"/>
        <w:numPr>
          <w:ilvl w:val="0"/>
          <w:numId w:val="1007"/>
        </w:numPr>
      </w:pPr>
      <w:r>
        <w:rPr>
          <w:rStyle w:val="VerbatimChar"/>
        </w:rPr>
        <w:t xml:space="preserve">wealth_index</w:t>
      </w:r>
      <w:r>
        <w:t xml:space="preserve"> </w:t>
      </w:r>
      <w:r>
        <w:t xml:space="preserve">= a simple composite (e.g., first principal component or additive score) of livestock counts and asset binaries (</w:t>
      </w:r>
      <w:r>
        <w:rPr>
          <w:rStyle w:val="VerbatimChar"/>
        </w:rPr>
        <w:t xml:space="preserve">cows</w:t>
      </w:r>
      <w:r>
        <w:t xml:space="preserve">,</w:t>
      </w:r>
      <w:r>
        <w:t xml:space="preserve"> </w:t>
      </w:r>
      <w:r>
        <w:rPr>
          <w:rStyle w:val="VerbatimChar"/>
        </w:rPr>
        <w:t xml:space="preserve">goats</w:t>
      </w:r>
      <w:r>
        <w:t xml:space="preserve">,</w:t>
      </w:r>
      <w:r>
        <w:t xml:space="preserve"> </w:t>
      </w:r>
      <w:r>
        <w:rPr>
          <w:rStyle w:val="VerbatimChar"/>
        </w:rPr>
        <w:t xml:space="preserve">chickens</w:t>
      </w:r>
      <w:r>
        <w:t xml:space="preserve">,</w:t>
      </w:r>
      <w:r>
        <w:t xml:space="preserve"> </w:t>
      </w:r>
      <w:r>
        <w:rPr>
          <w:rStyle w:val="VerbatimChar"/>
        </w:rPr>
        <w:t xml:space="preserve">electricity</w:t>
      </w:r>
      <w:r>
        <w:t xml:space="preserve">,</w:t>
      </w:r>
      <w:r>
        <w:t xml:space="preserve"> </w:t>
      </w:r>
      <w:r>
        <w:rPr>
          <w:rStyle w:val="VerbatimChar"/>
        </w:rPr>
        <w:t xml:space="preserve">radio_binary</w:t>
      </w:r>
      <w:r>
        <w:t xml:space="preserve">,</w:t>
      </w:r>
      <w:r>
        <w:t xml:space="preserve"> </w:t>
      </w:r>
      <w:r>
        <w:rPr>
          <w:rStyle w:val="VerbatimChar"/>
        </w:rPr>
        <w:t xml:space="preserve">bikes_binary</w:t>
      </w:r>
      <w:r>
        <w:t xml:space="preserve">) as a household wealth proxy, since raw livestock counts alone are noisy per-household.</w:t>
      </w:r>
    </w:p>
    <w:p>
      <w:pPr>
        <w:pStyle w:val="Compact"/>
        <w:numPr>
          <w:ilvl w:val="0"/>
          <w:numId w:val="1007"/>
        </w:numPr>
      </w:pPr>
      <w:r>
        <w:rPr>
          <w:rStyle w:val="VerbatimChar"/>
        </w:rPr>
        <w:t xml:space="preserve">missingness_flags</w:t>
      </w:r>
      <w:r>
        <w:t xml:space="preserve">: for the highly country-correlated columns identified in 2.3 (</w:t>
      </w:r>
      <w:r>
        <w:rPr>
          <w:rStyle w:val="VerbatimChar"/>
        </w:rPr>
        <w:t xml:space="preserve">fertility</w:t>
      </w:r>
      <w:r>
        <w:t xml:space="preserve">,</w:t>
      </w:r>
      <w:r>
        <w:t xml:space="preserve"> </w:t>
      </w:r>
      <w:r>
        <w:rPr>
          <w:rStyle w:val="VerbatimChar"/>
        </w:rPr>
        <w:t xml:space="preserve">slope_angle_num</w:t>
      </w:r>
      <w:r>
        <w:t xml:space="preserve">,</w:t>
      </w:r>
      <w:r>
        <w:t xml:space="preserve"> </w:t>
      </w:r>
      <w:r>
        <w:rPr>
          <w:rStyle w:val="VerbatimChar"/>
        </w:rPr>
        <w:t xml:space="preserve">hybrid</w:t>
      </w:r>
      <w:r>
        <w:t xml:space="preserve">), keep an explicit</w:t>
      </w:r>
      <w:r>
        <w:t xml:space="preserve"> </w:t>
      </w:r>
      <w:r>
        <w:t xml:space="preserve">“was this asked in this country-year”</w:t>
      </w:r>
      <w:r>
        <w:t xml:space="preserve"> </w:t>
      </w:r>
      <w:r>
        <w:t xml:space="preserve">indicator alongside any imputed/default value, so the model can distinguish</w:t>
      </w:r>
      <w:r>
        <w:t xml:space="preserve"> </w:t>
      </w:r>
      <w:r>
        <w:t xml:space="preserve">“not applicable here”</w:t>
      </w:r>
      <w:r>
        <w:t xml:space="preserve"> </w:t>
      </w:r>
      <w:r>
        <w:t xml:space="preserve">from</w:t>
      </w:r>
      <w:r>
        <w:t xml:space="preserve"> </w:t>
      </w:r>
      <w:r>
        <w:t xml:space="preserve">“applicable but unreported.”</w:t>
      </w:r>
    </w:p>
    <w:p>
      <w:pPr>
        <w:pStyle w:val="Compact"/>
        <w:numPr>
          <w:ilvl w:val="0"/>
          <w:numId w:val="1007"/>
        </w:numPr>
      </w:pPr>
      <w:r>
        <w:rPr>
          <w:rStyle w:val="VerbatimChar"/>
        </w:rPr>
        <w:t xml:space="preserve">pest_disease_any</w:t>
      </w:r>
      <w:r>
        <w:t xml:space="preserve"> </w:t>
      </w:r>
      <w:r>
        <w:t xml:space="preserve">= the existing</w:t>
      </w:r>
      <w:r>
        <w:t xml:space="preserve"> </w:t>
      </w:r>
      <w:r>
        <w:rPr>
          <w:rStyle w:val="VerbatimChar"/>
        </w:rPr>
        <w:t xml:space="preserve">pest_disease</w:t>
      </w:r>
      <w:r>
        <w:t xml:space="preserve"> </w:t>
      </w:r>
      <w:r>
        <w:t xml:space="preserve">aggregate flag, retained as a coarse feature even where individual pest columns are too sparse to use directly.</w:t>
      </w:r>
    </w:p>
    <w:bookmarkEnd w:id="25"/>
    <w:bookmarkStart w:id="26" w:name="data-integration-formatting"/>
    <w:p>
      <w:pPr>
        <w:pStyle w:val="Heading3"/>
      </w:pPr>
      <w:r>
        <w:t xml:space="preserve">3.4 Data Integration &amp; Formatting</w:t>
      </w:r>
    </w:p>
    <w:p>
      <w:pPr>
        <w:pStyle w:val="Compact"/>
        <w:numPr>
          <w:ilvl w:val="0"/>
          <w:numId w:val="1008"/>
        </w:numPr>
      </w:pPr>
      <w:r>
        <w:t xml:space="preserve">Country and crop enter as categorical features (native categorical support in the chosen GBM library, not one-hot, given cardinality is low but interactions with country are expected to be strong — see Section 2.3’s coverage table).</w:t>
      </w:r>
    </w:p>
    <w:p>
      <w:pPr>
        <w:pStyle w:val="Compact"/>
        <w:numPr>
          <w:ilvl w:val="0"/>
          <w:numId w:val="1008"/>
        </w:numPr>
      </w:pPr>
      <w:r>
        <w:t xml:space="preserve">Given the block-diagonal country×crop structure, seriously consider</w:t>
      </w:r>
      <w:r>
        <w:t xml:space="preserve"> </w:t>
      </w:r>
      <w:r>
        <w:rPr>
          <w:b/>
          <w:bCs/>
        </w:rPr>
        <w:t xml:space="preserve">two separate model families</w:t>
      </w:r>
      <w:r>
        <w:t xml:space="preserve"> </w:t>
      </w:r>
      <w:r>
        <w:t xml:space="preserve">rather than one pooled model: a 7-country maize model, and a 2-country (Burundi/Rwanda) legume+potato model — reflecting that the data itself doesn’t support a single fully cross-country model for every crop, contrary to the project’s name. This should be surfaced to stakeholders explicitly (see Evaluation, Section 5.1) rather than silently decided.</w:t>
      </w:r>
    </w:p>
    <w:bookmarkEnd w:id="26"/>
    <w:bookmarkStart w:id="27" w:name="train-validation-test-split-strategy"/>
    <w:p>
      <w:pPr>
        <w:pStyle w:val="Heading3"/>
      </w:pPr>
      <w:r>
        <w:t xml:space="preserve">3.5 Train / Validation / Test Split Strategy</w:t>
      </w:r>
    </w:p>
    <w:p>
      <w:pPr>
        <w:pStyle w:val="FirstParagraph"/>
      </w:pPr>
      <w:r>
        <w:t xml:space="preserve">Based on the year-coverage table in Section 2.3:</w:t>
      </w:r>
      <w:r>
        <w:t xml:space="preserve"> </w:t>
      </w:r>
      <w:r>
        <w:t xml:space="preserve">-</w:t>
      </w:r>
      <w:r>
        <w:t xml:space="preserve"> </w:t>
      </w:r>
      <w:r>
        <w:rPr>
          <w:b/>
          <w:bCs/>
        </w:rPr>
        <w:t xml:space="preserve">Burundi, Kenya, Rwanda, Tanzania</w:t>
      </w:r>
      <w:r>
        <w:t xml:space="preserve"> </w:t>
      </w:r>
      <w:r>
        <w:t xml:space="preserve">(each has ≥4 years of data spanning 2016–2020, with gaps noted): hold out the most recent available year per country as an out-of-time test set (e.g., Kenya 2020, Burundi 2019 since Burundi has no 2018 and thinner recent data — confirm exact holdout year per country once cleaning is finalized).</w:t>
      </w:r>
      <w:r>
        <w:t xml:space="preserve"> </w:t>
      </w:r>
      <w:r>
        <w:t xml:space="preserve">-</w:t>
      </w:r>
      <w:r>
        <w:t xml:space="preserve"> </w:t>
      </w:r>
      <w:r>
        <w:rPr>
          <w:b/>
          <w:bCs/>
        </w:rPr>
        <w:t xml:space="preserve">Malawi, Uganda, Zambia</w:t>
      </w:r>
      <w:r>
        <w:t xml:space="preserve"> </w:t>
      </w:r>
      <w:r>
        <w:t xml:space="preserve">(single-year or very thin history): no valid out-of-time holdout is possible yet; use them only inside pooled k-fold cross-validation (grouped by</w:t>
      </w:r>
      <w:r>
        <w:t xml:space="preserve"> </w:t>
      </w:r>
      <w:r>
        <w:rPr>
          <w:rStyle w:val="VerbatimChar"/>
        </w:rPr>
        <w:t xml:space="preserve">site</w:t>
      </w:r>
      <w:r>
        <w:t xml:space="preserve"> </w:t>
      </w:r>
      <w:r>
        <w:t xml:space="preserve">to prevent leakage across plots in the same location) and flag their evaluation metrics as lower-confidence in reporting.</w:t>
      </w:r>
      <w:r>
        <w:t xml:space="preserve"> </w:t>
      </w:r>
      <w:r>
        <w:t xml:space="preserve">- Split by</w:t>
      </w:r>
      <w:r>
        <w:t xml:space="preserve"> </w:t>
      </w:r>
      <w:r>
        <w:rPr>
          <w:rStyle w:val="VerbatimChar"/>
        </w:rPr>
        <w:t xml:space="preserve">site</w:t>
      </w:r>
      <w:r>
        <w:t xml:space="preserve">/</w:t>
      </w:r>
      <w:r>
        <w:rPr>
          <w:rStyle w:val="VerbatimChar"/>
        </w:rPr>
        <w:t xml:space="preserve">district</w:t>
      </w:r>
      <w:r>
        <w:t xml:space="preserve"> </w:t>
      </w:r>
      <w:r>
        <w:t xml:space="preserve">group (not pure random row split) even within a train fold, since multiple seasons/plots from the same site are correlated and a random split would leak site-level effects into validation.</w:t>
      </w:r>
    </w:p>
    <w:p>
      <w:r>
        <w:pict>
          <v:rect style="width:0;height:1.5pt" o:hralign="center" o:hrstd="t" o:hr="t"/>
        </w:pict>
      </w:r>
    </w:p>
    <w:bookmarkEnd w:id="27"/>
    <w:bookmarkEnd w:id="28"/>
    <w:bookmarkStart w:id="33" w:name="modeling"/>
    <w:p>
      <w:pPr>
        <w:pStyle w:val="Heading2"/>
      </w:pPr>
      <w:r>
        <w:t xml:space="preserve">4. Modeling</w:t>
      </w:r>
    </w:p>
    <w:bookmarkStart w:id="29" w:name="modeling-technique-selection"/>
    <w:p>
      <w:pPr>
        <w:pStyle w:val="Heading3"/>
      </w:pPr>
      <w:r>
        <w:t xml:space="preserve">4.1 Modeling Technique Selection</w:t>
      </w:r>
    </w:p>
    <w:p>
      <w:pPr>
        <w:pStyle w:val="Compact"/>
        <w:numPr>
          <w:ilvl w:val="0"/>
          <w:numId w:val="1009"/>
        </w:numPr>
      </w:pPr>
      <w:r>
        <w:rPr>
          <w:b/>
          <w:bCs/>
        </w:rPr>
        <w:t xml:space="preserve">Baseline:</w:t>
      </w:r>
      <w:r>
        <w:t xml:space="preserve"> </w:t>
      </w:r>
      <w:r>
        <w:t xml:space="preserve">country×crop median yield (a lookup table, not a model) — the floor every real model must beat per the Section 1.5 success criterion.</w:t>
      </w:r>
    </w:p>
    <w:p>
      <w:pPr>
        <w:pStyle w:val="Compact"/>
        <w:numPr>
          <w:ilvl w:val="0"/>
          <w:numId w:val="1009"/>
        </w:numPr>
      </w:pPr>
      <w:r>
        <w:rPr>
          <w:b/>
          <w:bCs/>
        </w:rPr>
        <w:t xml:space="preserve">Interpretable baseline:</w:t>
      </w:r>
      <w:r>
        <w:t xml:space="preserve"> </w:t>
      </w:r>
      <w:r>
        <w:t xml:space="preserve">regularized linear regression / GLM (Gamma or log-link, since yield is strictly positive and right-skewed per Section 2.3’s distribution) fit per crop, with country as a fixed effect — gives directly interpretable input elasticities for the</w:t>
      </w:r>
      <w:r>
        <w:t xml:space="preserve"> </w:t>
      </w:r>
      <w:r>
        <w:t xml:space="preserve">“why”</w:t>
      </w:r>
      <w:r>
        <w:t xml:space="preserve"> </w:t>
      </w:r>
      <w:r>
        <w:t xml:space="preserve">behind a recommendation.</w:t>
      </w:r>
    </w:p>
    <w:p>
      <w:pPr>
        <w:pStyle w:val="Compact"/>
        <w:numPr>
          <w:ilvl w:val="0"/>
          <w:numId w:val="1009"/>
        </w:numPr>
      </w:pPr>
      <w:r>
        <w:rPr>
          <w:b/>
          <w:bCs/>
        </w:rPr>
        <w:t xml:space="preserve">Primary model:</w:t>
      </w:r>
      <w:r>
        <w:t xml:space="preserve"> </w:t>
      </w:r>
      <w:r>
        <w:t xml:space="preserve">gradient-boosted trees (XGBoost or LightGBM) with native categorical handling for</w:t>
      </w:r>
      <w:r>
        <w:t xml:space="preserve"> </w:t>
      </w:r>
      <w:r>
        <w:rPr>
          <w:rStyle w:val="VerbatimChar"/>
        </w:rPr>
        <w:t xml:space="preserve">country</w:t>
      </w:r>
      <w:r>
        <w:t xml:space="preserve">/</w:t>
      </w:r>
      <w:r>
        <w:rPr>
          <w:rStyle w:val="VerbatimChar"/>
        </w:rPr>
        <w:t xml:space="preserve">crop</w:t>
      </w:r>
      <w:r>
        <w:t xml:space="preserve">/</w:t>
      </w:r>
      <w:r>
        <w:rPr>
          <w:rStyle w:val="VerbatimChar"/>
        </w:rPr>
        <w:t xml:space="preserve">site</w:t>
      </w:r>
      <w:r>
        <w:t xml:space="preserve">, given the known strong nonlinear and country-interaction effects; paired with SHAP values for per-plot, per-feature explanation (needed for the field-agent-facing</w:t>
      </w:r>
      <w:r>
        <w:t xml:space="preserve"> </w:t>
      </w:r>
      <w:r>
        <w:t xml:space="preserve">“why this recommendation”</w:t>
      </w:r>
      <w:r>
        <w:t xml:space="preserve"> </w:t>
      </w:r>
      <w:r>
        <w:t xml:space="preserve">output).</w:t>
      </w:r>
    </w:p>
    <w:p>
      <w:pPr>
        <w:pStyle w:val="Compact"/>
        <w:numPr>
          <w:ilvl w:val="0"/>
          <w:numId w:val="1009"/>
        </w:numPr>
      </w:pPr>
      <w:r>
        <w:rPr>
          <w:b/>
          <w:bCs/>
        </w:rPr>
        <w:t xml:space="preserve">Recommendation layer:</w:t>
      </w:r>
      <w:r>
        <w:t xml:space="preserve"> </w:t>
      </w:r>
      <w:r>
        <w:t xml:space="preserve">not a separate ML model — a constrained search/optimization (grid or gradient-based) over the trained GBM’s predicted response surface, varying controllable inputs (fertilizer kg, seed type, spacing) within a farmer’s stated budget while holding fixed conditions (country, plot size, slope, GPS) constant.</w:t>
      </w:r>
    </w:p>
    <w:bookmarkEnd w:id="29"/>
    <w:bookmarkStart w:id="30" w:name="test-design"/>
    <w:p>
      <w:pPr>
        <w:pStyle w:val="Heading3"/>
      </w:pPr>
      <w:r>
        <w:t xml:space="preserve">4.2 Test Design</w:t>
      </w:r>
    </w:p>
    <w:p>
      <w:pPr>
        <w:pStyle w:val="Compact"/>
        <w:numPr>
          <w:ilvl w:val="0"/>
          <w:numId w:val="1010"/>
        </w:numPr>
      </w:pPr>
      <w:r>
        <w:t xml:space="preserve">Primary metric: MAE and RMSE in kg/ha, reported</w:t>
      </w:r>
      <w:r>
        <w:t xml:space="preserve"> </w:t>
      </w:r>
      <w:r>
        <w:rPr>
          <w:b/>
          <w:bCs/>
        </w:rPr>
        <w:t xml:space="preserve">per crop × per country</w:t>
      </w:r>
      <w:r>
        <w:t xml:space="preserve"> </w:t>
      </w:r>
      <w:r>
        <w:t xml:space="preserve">(never pooled — Section 2.3 shows why a pooled metric would be dominated by maize/Kenya’s larger N and mask poor performance on thin-data countries).</w:t>
      </w:r>
    </w:p>
    <w:p>
      <w:pPr>
        <w:pStyle w:val="Compact"/>
        <w:numPr>
          <w:ilvl w:val="0"/>
          <w:numId w:val="1010"/>
        </w:numPr>
      </w:pPr>
      <w:r>
        <w:t xml:space="preserve">Secondary: R² per segment, plus a calibration check (predicted vs. actual yield deciles) to catch systematic over/under-prediction in low-coverage countries.</w:t>
      </w:r>
    </w:p>
    <w:p>
      <w:pPr>
        <w:pStyle w:val="Compact"/>
        <w:numPr>
          <w:ilvl w:val="0"/>
          <w:numId w:val="1010"/>
        </w:numPr>
      </w:pPr>
      <w:r>
        <w:t xml:space="preserve">Cross-validation: grouped k-fold by</w:t>
      </w:r>
      <w:r>
        <w:t xml:space="preserve"> </w:t>
      </w:r>
      <w:r>
        <w:rPr>
          <w:rStyle w:val="VerbatimChar"/>
        </w:rPr>
        <w:t xml:space="preserve">site</w:t>
      </w:r>
      <w:r>
        <w:t xml:space="preserve"> </w:t>
      </w:r>
      <w:r>
        <w:t xml:space="preserve">for in-sample tuning; out-of-time holdout (Section 3.5) for the final reported number, since in-time validation alone would overstate real-world performance — a field agent needs next season’s estimate, and next season is by definition out-of-time.</w:t>
      </w:r>
    </w:p>
    <w:bookmarkEnd w:id="30"/>
    <w:bookmarkStart w:id="31" w:name="build-the-model"/>
    <w:p>
      <w:pPr>
        <w:pStyle w:val="Heading3"/>
      </w:pPr>
      <w:r>
        <w:t xml:space="preserve">4.3 Build the Model</w:t>
      </w:r>
    </w:p>
    <w:p>
      <w:pPr>
        <w:pStyle w:val="FirstParagraph"/>
      </w:pPr>
      <w:r>
        <w:t xml:space="preserve">Implementation is out of scope for this report (no code exists yet in this repo — see README’s suggested next step); this section records the intended sequence: (1) fit country×crop median baseline, (2) fit per-crop GLM, (3) fit GBM with SHAP, (4) build the constrained optimization layer on top of (3). Each step’s output should be checked against (4.4) before proceeding to the next.</w:t>
      </w:r>
    </w:p>
    <w:bookmarkEnd w:id="31"/>
    <w:bookmarkStart w:id="32" w:name="assess-the-model"/>
    <w:p>
      <w:pPr>
        <w:pStyle w:val="Heading3"/>
      </w:pPr>
      <w:r>
        <w:t xml:space="preserve">4.4 Assess the Model</w:t>
      </w:r>
    </w:p>
    <w:p>
      <w:pPr>
        <w:pStyle w:val="Compact"/>
        <w:numPr>
          <w:ilvl w:val="0"/>
          <w:numId w:val="1011"/>
        </w:numPr>
      </w:pPr>
      <w:r>
        <w:t xml:space="preserve">Compare each model tier against the baseline using the per-segment metrics from 4.2; a tier only</w:t>
      </w:r>
      <w:r>
        <w:t xml:space="preserve"> </w:t>
      </w:r>
      <w:r>
        <w:t xml:space="preserve">“wins”</w:t>
      </w:r>
      <w:r>
        <w:t xml:space="preserve"> </w:t>
      </w:r>
      <w:r>
        <w:t xml:space="preserve">if it improves MAE in the majority of country×crop segments with adequate N, not just in the aggregate.</w:t>
      </w:r>
    </w:p>
    <w:p>
      <w:pPr>
        <w:pStyle w:val="Compact"/>
        <w:numPr>
          <w:ilvl w:val="0"/>
          <w:numId w:val="1011"/>
        </w:numPr>
      </w:pPr>
      <w:r>
        <w:t xml:space="preserve">Domain plausibility check on GBM/SHAP outputs specifically for the coverage gaps found in 2.3: e.g., since</w:t>
      </w:r>
      <w:r>
        <w:t xml:space="preserve"> </w:t>
      </w:r>
      <w:r>
        <w:rPr>
          <w:rStyle w:val="VerbatimChar"/>
        </w:rPr>
        <w:t xml:space="preserve">fertility</w:t>
      </w:r>
      <w:r>
        <w:t xml:space="preserve"> </w:t>
      </w:r>
      <w:r>
        <w:t xml:space="preserve">is essentially Kenya-only, verify the model isn’t leaning on it in a way that produces nonsensical extrapolated recommendations for Burundi or Tanzania plots where the feature is imputed/missing.</w:t>
      </w:r>
    </w:p>
    <w:p>
      <w:r>
        <w:pict>
          <v:rect style="width:0;height:1.5pt" o:hralign="center" o:hrstd="t" o:hr="t"/>
        </w:pict>
      </w:r>
    </w:p>
    <w:bookmarkEnd w:id="32"/>
    <w:bookmarkEnd w:id="33"/>
    <w:bookmarkStart w:id="37" w:name="evaluation"/>
    <w:p>
      <w:pPr>
        <w:pStyle w:val="Heading2"/>
      </w:pPr>
      <w:r>
        <w:t xml:space="preserve">5. Evaluation</w:t>
      </w:r>
    </w:p>
    <w:bookmarkStart w:id="34" w:name="X1472e8ddf70c4fed18f6b9a10ab4d1bb7c8f4f2"/>
    <w:p>
      <w:pPr>
        <w:pStyle w:val="Heading3"/>
      </w:pPr>
      <w:r>
        <w:t xml:space="preserve">5.1 Evaluate Results Against Business Success Criteria</w:t>
      </w:r>
    </w:p>
    <w:p>
      <w:pPr>
        <w:pStyle w:val="Compact"/>
        <w:numPr>
          <w:ilvl w:val="0"/>
          <w:numId w:val="1012"/>
        </w:numPr>
      </w:pPr>
      <w:r>
        <w:t xml:space="preserve">Check against 1.3/1.5: does the model beat baseline by the target margin on true out-of-time holdouts (Burundi/Kenya/Rwanda/Tanzania), and do SHAP-based recommendations survive domain review for diminishing fertilizer returns and hybrid-seed advantage?</w:t>
      </w:r>
    </w:p>
    <w:p>
      <w:pPr>
        <w:pStyle w:val="Compact"/>
        <w:numPr>
          <w:ilvl w:val="0"/>
          <w:numId w:val="1012"/>
        </w:numPr>
      </w:pPr>
      <w:r>
        <w:t xml:space="preserve">Check the</w:t>
      </w:r>
      <w:r>
        <w:t xml:space="preserve"> </w:t>
      </w:r>
      <w:r>
        <w:rPr>
          <w:b/>
          <w:bCs/>
        </w:rPr>
        <w:t xml:space="preserve">repayment-relevance criterion added in 1.3</w:t>
      </w:r>
      <w:r>
        <w:t xml:space="preserve">: for a sample of prior seasons where actual repayment outcomes are known (this requires joining in loan/collections data not present in this workbook — a dependency to flag to OAF’s credit team early), do plots the model would have flagged as elevated-risk mid-season actually show worse repayment than unflagged plots? If OAF cannot supply repayment data for this validation, state that explicitly as an unvalidated assumption rather than silently treating yield accuracy as a proxy for credit-risk accuracy.</w:t>
      </w:r>
    </w:p>
    <w:p>
      <w:pPr>
        <w:pStyle w:val="Compact"/>
        <w:numPr>
          <w:ilvl w:val="0"/>
          <w:numId w:val="1012"/>
        </w:numPr>
      </w:pPr>
      <w:r>
        <w:t xml:space="preserve">Explicitly report the</w:t>
      </w:r>
      <w:r>
        <w:t xml:space="preserve"> </w:t>
      </w:r>
      <w:r>
        <w:rPr>
          <w:b/>
          <w:bCs/>
        </w:rPr>
        <w:t xml:space="preserve">scope limitation</w:t>
      </w:r>
      <w:r>
        <w:t xml:space="preserve"> </w:t>
      </w:r>
      <w:r>
        <w:t xml:space="preserve">surfaced in Section 3.4: if two separate model families were needed (maize vs. legume/potato) rather than one unified cross-country model, communicate this to stakeholders as a finding about the data, not a shortfall in modeling effort — the</w:t>
      </w:r>
      <w:r>
        <w:t xml:space="preserve"> </w:t>
      </w:r>
      <w:r>
        <w:t xml:space="preserve">“agronomist-in-a-box”</w:t>
      </w:r>
      <w:r>
        <w:t xml:space="preserve"> </w:t>
      </w:r>
      <w:r>
        <w:t xml:space="preserve">ambition is achievable, just not as a single monolithic model given the underlying survey design.</w:t>
      </w:r>
    </w:p>
    <w:p>
      <w:pPr>
        <w:pStyle w:val="Compact"/>
        <w:numPr>
          <w:ilvl w:val="0"/>
          <w:numId w:val="1012"/>
        </w:numPr>
      </w:pPr>
      <w:r>
        <w:t xml:space="preserve">Report confidence tiers explicitly: high confidence (Burundi/Kenya/Rwanda/Tanzania maize, out-of-time validated), lower confidence (Malawi/Uganda/Zambia, in-sample only pending more survey rounds). Confidence tiers should be communicated to both the field-advisory audience and, separately, to whoever owns lending/collections decisions — the latter needs to know explicitly which forecasts are strong enough to inform loan decisions and which are not yet.</w:t>
      </w:r>
    </w:p>
    <w:bookmarkEnd w:id="34"/>
    <w:bookmarkStart w:id="35" w:name="review-of-process"/>
    <w:p>
      <w:pPr>
        <w:pStyle w:val="Heading3"/>
      </w:pPr>
      <w:r>
        <w:t xml:space="preserve">5.2 Review of Process</w:t>
      </w:r>
    </w:p>
    <w:p>
      <w:pPr>
        <w:pStyle w:val="FirstParagraph"/>
      </w:pPr>
      <w:r>
        <w:t xml:space="preserve">Revisit whether the Section 3 cleaning decisions (winsorization thresholds, plot-size outlier cutoffs) materially changed model conclusions — rerun sensitivity checks with alternate thresholds if time allows, since these were set from single-pass exploration in this report rather than iterative tuning.</w:t>
      </w:r>
    </w:p>
    <w:bookmarkEnd w:id="35"/>
    <w:bookmarkStart w:id="36" w:name="determine-next-steps"/>
    <w:p>
      <w:pPr>
        <w:pStyle w:val="Heading3"/>
      </w:pPr>
      <w:r>
        <w:t xml:space="preserve">5.3 Determine Next Steps</w:t>
      </w:r>
    </w:p>
    <w:p>
      <w:pPr>
        <w:pStyle w:val="Compact"/>
        <w:numPr>
          <w:ilvl w:val="0"/>
          <w:numId w:val="1013"/>
        </w:numPr>
      </w:pPr>
      <w:r>
        <w:t xml:space="preserve">If success criteria are met: proceed to Deployment (Section 6) for the maize model first, with legume/potato and thin-data countries following once more survey rounds accumulate.</w:t>
      </w:r>
    </w:p>
    <w:p>
      <w:pPr>
        <w:pStyle w:val="Compact"/>
        <w:numPr>
          <w:ilvl w:val="0"/>
          <w:numId w:val="1013"/>
        </w:numPr>
      </w:pPr>
      <w:r>
        <w:t xml:space="preserve">If not met on thin-data countries: treat as expected given the coverage findings in 2.3, not a modeling failure — the actionable next step is requesting more consistent survey coverage from OAF’s MEL team for Malawi/Uganda/Zambia, not further model tuning against known-insufficient data.</w:t>
      </w:r>
    </w:p>
    <w:p>
      <w:pPr>
        <w:pStyle w:val="Compact"/>
        <w:numPr>
          <w:ilvl w:val="0"/>
          <w:numId w:val="1013"/>
        </w:numPr>
      </w:pPr>
      <w:r>
        <w:t xml:space="preserve">Feed the validated harmonization pipeline (country handling, plot-size cleaning, train/test split logic) forward into Projects 2 and 3, as intended by the README’s project sequencing.</w:t>
      </w:r>
    </w:p>
    <w:p>
      <w:r>
        <w:pict>
          <v:rect style="width:0;height:1.5pt" o:hralign="center" o:hrstd="t" o:hr="t"/>
        </w:pict>
      </w:r>
    </w:p>
    <w:bookmarkEnd w:id="36"/>
    <w:bookmarkEnd w:id="37"/>
    <w:bookmarkStart w:id="42" w:name="deployment"/>
    <w:p>
      <w:pPr>
        <w:pStyle w:val="Heading2"/>
      </w:pPr>
      <w:r>
        <w:t xml:space="preserve">6. Deployment</w:t>
      </w:r>
    </w:p>
    <w:bookmarkStart w:id="38" w:name="deployment-plan"/>
    <w:p>
      <w:pPr>
        <w:pStyle w:val="Heading3"/>
      </w:pPr>
      <w:r>
        <w:t xml:space="preserve">6.1 Deployment Plan</w:t>
      </w:r>
    </w:p>
    <w:p>
      <w:pPr>
        <w:pStyle w:val="FirstParagraph"/>
      </w:pPr>
      <w:r>
        <w:t xml:space="preserve">Package as a lightweight scoring notebook/API with</w:t>
      </w:r>
      <w:r>
        <w:t xml:space="preserve"> </w:t>
      </w:r>
      <w:r>
        <w:rPr>
          <w:b/>
          <w:bCs/>
        </w:rPr>
        <w:t xml:space="preserve">two consumer surfaces sharing one underlying forecast</w:t>
      </w:r>
      <w:r>
        <w:t xml:space="preserve">, reflecting the dual purpose established in 1.1a:</w:t>
      </w:r>
      <w:r>
        <w:t xml:space="preserve"> </w:t>
      </w:r>
      <w:r>
        <w:t xml:space="preserve">1.</w:t>
      </w:r>
      <w:r>
        <w:t xml:space="preserve"> </w:t>
      </w:r>
      <w:r>
        <w:rPr>
          <w:b/>
          <w:bCs/>
        </w:rPr>
        <w:t xml:space="preserve">Field-agent facing:</w:t>
      </w:r>
      <w:r>
        <w:t xml:space="preserve"> </w:t>
      </w:r>
      <w:r>
        <w:t xml:space="preserve">input = farmer’s country, crop, plot conditions, available budget; output = predicted yield plus a ranked list of recommended input/practice changes with expected yield lift per change (from the constrained-optimization layer in 4.1).</w:t>
      </w:r>
      <w:r>
        <w:t xml:space="preserve"> </w:t>
      </w:r>
      <w:r>
        <w:t xml:space="preserve">2.</w:t>
      </w:r>
      <w:r>
        <w:t xml:space="preserve"> </w:t>
      </w:r>
      <w:r>
        <w:rPr>
          <w:b/>
          <w:bCs/>
        </w:rPr>
        <w:t xml:space="preserve">Credit/portfolio facing:</w:t>
      </w:r>
      <w:r>
        <w:t xml:space="preserve"> </w:t>
      </w:r>
      <w:r>
        <w:t xml:space="preserve">the same per-plot forecast, rerun mid-season with early-season signals, surfaced as a risk flag (and, aggregated, a district/country-level exposure view) to whoever at OAF owns loan monitoring and collections — a distinct audience from field agents, needing a distinct, less agronomy-jargon-heavy interface.</w:t>
      </w:r>
    </w:p>
    <w:p>
      <w:pPr>
        <w:pStyle w:val="BodyText"/>
      </w:pPr>
      <w:r>
        <w:t xml:space="preserve">Initial rollout scoped to maize in the four high-confidence countries (Burundi, Kenya, Rwanda, Tanzania) per the confidence tiers in 5.1, with other crops/countries added as their pipelines validate. The credit-facing surface should not ship until the repayment-relevance criterion in 5.1 has actually been checked against real repayment outcomes — shipping a yield-risk flag as a credit signal without that validation risks OAF acting on an unproven proxy.</w:t>
      </w:r>
    </w:p>
    <w:bookmarkEnd w:id="38"/>
    <w:bookmarkStart w:id="39" w:name="monitoring-maintenance-plan"/>
    <w:p>
      <w:pPr>
        <w:pStyle w:val="Heading3"/>
      </w:pPr>
      <w:r>
        <w:t xml:space="preserve">6.2 Monitoring &amp; Maintenance Plan</w:t>
      </w:r>
    </w:p>
    <w:p>
      <w:pPr>
        <w:pStyle w:val="Compact"/>
        <w:numPr>
          <w:ilvl w:val="0"/>
          <w:numId w:val="1014"/>
        </w:numPr>
      </w:pPr>
      <w:r>
        <w:t xml:space="preserve">Retrain each new survey round (seasonally), since the underlying survey instrument itself changes year to year (per the source’s own description in 2.1) — this is not a typical</w:t>
      </w:r>
      <w:r>
        <w:t xml:space="preserve"> </w:t>
      </w:r>
      <w:r>
        <w:t xml:space="preserve">“data drift”</w:t>
      </w:r>
      <w:r>
        <w:t xml:space="preserve"> </w:t>
      </w:r>
      <w:r>
        <w:t xml:space="preserve">problem alone but also a</w:t>
      </w:r>
      <w:r>
        <w:t xml:space="preserve"> </w:t>
      </w:r>
      <w:r>
        <w:t xml:space="preserve">“the questionnaire changed”</w:t>
      </w:r>
      <w:r>
        <w:t xml:space="preserve"> </w:t>
      </w:r>
      <w:r>
        <w:t xml:space="preserve">problem, so each new round’s coverage matrix (Section 2.3-style table) should be regenerated before retraining, not assumed stable.</w:t>
      </w:r>
    </w:p>
    <w:p>
      <w:pPr>
        <w:pStyle w:val="Compact"/>
        <w:numPr>
          <w:ilvl w:val="0"/>
          <w:numId w:val="1014"/>
        </w:numPr>
      </w:pPr>
      <w:r>
        <w:t xml:space="preserve">Monitor per-country prediction calibration each season; a sudden shift in a country’s missingness pattern (e.g., a question dropped from that year’s survey) should trigger a pipeline review before the retrained model is trusted.</w:t>
      </w:r>
    </w:p>
    <w:bookmarkEnd w:id="39"/>
    <w:bookmarkStart w:id="40" w:name="final-report-handoff"/>
    <w:p>
      <w:pPr>
        <w:pStyle w:val="Heading3"/>
      </w:pPr>
      <w:r>
        <w:t xml:space="preserve">6.3 Final Report / Handoff</w:t>
      </w:r>
    </w:p>
    <w:p>
      <w:pPr>
        <w:pStyle w:val="FirstParagraph"/>
      </w:pPr>
      <w:r>
        <w:t xml:space="preserve">This document, plus the coverage tables in Section 2.3, should be handed to whoever builds the pipeline next as the authoritative record of</w:t>
      </w:r>
      <w:r>
        <w:t xml:space="preserve"> </w:t>
      </w:r>
      <w:r>
        <w:rPr>
          <w:i/>
          <w:iCs/>
        </w:rPr>
        <w:t xml:space="preserve">why</w:t>
      </w:r>
      <w:r>
        <w:t xml:space="preserve"> </w:t>
      </w:r>
      <w:r>
        <w:t xml:space="preserve">the modeling approach is scoped the way it is (block-diagonal country×crop coverage, denominator-first outlier root cause) — these are non-obvious findings that would otherwise need to be rediscovered.</w:t>
      </w:r>
    </w:p>
    <w:bookmarkEnd w:id="40"/>
    <w:bookmarkStart w:id="41" w:name="project-review"/>
    <w:p>
      <w:pPr>
        <w:pStyle w:val="Heading3"/>
      </w:pPr>
      <w:r>
        <w:t xml:space="preserve">6.4 Project Review</w:t>
      </w:r>
    </w:p>
    <w:p>
      <w:pPr>
        <w:pStyle w:val="FirstParagraph"/>
      </w:pPr>
      <w:r>
        <w:t xml:space="preserve">Key lesson for Projects 2 and 3: don’t assume</w:t>
      </w:r>
      <w:r>
        <w:t xml:space="preserve"> </w:t>
      </w:r>
      <w:r>
        <w:t xml:space="preserve">“cross-country”</w:t>
      </w:r>
      <w:r>
        <w:t xml:space="preserve"> </w:t>
      </w:r>
      <w:r>
        <w:t xml:space="preserve">means</w:t>
      </w:r>
      <w:r>
        <w:t xml:space="preserve"> </w:t>
      </w:r>
      <w:r>
        <w:t xml:space="preserve">“one pooled model.”</w:t>
      </w:r>
      <w:r>
        <w:t xml:space="preserve"> </w:t>
      </w:r>
      <w:r>
        <w:t xml:space="preserve">The coverage analysis here shows country is a structural, not incidental, variable in this dataset — Project 2’s pest/disease model (already scoped in the README as needing per-pest country-year restriction) and Project 3’s fertilizer response curves (already scoped as needing per-country curves) both anticipated this correctly; this report provides the concrete evidence for why that design choice was right.</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README.md" TargetMode="External" /></Relationships>
</file>

<file path=word/_rels/footnotes.xml.rels><?xml version="1.0" encoding="UTF-8"?><Relationships xmlns="http://schemas.openxmlformats.org/package/2006/relationships"><Relationship Type="http://schemas.openxmlformats.org/officeDocument/2006/relationships/hyperlink" Id="rId9"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2026-09-02T11:00:30Z</dcterms:created>
  <dcterms:modified xsi:type="dcterms:W3CDTF">2026-09-02T11:00:30Z</dcterms:modified>
</cp:coreProperties>
</file>

<file path=docProps/custom.xml><?xml version="1.0" encoding="utf-8"?>
<Properties xmlns="http://schemas.openxmlformats.org/officeDocument/2006/custom-properties" xmlns:vt="http://schemas.openxmlformats.org/officeDocument/2006/docPropsVTypes"/>
</file>