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52"/>
        </w:rPr>
        <w:t>Kenya Maize Yield &amp; Recommendation API</w:t>
      </w:r>
    </w:p>
    <w:p>
      <w:pPr>
        <w:spacing w:after="280"/>
      </w:pPr>
      <w:r>
        <w:rPr>
          <w:color w:val="0E6B63"/>
          <w:sz w:val="26"/>
        </w:rPr>
        <w:t>Implementation, deployment and integration guide</w:t>
      </w:r>
    </w:p>
    <w:tbl>
      <w:tblPr>
        <w:tblStyle w:val="TableGrid"/>
        <w:tblW w:type="auto" w:w="0"/>
        <w:jc w:val="left"/>
        <w:tblLook w:firstColumn="1" w:firstRow="1" w:lastColumn="0" w:lastRow="0" w:noHBand="0" w:noVBand="1" w:val="04A0"/>
      </w:tblPr>
      <w:tblGrid>
        <w:gridCol w:w="4824"/>
        <w:gridCol w:w="4824"/>
      </w:tblGrid>
      <w:tr>
        <w:tc>
          <w:tcPr>
            <w:tcW w:type="dxa" w:w="2160"/>
            <w:shd w:val="clear" w:fill="1F4E79"/>
          </w:tcPr>
          <w:p>
            <w:r/>
            <w:r>
              <w:rPr>
                <w:b/>
                <w:color w:val="FFFFFF"/>
                <w:sz w:val="18"/>
              </w:rPr>
            </w:r>
          </w:p>
        </w:tc>
        <w:tc>
          <w:tcPr>
            <w:tcW w:type="dxa" w:w="7776"/>
            <w:shd w:val="clear" w:fill="1F4E79"/>
          </w:tcPr>
          <w:p>
            <w:r/>
            <w:r>
              <w:rPr>
                <w:b/>
                <w:color w:val="FFFFFF"/>
                <w:sz w:val="18"/>
              </w:rPr>
            </w:r>
          </w:p>
        </w:tc>
      </w:tr>
      <w:tr>
        <w:tc>
          <w:tcPr>
            <w:tcW w:type="dxa" w:w="2160"/>
          </w:tcPr>
          <w:p>
            <w:pPr>
              <w:spacing w:after="40"/>
            </w:pPr>
            <w:r/>
            <w:r>
              <w:rPr>
                <w:sz w:val="18"/>
              </w:rPr>
              <w:t>Audience</w:t>
            </w:r>
          </w:p>
        </w:tc>
        <w:tc>
          <w:tcPr>
            <w:tcW w:type="dxa" w:w="7776"/>
          </w:tcPr>
          <w:p>
            <w:pPr>
              <w:spacing w:after="40"/>
            </w:pPr>
            <w:r/>
            <w:r>
              <w:rPr>
                <w:sz w:val="18"/>
              </w:rPr>
              <w:t>Frontend engineers building the client, and whoever deploys the service</w:t>
            </w:r>
          </w:p>
        </w:tc>
      </w:tr>
      <w:tr>
        <w:tc>
          <w:tcPr>
            <w:tcW w:type="dxa" w:w="2160"/>
            <w:shd w:val="clear" w:fill="F4F6F9"/>
          </w:tcPr>
          <w:p>
            <w:pPr>
              <w:spacing w:after="40"/>
            </w:pPr>
            <w:r/>
            <w:r>
              <w:rPr>
                <w:sz w:val="18"/>
              </w:rPr>
              <w:t>Service</w:t>
            </w:r>
          </w:p>
        </w:tc>
        <w:tc>
          <w:tcPr>
            <w:tcW w:type="dxa" w:w="7776"/>
            <w:shd w:val="clear" w:fill="F4F6F9"/>
          </w:tcPr>
          <w:p>
            <w:pPr>
              <w:spacing w:after="40"/>
            </w:pPr>
            <w:r/>
            <w:r>
              <w:rPr>
                <w:sz w:val="18"/>
              </w:rPr>
              <w:t>FastAPI application in api/, version 0.1.0</w:t>
            </w:r>
          </w:p>
        </w:tc>
      </w:tr>
      <w:tr>
        <w:tc>
          <w:tcPr>
            <w:tcW w:type="dxa" w:w="2160"/>
          </w:tcPr>
          <w:p>
            <w:pPr>
              <w:spacing w:after="40"/>
            </w:pPr>
            <w:r/>
            <w:r>
              <w:rPr>
                <w:sz w:val="18"/>
              </w:rPr>
              <w:t>Model</w:t>
            </w:r>
          </w:p>
        </w:tc>
        <w:tc>
          <w:tcPr>
            <w:tcW w:type="dxa" w:w="7776"/>
          </w:tcPr>
          <w:p>
            <w:pPr>
              <w:spacing w:after="40"/>
            </w:pPr>
            <w:r/>
            <w:r>
              <w:rPr>
                <w:sz w:val="18"/>
              </w:rPr>
              <w:t>district_v2 — 5-member ensemble, trained on 23,674 Kenyan maize plots, 2016–2020</w:t>
            </w:r>
          </w:p>
        </w:tc>
      </w:tr>
      <w:tr>
        <w:tc>
          <w:tcPr>
            <w:tcW w:type="dxa" w:w="2160"/>
            <w:shd w:val="clear" w:fill="F4F6F9"/>
          </w:tcPr>
          <w:p>
            <w:pPr>
              <w:spacing w:after="40"/>
            </w:pPr>
            <w:r/>
            <w:r>
              <w:rPr>
                <w:sz w:val="18"/>
              </w:rPr>
              <w:t>Recommendation layer</w:t>
            </w:r>
          </w:p>
        </w:tc>
        <w:tc>
          <w:tcPr>
            <w:tcW w:type="dxa" w:w="7776"/>
            <w:shd w:val="clear" w:fill="F4F6F9"/>
          </w:tcPr>
          <w:p>
            <w:pPr>
              <w:spacing w:after="40"/>
            </w:pPr>
            <w:r/>
            <w:r>
              <w:rPr>
                <w:sz w:val="18"/>
              </w:rPr>
              <w:t>8 fitted lever response curves, 23,617 plots, 2016–2020</w:t>
            </w:r>
          </w:p>
        </w:tc>
      </w:tr>
      <w:tr>
        <w:tc>
          <w:tcPr>
            <w:tcW w:type="dxa" w:w="2160"/>
          </w:tcPr>
          <w:p>
            <w:pPr>
              <w:spacing w:after="40"/>
            </w:pPr>
            <w:r/>
            <w:r>
              <w:rPr>
                <w:sz w:val="18"/>
              </w:rPr>
              <w:t>Repository</w:t>
            </w:r>
          </w:p>
        </w:tc>
        <w:tc>
          <w:tcPr>
            <w:tcW w:type="dxa" w:w="7776"/>
          </w:tcPr>
          <w:p>
            <w:pPr>
              <w:spacing w:after="40"/>
            </w:pPr>
            <w:r/>
            <w:r>
              <w:rPr>
                <w:sz w:val="18"/>
              </w:rPr>
              <w:t>yield-prediction-and-agronomic-recomendation</w:t>
            </w:r>
          </w:p>
        </w:tc>
      </w:tr>
      <w:tr>
        <w:tc>
          <w:tcPr>
            <w:tcW w:type="dxa" w:w="2160"/>
            <w:shd w:val="clear" w:fill="F4F6F9"/>
          </w:tcPr>
          <w:p>
            <w:pPr>
              <w:spacing w:after="40"/>
            </w:pPr>
            <w:r/>
            <w:r>
              <w:rPr>
                <w:sz w:val="18"/>
              </w:rPr>
              <w:t>Companion docs</w:t>
            </w:r>
          </w:p>
        </w:tc>
        <w:tc>
          <w:tcPr>
            <w:tcW w:type="dxa" w:w="7776"/>
            <w:shd w:val="clear" w:fill="F4F6F9"/>
          </w:tcPr>
          <w:p>
            <w:pPr>
              <w:spacing w:after="40"/>
            </w:pPr>
            <w:r/>
            <w:r>
              <w:rPr>
                <w:sz w:val="18"/>
              </w:rPr>
              <w:t>Documentation/api_reference.md (HTTP contract), kenya_maize_district_model_deployment.md (what the model can do), kenya_maize_recommendation_layer.md (how the advice is estimated)</w:t>
            </w:r>
          </w:p>
        </w:tc>
      </w:tr>
    </w:tbl>
    <w:p>
      <w:pPr>
        <w:spacing w:after="40"/>
      </w:pPr>
    </w:p>
    <w:p>
      <w:r>
        <w:rPr>
          <w:b w:val="0"/>
          <w:i w:val="0"/>
        </w:rPr>
      </w:r>
    </w:p>
    <w:p>
      <w:r>
        <w:rPr>
          <w:b/>
          <w:i w:val="0"/>
          <w:color w:val="1F4E79"/>
          <w:sz w:val="24"/>
        </w:rPr>
        <w:t>How to read this document</w:t>
      </w:r>
    </w:p>
    <w:p>
      <w:r>
        <w:rPr>
          <w:b/>
          <w:i w:val="0"/>
        </w:rPr>
        <w:t>Part 1</w:t>
      </w:r>
      <w:r>
        <w:rPr>
          <w:b w:val="0"/>
          <w:i w:val="0"/>
        </w:rPr>
        <w:t xml:space="preserve"> tells the story of how the service was built, so both teams share the same mental model. </w:t>
      </w:r>
      <w:r>
        <w:rPr>
          <w:b/>
          <w:i w:val="0"/>
        </w:rPr>
        <w:t>Part 2</w:t>
      </w:r>
      <w:r>
        <w:rPr>
          <w:b w:val="0"/>
          <w:i w:val="0"/>
        </w:rPr>
        <w:t xml:space="preserve"> is everything the deployment engineer needs and nothing else. </w:t>
      </w:r>
      <w:r>
        <w:rPr>
          <w:b/>
          <w:i w:val="0"/>
        </w:rPr>
        <w:t>Part 3</w:t>
      </w:r>
      <w:r>
        <w:rPr>
          <w:b w:val="0"/>
          <w:i w:val="0"/>
        </w:rPr>
        <w:t xml:space="preserve"> is everything the frontend team needs and nothing else. </w:t>
      </w:r>
      <w:r>
        <w:rPr>
          <w:b/>
          <w:i w:val="0"/>
        </w:rPr>
        <w:t>Part 4</w:t>
      </w:r>
      <w:r>
        <w:rPr>
          <w:b w:val="0"/>
          <w:i w:val="0"/>
        </w:rPr>
        <w:t xml:space="preserve"> holds the reference tables both will keep coming back to. </w:t>
      </w:r>
      <w:r>
        <w:rPr>
          <w:b/>
          <w:i w:val="0"/>
        </w:rPr>
        <w:t>Part 5</w:t>
      </w:r>
      <w:r>
        <w:rPr>
          <w:b w:val="0"/>
          <w:i w:val="0"/>
        </w:rPr>
        <w:t xml:space="preserve"> says honestly what is not built yet.</w:t>
      </w:r>
    </w:p>
    <w:p>
      <w:r>
        <w:rPr>
          <w:b w:val="0"/>
          <w:i w:val="0"/>
        </w:rPr>
        <w:t>You do not need to read the parts that are not yours. Each is written to stand alone.</w:t>
      </w:r>
    </w:p>
    <w:p>
      <w:pPr>
        <w:spacing w:before="160" w:after="160"/>
        <w:ind w:left="144"/>
        <w:shd w:val="clear" w:fill="E8F1F8"/>
      </w:pPr>
      <w:r>
        <w:rPr>
          <w:b/>
          <w:color w:val="1F4E79"/>
        </w:rPr>
        <w:t xml:space="preserve">Start here.  </w:t>
      </w:r>
      <w:r>
        <w:t>If you only have five minutes: the service is a normal FastAPI app started with one uvicorn command. It has two main endpoints — /api/v1/predict (how much will this yield?) and /api/v1/recommend (what should this farmer change?). The one thing that will trip you up is that the trained model file is NOT in the git repository, because it is too large. Part 2 §4 explains the three ways to supply it. Everything else has a working default.</w:t>
      </w:r>
    </w:p>
    <w:p>
      <w:r>
        <w:br w:type="page"/>
      </w:r>
    </w:p>
    <w:p>
      <w:pPr>
        <w:pStyle w:val="Heading1"/>
      </w:pPr>
      <w:r>
        <w:t>Part 1 · What this service is, and how it came to be</w:t>
      </w:r>
    </w:p>
    <w:p>
      <w:pPr>
        <w:pStyle w:val="Heading2"/>
      </w:pPr>
      <w:r>
        <w:t>1.1  In one paragraph</w:t>
      </w:r>
    </w:p>
    <w:p>
      <w:r>
        <w:rPr>
          <w:b w:val="0"/>
          <w:i w:val="0"/>
        </w:rPr>
        <w:t xml:space="preserve">One Acre Fund surveys smallholder maize farmers in Kenya every season, physically weighing harvests. Five seasons of that survey — 23,674 plots across 51 districts, 2016 to 2020 — were cleaned, turned into features, and used to train a yield model. This service puts that work behind an HTTP API so a field agent's phone or laptop can ask two questions in under a second: </w:t>
      </w:r>
      <w:r>
        <w:rPr>
          <w:b/>
          <w:i w:val="0"/>
        </w:rPr>
        <w:t>how much is this plot likely to yield</w:t>
      </w:r>
      <w:r>
        <w:rPr>
          <w:b w:val="0"/>
          <w:i w:val="0"/>
        </w:rPr>
        <w:t xml:space="preserve">, and </w:t>
      </w:r>
      <w:r>
        <w:rPr>
          <w:b/>
          <w:i w:val="0"/>
        </w:rPr>
        <w:t>what should this farmer change to yield more</w:t>
      </w:r>
      <w:r>
        <w:rPr>
          <w:b w:val="0"/>
          <w:i w:val="0"/>
        </w:rPr>
        <w:t>. No data scientist in the loop.</w:t>
      </w:r>
    </w:p>
    <w:p>
      <w:pPr>
        <w:pStyle w:val="Heading2"/>
      </w:pPr>
      <w:r>
        <w:t>1.2  The two things it answers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fill="1F4E79"/>
          </w:tcPr>
          <w:p>
            <w:r/>
            <w:r>
              <w:rPr>
                <w:b/>
                <w:color w:val="FFFFFF"/>
                <w:sz w:val="18"/>
              </w:rPr>
              <w:t>Question</w:t>
            </w:r>
          </w:p>
        </w:tc>
        <w:tc>
          <w:tcPr>
            <w:tcW w:type="dxa" w:w="2160"/>
            <w:shd w:val="clear" w:fill="1F4E79"/>
          </w:tcPr>
          <w:p>
            <w:r/>
            <w:r>
              <w:rPr>
                <w:b/>
                <w:color w:val="FFFFFF"/>
                <w:sz w:val="18"/>
              </w:rPr>
              <w:t>Endpoint</w:t>
            </w:r>
          </w:p>
        </w:tc>
        <w:tc>
          <w:tcPr>
            <w:tcW w:type="dxa" w:w="4320"/>
            <w:shd w:val="clear" w:fill="1F4E79"/>
          </w:tcPr>
          <w:p>
            <w:r/>
            <w:r>
              <w:rPr>
                <w:b/>
                <w:color w:val="FFFFFF"/>
                <w:sz w:val="18"/>
              </w:rPr>
              <w:t>What comes back</w:t>
            </w:r>
          </w:p>
        </w:tc>
        <w:tc>
          <w:tcPr>
            <w:tcW w:type="dxa" w:w="1368"/>
            <w:shd w:val="clear" w:fill="1F4E79"/>
          </w:tcPr>
          <w:p>
            <w:r/>
            <w:r>
              <w:rPr>
                <w:b/>
                <w:color w:val="FFFFFF"/>
                <w:sz w:val="18"/>
              </w:rPr>
              <w:t>Needs the model file?</w:t>
            </w:r>
          </w:p>
        </w:tc>
      </w:tr>
      <w:tr>
        <w:tc>
          <w:tcPr>
            <w:tcW w:type="dxa" w:w="2160"/>
          </w:tcPr>
          <w:p>
            <w:pPr>
              <w:spacing w:after="40"/>
            </w:pPr>
            <w:r/>
            <w:r>
              <w:rPr>
                <w:sz w:val="18"/>
              </w:rPr>
              <w:t>How much will this yield?</w:t>
            </w:r>
          </w:p>
        </w:tc>
        <w:tc>
          <w:tcPr>
            <w:tcW w:type="dxa" w:w="2160"/>
          </w:tcPr>
          <w:p>
            <w:pPr>
              <w:spacing w:after="40"/>
            </w:pPr>
            <w:r/>
            <w:r>
              <w:rPr>
                <w:rFonts w:ascii="Consolas" w:hAnsi="Consolas"/>
                <w:sz w:val="17"/>
              </w:rPr>
              <w:t>POST /api/v1/predict</w:t>
            </w:r>
          </w:p>
        </w:tc>
        <w:tc>
          <w:tcPr>
            <w:tcW w:type="dxa" w:w="4320"/>
          </w:tcPr>
          <w:p>
            <w:pPr>
              <w:spacing w:after="40"/>
            </w:pPr>
            <w:r/>
            <w:r>
              <w:rPr>
                <w:sz w:val="18"/>
              </w:rPr>
              <w:t>A predicted yield in kg per hectare, with an uncertainty band, for each plot and for the district average of those plots.</w:t>
            </w:r>
          </w:p>
        </w:tc>
        <w:tc>
          <w:tcPr>
            <w:tcW w:type="dxa" w:w="1368"/>
          </w:tcPr>
          <w:p>
            <w:pPr>
              <w:spacing w:after="40"/>
            </w:pPr>
            <w:r/>
            <w:r>
              <w:rPr>
                <w:sz w:val="18"/>
              </w:rPr>
              <w:t>Yes</w:t>
            </w:r>
          </w:p>
        </w:tc>
      </w:tr>
      <w:tr>
        <w:tc>
          <w:tcPr>
            <w:tcW w:type="dxa" w:w="2160"/>
            <w:shd w:val="clear" w:fill="F4F6F9"/>
          </w:tcPr>
          <w:p>
            <w:pPr>
              <w:spacing w:after="40"/>
            </w:pPr>
            <w:r/>
            <w:r>
              <w:rPr>
                <w:sz w:val="18"/>
              </w:rPr>
              <w:t>What should this farmer change?</w:t>
            </w:r>
          </w:p>
        </w:tc>
        <w:tc>
          <w:tcPr>
            <w:tcW w:type="dxa" w:w="2160"/>
            <w:shd w:val="clear" w:fill="F4F6F9"/>
          </w:tcPr>
          <w:p>
            <w:pPr>
              <w:spacing w:after="40"/>
            </w:pPr>
            <w:r/>
            <w:r>
              <w:rPr>
                <w:rFonts w:ascii="Consolas" w:hAnsi="Consolas"/>
                <w:sz w:val="17"/>
              </w:rPr>
              <w:t>POST /api/v1/recommend</w:t>
            </w:r>
          </w:p>
        </w:tc>
        <w:tc>
          <w:tcPr>
            <w:tcW w:type="dxa" w:w="4320"/>
            <w:shd w:val="clear" w:fill="F4F6F9"/>
          </w:tcPr>
          <w:p>
            <w:pPr>
              <w:spacing w:after="40"/>
            </w:pPr>
            <w:r/>
            <w:r>
              <w:rPr>
                <w:sz w:val="18"/>
              </w:rPr>
              <w:t>A ranked list of changes — planting date, fertiliser, seed — each with the expected yield gain in kg/ha, a confidence band, and the evidence behind it.</w:t>
            </w:r>
          </w:p>
        </w:tc>
        <w:tc>
          <w:tcPr>
            <w:tcW w:type="dxa" w:w="1368"/>
            <w:shd w:val="clear" w:fill="F4F6F9"/>
          </w:tcPr>
          <w:p>
            <w:pPr>
              <w:spacing w:after="40"/>
            </w:pPr>
            <w:r/>
            <w:r>
              <w:rPr>
                <w:sz w:val="18"/>
              </w:rPr>
              <w:t>No</w:t>
            </w:r>
          </w:p>
        </w:tc>
      </w:tr>
    </w:tbl>
    <w:p>
      <w:pPr>
        <w:spacing w:after="40"/>
      </w:pPr>
    </w:p>
    <w:p>
      <w:r>
        <w:rPr>
          <w:b w:val="0"/>
          <w:i w:val="0"/>
        </w:rPr>
        <w:t xml:space="preserve">That last column matters for deployment and is explained in </w:t>
      </w:r>
      <w:r>
        <w:rPr>
          <w:b/>
          <w:i w:val="0"/>
        </w:rPr>
        <w:t>Part 2 §4</w:t>
      </w:r>
      <w:r>
        <w:rPr>
          <w:b w:val="0"/>
          <w:i w:val="0"/>
        </w:rPr>
        <w:t>. The recommendation layer was deliberately built so it does not depend on the large model file. If the file is missing, recommendations still work perfectly; only predictions stop.</w:t>
      </w:r>
    </w:p>
    <w:p>
      <w:pPr>
        <w:pStyle w:val="Heading2"/>
      </w:pPr>
      <w:r>
        <w:t>1.3  How it was built, in order</w:t>
      </w:r>
    </w:p>
    <w:p>
      <w:r>
        <w:rPr>
          <w:b w:val="0"/>
          <w:i w:val="0"/>
        </w:rPr>
        <w:t>Five stages. Each produced an artefact the next stage consumes. Knowing this order makes every error message in Part 2 §9 obvious.</w:t>
      </w:r>
    </w:p>
    <w:p>
      <w:pPr>
        <w:pStyle w:val="Heading3"/>
      </w:pPr>
      <w:r>
        <w:t>Stage 1 — Clean the survey</w:t>
      </w:r>
    </w:p>
    <w:p>
      <w:r>
        <w:rPr>
          <w:b w:val="0"/>
          <w:i w:val="0"/>
        </w:rPr>
        <w:t xml:space="preserve">The raw One Acre Fund workbook has 81,411 rows across seven countries and four crops, and it is messy in specific ways: a DAP fertiliser rate reaching 103,704 kg/ha, plot sizes of 462 hectares for smallholder fields. </w:t>
      </w:r>
      <w:r>
        <w:rPr>
          <w:rFonts w:ascii="Consolas" w:hAnsi="Consolas"/>
          <w:b w:val="0"/>
          <w:i w:val="0"/>
          <w:sz w:val="19"/>
        </w:rPr>
        <w:t>scripts/clean_kenya_maize.py</w:t>
      </w:r>
      <w:r>
        <w:rPr>
          <w:b w:val="0"/>
          <w:i w:val="0"/>
        </w:rPr>
        <w:t xml:space="preserve"> fixes the plot-size denominators first (because every per-hectare column is derived from them), caps implausible rates, and narrows to Kenyan maize.</w:t>
      </w:r>
    </w:p>
    <w:p>
      <w:pPr>
        <w:pStyle w:val="Heading3"/>
      </w:pPr>
      <w:r>
        <w:t>Stage 2 — Build features, including weather</w:t>
      </w:r>
    </w:p>
    <w:p>
      <w:r>
        <w:rPr>
          <w:rFonts w:ascii="Consolas" w:hAnsi="Consolas"/>
          <w:b w:val="0"/>
          <w:i w:val="0"/>
          <w:sz w:val="19"/>
        </w:rPr>
        <w:t>scripts/build_features.py</w:t>
      </w:r>
    </w:p>
    <w:p>
      <w:r>
        <w:rPr>
          <w:b w:val="0"/>
          <w:i w:val="0"/>
        </w:rPr>
        <w:t xml:space="preserve">and </w:t>
      </w:r>
      <w:r>
        <w:rPr>
          <w:rFonts w:ascii="Consolas" w:hAnsi="Consolas"/>
          <w:b w:val="0"/>
          <w:i w:val="0"/>
          <w:sz w:val="19"/>
        </w:rPr>
        <w:t>scripts/build_weather_features.py</w:t>
      </w:r>
      <w:r>
        <w:rPr>
          <w:b w:val="0"/>
          <w:i w:val="0"/>
        </w:rPr>
        <w:t xml:space="preserve"> turn cleaned survey rows into the 143 columns the model consumes. That includes 89 rainfall and temperature columns fetched from Google Earth Engine and matched to each plot's location and season. </w:t>
      </w:r>
      <w:r>
        <w:rPr>
          <w:b/>
          <w:i w:val="0"/>
        </w:rPr>
        <w:t>This is why a caller cannot simply post 143 numbers</w:t>
      </w:r>
      <w:r>
        <w:rPr>
          <w:b w:val="0"/>
          <w:i w:val="0"/>
        </w:rPr>
        <w:t xml:space="preserve"> — most of them are monthly climate variables nobody at a farm gate knows.</w:t>
      </w:r>
    </w:p>
    <w:p>
      <w:pPr>
        <w:pStyle w:val="Heading3"/>
      </w:pPr>
      <w:r>
        <w:t>Stage 3 — Train the model</w:t>
      </w:r>
    </w:p>
    <w:p>
      <w:r>
        <w:rPr>
          <w:b w:val="0"/>
          <w:i w:val="0"/>
        </w:rPr>
        <w:t xml:space="preserve">Six notebooks worked from a baseline to the deployed ensemble. </w:t>
      </w:r>
      <w:r>
        <w:rPr>
          <w:rFonts w:ascii="Consolas" w:hAnsi="Consolas"/>
          <w:b w:val="0"/>
          <w:i w:val="0"/>
          <w:sz w:val="19"/>
        </w:rPr>
        <w:t>scripts/train_district_model.py</w:t>
      </w:r>
      <w:r>
        <w:rPr>
          <w:b w:val="0"/>
          <w:i w:val="0"/>
        </w:rPr>
        <w:t xml:space="preserve"> reproduces the final one: five members (ExtraTrees, LightGBM, XGBoost, RandomForest and a neural network) averaged together, validated </w:t>
      </w:r>
      <w:r>
        <w:rPr>
          <w:b w:val="0"/>
          <w:i/>
        </w:rPr>
        <w:t>out of time</w:t>
      </w:r>
      <w:r>
        <w:rPr>
          <w:b w:val="0"/>
          <w:i w:val="0"/>
        </w:rPr>
        <w:t xml:space="preserve"> — fitted on earlier seasons, scored on a season it had never seen. The output is </w:t>
      </w:r>
      <w:r>
        <w:rPr>
          <w:rFonts w:ascii="Consolas" w:hAnsi="Consolas"/>
          <w:b w:val="0"/>
          <w:i w:val="0"/>
          <w:sz w:val="19"/>
        </w:rPr>
        <w:t>pipeline.joblib</w:t>
      </w:r>
      <w:r>
        <w:rPr>
          <w:b w:val="0"/>
          <w:i w:val="0"/>
        </w:rPr>
        <w:t xml:space="preserve">, roughly 90–125 MB, plus a small </w:t>
      </w:r>
      <w:r>
        <w:rPr>
          <w:rFonts w:ascii="Consolas" w:hAnsi="Consolas"/>
          <w:b w:val="0"/>
          <w:i w:val="0"/>
          <w:sz w:val="19"/>
        </w:rPr>
        <w:t>metadata.json</w:t>
      </w:r>
      <w:r>
        <w:rPr>
          <w:b w:val="0"/>
          <w:i w:val="0"/>
        </w:rPr>
        <w:t xml:space="preserve"> carrying its measured accuracy.</w:t>
      </w:r>
    </w:p>
    <w:p>
      <w:pPr>
        <w:pStyle w:val="Heading3"/>
      </w:pPr>
      <w:r>
        <w:t>Stage 4 — Make a lean request possible</w:t>
      </w:r>
    </w:p>
    <w:p>
      <w:r>
        <w:rPr>
          <w:b w:val="0"/>
          <w:i w:val="0"/>
        </w:rPr>
        <w:t xml:space="preserve">A field agent knows maybe a dozen facts about a plot, not 143. </w:t>
      </w:r>
      <w:r>
        <w:rPr>
          <w:rFonts w:ascii="Consolas" w:hAnsi="Consolas"/>
          <w:b w:val="0"/>
          <w:i w:val="0"/>
          <w:sz w:val="19"/>
        </w:rPr>
        <w:t>scripts/build_api_defaults.py</w:t>
      </w:r>
      <w:r>
        <w:rPr>
          <w:b w:val="0"/>
          <w:i w:val="0"/>
        </w:rPr>
        <w:t xml:space="preserve"> distils the feature file into </w:t>
      </w:r>
      <w:r>
        <w:rPr>
          <w:rFonts w:ascii="Consolas" w:hAnsi="Consolas"/>
          <w:b w:val="0"/>
          <w:i w:val="0"/>
          <w:sz w:val="19"/>
        </w:rPr>
        <w:t>data/api/feature_defaults.json</w:t>
      </w:r>
      <w:r>
        <w:rPr>
          <w:b w:val="0"/>
          <w:i w:val="0"/>
        </w:rPr>
        <w:t xml:space="preserve"> — the median and most common value of every column, for every district and every district-season. When a request omits something, the service fills it from </w:t>
      </w:r>
      <w:r>
        <w:rPr>
          <w:b/>
          <w:i w:val="0"/>
        </w:rPr>
        <w:t>that district's own history</w:t>
      </w:r>
      <w:r>
        <w:rPr>
          <w:b w:val="0"/>
          <w:i w:val="0"/>
        </w:rPr>
        <w:t>, not a national average. This is what lets a caller send five fields and still get a sound prediction.</w:t>
      </w:r>
    </w:p>
    <w:p>
      <w:pPr>
        <w:spacing w:before="160" w:after="160"/>
        <w:ind w:left="144"/>
        <w:shd w:val="clear" w:fill="EAF5EE"/>
      </w:pPr>
      <w:r>
        <w:rPr>
          <w:b/>
          <w:color w:val="0E6B63"/>
        </w:rPr>
        <w:t xml:space="preserve">Measured, not assumed.  </w:t>
      </w:r>
      <w:r>
        <w:t>Scoring all 6,190 real 2020 plots through this lean path and comparing against the pipeline given the true engineered rows: plot-level correlation 0.988, district-level 0.998. Filling from district history does not meaningfully degrade the prediction.</w:t>
      </w:r>
    </w:p>
    <w:p>
      <w:pPr>
        <w:pStyle w:val="Heading3"/>
      </w:pPr>
      <w:r>
        <w:t>Stage 5 — Fit the recommendation curves</w:t>
      </w:r>
    </w:p>
    <w:p>
      <w:r>
        <w:rPr>
          <w:b w:val="0"/>
          <w:i w:val="0"/>
        </w:rPr>
        <w:t xml:space="preserve">The report originally planned to generate advice by searching over the trained model's predictions. That turned out to be the wrong tool: per-plot accuracy is weak (R² ≈ 0.16), and about 60% of what accuracy exists comes from simply knowing which </w:t>
      </w:r>
      <w:r>
        <w:rPr>
          <w:b w:val="0"/>
          <w:i/>
        </w:rPr>
        <w:t>district</w:t>
      </w:r>
      <w:r>
        <w:rPr>
          <w:b w:val="0"/>
          <w:i w:val="0"/>
        </w:rPr>
        <w:t xml:space="preserve"> a farm is in — which no farmer can change. Searching that surface returns confident-looking advice assembled largely from noise.</w:t>
      </w:r>
    </w:p>
    <w:p>
      <w:r>
        <w:rPr>
          <w:b w:val="0"/>
          <w:i w:val="0"/>
        </w:rPr>
        <w:t xml:space="preserve">So </w:t>
      </w:r>
      <w:r>
        <w:rPr>
          <w:rFonts w:ascii="Consolas" w:hAnsi="Consolas"/>
          <w:b w:val="0"/>
          <w:i w:val="0"/>
          <w:sz w:val="19"/>
        </w:rPr>
        <w:t>scripts/build_lever_curves.py</w:t>
      </w:r>
      <w:r>
        <w:rPr>
          <w:b w:val="0"/>
          <w:i w:val="0"/>
        </w:rPr>
        <w:t xml:space="preserve"> estimates something different and easier: not </w:t>
      </w:r>
      <w:r>
        <w:rPr>
          <w:b w:val="0"/>
          <w:i/>
        </w:rPr>
        <w:t>what will this plot yield</w:t>
      </w:r>
      <w:r>
        <w:rPr>
          <w:b w:val="0"/>
          <w:i w:val="0"/>
        </w:rPr>
        <w:t xml:space="preserve"> but </w:t>
      </w:r>
      <w:r>
        <w:rPr>
          <w:b w:val="0"/>
          <w:i/>
        </w:rPr>
        <w:t>how does yield move when this one decision moves</w:t>
      </w:r>
      <w:r>
        <w:rPr>
          <w:b w:val="0"/>
          <w:i w:val="0"/>
        </w:rPr>
        <w:t xml:space="preserve">. For each of eight controllable decisions it fits a response curve across all 23,617 plots, comparing each plot only against other plots </w:t>
      </w:r>
      <w:r>
        <w:rPr>
          <w:b/>
          <w:i w:val="0"/>
        </w:rPr>
        <w:t>in the same district in the same season</w:t>
      </w:r>
      <w:r>
        <w:rPr>
          <w:b w:val="0"/>
          <w:i w:val="0"/>
        </w:rPr>
        <w:t xml:space="preserve"> — which strips out the altitude and weather effects that dominate raw correlations. The result is </w:t>
      </w:r>
      <w:r>
        <w:rPr>
          <w:rFonts w:ascii="Consolas" w:hAnsi="Consolas"/>
          <w:b w:val="0"/>
          <w:i w:val="0"/>
          <w:sz w:val="19"/>
        </w:rPr>
        <w:t>data/api/lever_curves.json</w:t>
      </w:r>
      <w:r>
        <w:rPr>
          <w:b w:val="0"/>
          <w:i w:val="0"/>
        </w:rPr>
        <w:t>, a 37 KB file that is committed to git.</w:t>
      </w:r>
    </w:p>
    <w:p>
      <w:pPr>
        <w:pStyle w:val="Heading2"/>
      </w:pPr>
      <w:r>
        <w:t>1.4  The files, and what each is for</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fill="1F4E79"/>
          </w:tcPr>
          <w:p>
            <w:r/>
            <w:r>
              <w:rPr>
                <w:b/>
                <w:color w:val="FFFFFF"/>
                <w:sz w:val="18"/>
              </w:rPr>
              <w:t>File or folder</w:t>
            </w:r>
          </w:p>
        </w:tc>
        <w:tc>
          <w:tcPr>
            <w:tcW w:type="dxa" w:w="5760"/>
            <w:shd w:val="clear" w:fill="1F4E79"/>
          </w:tcPr>
          <w:p>
            <w:r/>
            <w:r>
              <w:rPr>
                <w:b/>
                <w:color w:val="FFFFFF"/>
                <w:sz w:val="18"/>
              </w:rPr>
              <w:t>What it is</w:t>
            </w:r>
          </w:p>
        </w:tc>
        <w:tc>
          <w:tcPr>
            <w:tcW w:type="dxa" w:w="1368"/>
            <w:shd w:val="clear" w:fill="1F4E79"/>
          </w:tcPr>
          <w:p>
            <w:r/>
            <w:r>
              <w:rPr>
                <w:b/>
                <w:color w:val="FFFFFF"/>
                <w:sz w:val="18"/>
              </w:rPr>
              <w:t>In git?</w:t>
            </w:r>
          </w:p>
        </w:tc>
      </w:tr>
      <w:tr>
        <w:tc>
          <w:tcPr>
            <w:tcW w:type="dxa" w:w="3312"/>
          </w:tcPr>
          <w:p>
            <w:pPr>
              <w:spacing w:after="40"/>
            </w:pPr>
            <w:r/>
            <w:r>
              <w:rPr>
                <w:rFonts w:ascii="Consolas" w:hAnsi="Consolas"/>
                <w:sz w:val="17"/>
              </w:rPr>
              <w:t>api/main.py</w:t>
            </w:r>
          </w:p>
        </w:tc>
        <w:tc>
          <w:tcPr>
            <w:tcW w:type="dxa" w:w="5760"/>
          </w:tcPr>
          <w:p>
            <w:pPr>
              <w:spacing w:after="40"/>
            </w:pPr>
            <w:r/>
            <w:r>
              <w:rPr>
                <w:sz w:val="18"/>
              </w:rPr>
              <w:t>The FastAPI application. Wires the routers together and defines / and the error handlers.</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api/config.py</w:t>
            </w:r>
          </w:p>
        </w:tc>
        <w:tc>
          <w:tcPr>
            <w:tcW w:type="dxa" w:w="5760"/>
            <w:shd w:val="clear" w:fill="F4F6F9"/>
          </w:tcPr>
          <w:p>
            <w:pPr>
              <w:spacing w:after="40"/>
            </w:pPr>
            <w:r/>
            <w:r>
              <w:rPr>
                <w:sz w:val="18"/>
              </w:rPr>
              <w:t>Every setting, read from environment variables. All have working defaults.</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api/schemas.py</w:t>
            </w:r>
          </w:p>
        </w:tc>
        <w:tc>
          <w:tcPr>
            <w:tcW w:type="dxa" w:w="5760"/>
          </w:tcPr>
          <w:p>
            <w:pPr>
              <w:spacing w:after="40"/>
            </w:pPr>
            <w:r/>
            <w:r>
              <w:rPr>
                <w:sz w:val="18"/>
              </w:rPr>
              <w:t>The request and response shapes. This file IS the contract the frontend codes against.</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api/features.py</w:t>
            </w:r>
          </w:p>
        </w:tc>
        <w:tc>
          <w:tcPr>
            <w:tcW w:type="dxa" w:w="5760"/>
            <w:shd w:val="clear" w:fill="F4F6F9"/>
          </w:tcPr>
          <w:p>
            <w:pPr>
              <w:spacing w:after="40"/>
            </w:pPr>
            <w:r/>
            <w:r>
              <w:rPr>
                <w:sz w:val="18"/>
              </w:rPr>
              <w:t>Turns a lean request into the 143 columns the model needs.</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api/registry.py</w:t>
            </w:r>
          </w:p>
        </w:tc>
        <w:tc>
          <w:tcPr>
            <w:tcW w:type="dxa" w:w="5760"/>
          </w:tcPr>
          <w:p>
            <w:pPr>
              <w:spacing w:after="40"/>
            </w:pPr>
            <w:r/>
            <w:r>
              <w:rPr>
                <w:sz w:val="18"/>
              </w:rPr>
              <w:t>Loads and holds the trained model. Handles the download-on-first-use path.</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api/defaults.py</w:t>
            </w:r>
          </w:p>
        </w:tc>
        <w:tc>
          <w:tcPr>
            <w:tcW w:type="dxa" w:w="5760"/>
            <w:shd w:val="clear" w:fill="F4F6F9"/>
          </w:tcPr>
          <w:p>
            <w:pPr>
              <w:spacing w:after="40"/>
            </w:pPr>
            <w:r/>
            <w:r>
              <w:rPr>
                <w:sz w:val="18"/>
              </w:rPr>
              <w:t>Reads the fill-value artefact.</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api/curves.py</w:t>
            </w:r>
          </w:p>
        </w:tc>
        <w:tc>
          <w:tcPr>
            <w:tcW w:type="dxa" w:w="5760"/>
          </w:tcPr>
          <w:p>
            <w:pPr>
              <w:spacing w:after="40"/>
            </w:pPr>
            <w:r/>
            <w:r>
              <w:rPr>
                <w:sz w:val="18"/>
              </w:rPr>
              <w:t>Reads the lever curves and does the statistics behind each recommendation.</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api/recommend.py</w:t>
            </w:r>
          </w:p>
        </w:tc>
        <w:tc>
          <w:tcPr>
            <w:tcW w:type="dxa" w:w="5760"/>
            <w:shd w:val="clear" w:fill="F4F6F9"/>
          </w:tcPr>
          <w:p>
            <w:pPr>
              <w:spacing w:after="40"/>
            </w:pPr>
            <w:r/>
            <w:r>
              <w:rPr>
                <w:sz w:val="18"/>
              </w:rPr>
              <w:t>Chooses and gates the recommendations.</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api/routers/</w:t>
            </w:r>
          </w:p>
        </w:tc>
        <w:tc>
          <w:tcPr>
            <w:tcW w:type="dxa" w:w="5760"/>
          </w:tcPr>
          <w:p>
            <w:pPr>
              <w:spacing w:after="40"/>
            </w:pPr>
            <w:r/>
            <w:r>
              <w:rPr>
                <w:sz w:val="18"/>
              </w:rPr>
              <w:t>One file per endpoint group: predict, recommend, model, reference, health.</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data/api/feature_defaults.json</w:t>
            </w:r>
          </w:p>
        </w:tc>
        <w:tc>
          <w:tcPr>
            <w:tcW w:type="dxa" w:w="5760"/>
            <w:shd w:val="clear" w:fill="F4F6F9"/>
          </w:tcPr>
          <w:p>
            <w:pPr>
              <w:spacing w:after="40"/>
            </w:pPr>
            <w:r/>
            <w:r>
              <w:rPr>
                <w:sz w:val="18"/>
              </w:rPr>
              <w:t>Fill values for every column, per district and season. ~1 MB.</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data/api/lever_curves.json</w:t>
            </w:r>
          </w:p>
        </w:tc>
        <w:tc>
          <w:tcPr>
            <w:tcW w:type="dxa" w:w="5760"/>
          </w:tcPr>
          <w:p>
            <w:pPr>
              <w:spacing w:after="40"/>
            </w:pPr>
            <w:r/>
            <w:r>
              <w:rPr>
                <w:sz w:val="18"/>
              </w:rPr>
              <w:t>The eight fitted response curves. 37 KB.</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data/models/district_v2/metadata.json</w:t>
            </w:r>
          </w:p>
        </w:tc>
        <w:tc>
          <w:tcPr>
            <w:tcW w:type="dxa" w:w="5760"/>
            <w:shd w:val="clear" w:fill="F4F6F9"/>
          </w:tcPr>
          <w:p>
            <w:pPr>
              <w:spacing w:after="40"/>
            </w:pPr>
            <w:r/>
            <w:r>
              <w:rPr>
                <w:sz w:val="18"/>
              </w:rPr>
              <w:t>The model's measured accuracy. Small.</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data/models/district_v2/pipeline.joblib</w:t>
            </w:r>
          </w:p>
        </w:tc>
        <w:tc>
          <w:tcPr>
            <w:tcW w:type="dxa" w:w="5760"/>
          </w:tcPr>
          <w:p>
            <w:pPr>
              <w:spacing w:after="40"/>
            </w:pPr>
            <w:r/>
            <w:r>
              <w:rPr>
                <w:sz w:val="18"/>
              </w:rPr>
              <w:t>The trained model itself. 90–125 MB.</w:t>
            </w:r>
          </w:p>
        </w:tc>
        <w:tc>
          <w:tcPr>
            <w:tcW w:type="dxa" w:w="1368"/>
          </w:tcPr>
          <w:p>
            <w:pPr>
              <w:spacing w:after="40"/>
            </w:pPr>
            <w:r/>
            <w:r>
              <w:rPr>
                <w:sz w:val="18"/>
              </w:rPr>
              <w:t>NO — see Part 2 §4</w:t>
            </w:r>
          </w:p>
        </w:tc>
      </w:tr>
      <w:tr>
        <w:tc>
          <w:tcPr>
            <w:tcW w:type="dxa" w:w="3312"/>
            <w:shd w:val="clear" w:fill="F4F6F9"/>
          </w:tcPr>
          <w:p>
            <w:pPr>
              <w:spacing w:after="40"/>
            </w:pPr>
            <w:r/>
            <w:r>
              <w:rPr>
                <w:rFonts w:ascii="Consolas" w:hAnsi="Consolas"/>
                <w:sz w:val="17"/>
              </w:rPr>
              <w:t>requirements.txt</w:t>
            </w:r>
          </w:p>
        </w:tc>
        <w:tc>
          <w:tcPr>
            <w:tcW w:type="dxa" w:w="5760"/>
            <w:shd w:val="clear" w:fill="F4F6F9"/>
          </w:tcPr>
          <w:p>
            <w:pPr>
              <w:spacing w:after="40"/>
            </w:pPr>
            <w:r/>
            <w:r>
              <w:rPr>
                <w:sz w:val="18"/>
              </w:rPr>
              <w:t>Runtime dependencies.</w:t>
            </w:r>
          </w:p>
        </w:tc>
        <w:tc>
          <w:tcPr>
            <w:tcW w:type="dxa" w:w="1368"/>
            <w:shd w:val="clear" w:fill="F4F6F9"/>
          </w:tcPr>
          <w:p>
            <w:pPr>
              <w:spacing w:after="40"/>
            </w:pPr>
            <w:r/>
            <w:r>
              <w:rPr>
                <w:sz w:val="18"/>
              </w:rPr>
              <w:t>Yes</w:t>
            </w:r>
          </w:p>
        </w:tc>
      </w:tr>
      <w:tr>
        <w:tc>
          <w:tcPr>
            <w:tcW w:type="dxa" w:w="3312"/>
          </w:tcPr>
          <w:p>
            <w:pPr>
              <w:spacing w:after="40"/>
            </w:pPr>
            <w:r/>
            <w:r>
              <w:rPr>
                <w:rFonts w:ascii="Consolas" w:hAnsi="Consolas"/>
                <w:sz w:val="17"/>
              </w:rPr>
              <w:t>Procfile</w:t>
            </w:r>
          </w:p>
        </w:tc>
        <w:tc>
          <w:tcPr>
            <w:tcW w:type="dxa" w:w="5760"/>
          </w:tcPr>
          <w:p>
            <w:pPr>
              <w:spacing w:after="40"/>
            </w:pPr>
            <w:r/>
            <w:r>
              <w:rPr>
                <w:sz w:val="18"/>
              </w:rPr>
              <w:t>The one-line start command for Heroku-style platforms.</w:t>
            </w:r>
          </w:p>
        </w:tc>
        <w:tc>
          <w:tcPr>
            <w:tcW w:type="dxa" w:w="1368"/>
          </w:tcPr>
          <w:p>
            <w:pPr>
              <w:spacing w:after="40"/>
            </w:pPr>
            <w:r/>
            <w:r>
              <w:rPr>
                <w:sz w:val="18"/>
              </w:rPr>
              <w:t>Yes</w:t>
            </w:r>
          </w:p>
        </w:tc>
      </w:tr>
      <w:tr>
        <w:tc>
          <w:tcPr>
            <w:tcW w:type="dxa" w:w="3312"/>
            <w:shd w:val="clear" w:fill="F4F6F9"/>
          </w:tcPr>
          <w:p>
            <w:pPr>
              <w:spacing w:after="40"/>
            </w:pPr>
            <w:r/>
            <w:r>
              <w:rPr>
                <w:rFonts w:ascii="Consolas" w:hAnsi="Consolas"/>
                <w:sz w:val="17"/>
              </w:rPr>
              <w:t>tests/</w:t>
            </w:r>
          </w:p>
        </w:tc>
        <w:tc>
          <w:tcPr>
            <w:tcW w:type="dxa" w:w="5760"/>
            <w:shd w:val="clear" w:fill="F4F6F9"/>
          </w:tcPr>
          <w:p>
            <w:pPr>
              <w:spacing w:after="40"/>
            </w:pPr>
            <w:r/>
            <w:r>
              <w:rPr>
                <w:sz w:val="18"/>
              </w:rPr>
              <w:t>test_api.py (prediction) and test_recommend.py (advice).</w:t>
            </w:r>
          </w:p>
        </w:tc>
        <w:tc>
          <w:tcPr>
            <w:tcW w:type="dxa" w:w="1368"/>
            <w:shd w:val="clear" w:fill="F4F6F9"/>
          </w:tcPr>
          <w:p>
            <w:pPr>
              <w:spacing w:after="40"/>
            </w:pPr>
            <w:r/>
            <w:r>
              <w:rPr>
                <w:sz w:val="18"/>
              </w:rPr>
              <w:t>Yes</w:t>
            </w:r>
          </w:p>
        </w:tc>
      </w:tr>
    </w:tbl>
    <w:p>
      <w:pPr>
        <w:spacing w:after="40"/>
      </w:pPr>
    </w:p>
    <w:p>
      <w:r>
        <w:br w:type="page"/>
      </w:r>
    </w:p>
    <w:p>
      <w:pPr>
        <w:pStyle w:val="Heading1"/>
      </w:pPr>
      <w:r>
        <w:t>Part 2 · For whoever deploys this</w:t>
      </w:r>
    </w:p>
    <w:p>
      <w:r>
        <w:rPr>
          <w:b w:val="0"/>
          <w:i w:val="0"/>
        </w:rPr>
        <w:t>Everything in this part is for you. The frontend team does not need it.</w:t>
      </w:r>
    </w:p>
    <w:p>
      <w:pPr>
        <w:pStyle w:val="Heading2"/>
      </w:pPr>
      <w:r>
        <w:t>2.1  What you need</w:t>
      </w:r>
    </w:p>
    <w:p>
      <w:pPr>
        <w:pStyle w:val="ListBullet"/>
      </w:pPr>
      <w:r>
        <w:rPr>
          <w:b/>
          <w:i w:val="0"/>
        </w:rPr>
        <w:t>Python 3.11 or newer.</w:t>
      </w:r>
      <w:r>
        <w:rPr>
          <w:b w:val="0"/>
          <w:i w:val="0"/>
        </w:rPr>
        <w:t xml:space="preserve"> The app is developed on 3.12–3.14.</w:t>
      </w:r>
    </w:p>
    <w:p>
      <w:pPr>
        <w:pStyle w:val="ListBullet"/>
      </w:pPr>
      <w:r>
        <w:rPr>
          <w:b/>
          <w:i w:val="0"/>
        </w:rPr>
        <w:t>About 2 GB of RAM.</w:t>
      </w:r>
      <w:r>
        <w:rPr>
          <w:b w:val="0"/>
          <w:i w:val="0"/>
        </w:rPr>
        <w:t xml:space="preserve"> The model file is 90–125 MB on disk and expands in memory when loaded.</w:t>
      </w:r>
    </w:p>
    <w:p>
      <w:pPr>
        <w:pStyle w:val="ListBullet"/>
      </w:pPr>
      <w:r>
        <w:rPr>
          <w:b/>
          <w:i w:val="0"/>
        </w:rPr>
        <w:t>Somewhere to put a 125 MB file</w:t>
      </w:r>
      <w:r>
        <w:rPr>
          <w:b w:val="0"/>
          <w:i w:val="0"/>
        </w:rPr>
        <w:t xml:space="preserve"> that is not git. Object storage, a mounted volume, or a release asset. See §4.</w:t>
      </w:r>
    </w:p>
    <w:p>
      <w:pPr>
        <w:pStyle w:val="ListBullet"/>
      </w:pPr>
      <w:r>
        <w:rPr>
          <w:b/>
          <w:i w:val="0"/>
        </w:rPr>
        <w:t>Outbound HTTPS</w:t>
      </w:r>
      <w:r>
        <w:rPr>
          <w:b w:val="0"/>
          <w:i w:val="0"/>
        </w:rPr>
        <w:t xml:space="preserve"> only if you use the MODEL_URL download route.</w:t>
      </w:r>
    </w:p>
    <w:p>
      <w:r>
        <w:rPr>
          <w:b w:val="0"/>
          <w:i w:val="0"/>
        </w:rPr>
        <w:t>No database. No message queue. No background workers. It is a single stateless process, so scaling is just running more copies behind a load balancer.</w:t>
      </w:r>
    </w:p>
    <w:p>
      <w:pPr>
        <w:pStyle w:val="Heading2"/>
      </w:pPr>
      <w:r>
        <w:t>2.2  Run it locally in four commands</w:t>
      </w:r>
    </w:p>
    <w:p>
      <w:pPr>
        <w:spacing w:before="120" w:after="0" w:line="240" w:lineRule="auto"/>
        <w:ind w:left="230"/>
        <w:shd w:val="clear" w:fill="F4F5F7"/>
      </w:pPr>
      <w:r>
        <w:rPr>
          <w:rFonts w:ascii="Consolas" w:hAnsi="Consolas"/>
          <w:sz w:val="17"/>
        </w:rPr>
        <w:t>git clone &lt;repo&gt; &amp;&amp; cd yield-prediction-and-agronomic-recomendation</w:t>
      </w:r>
    </w:p>
    <w:p>
      <w:pPr>
        <w:spacing w:before="0" w:after="0" w:line="240" w:lineRule="auto"/>
        <w:ind w:left="230"/>
        <w:shd w:val="clear" w:fill="F4F5F7"/>
      </w:pPr>
      <w:r>
        <w:rPr>
          <w:rFonts w:ascii="Consolas" w:hAnsi="Consolas"/>
          <w:sz w:val="17"/>
        </w:rPr>
        <w:t>python -m venv .venv &amp;&amp; source .venv/bin/activate</w:t>
      </w:r>
    </w:p>
    <w:p>
      <w:pPr>
        <w:spacing w:before="0" w:after="0" w:line="240" w:lineRule="auto"/>
        <w:ind w:left="230"/>
        <w:shd w:val="clear" w:fill="F4F5F7"/>
      </w:pPr>
      <w:r>
        <w:rPr>
          <w:rFonts w:ascii="Consolas" w:hAnsi="Consolas"/>
          <w:sz w:val="17"/>
        </w:rPr>
        <w:t>pip install -r requirements.txt</w:t>
      </w:r>
    </w:p>
    <w:p>
      <w:pPr>
        <w:spacing w:before="0" w:after="120" w:line="240" w:lineRule="auto"/>
        <w:ind w:left="230"/>
        <w:shd w:val="clear" w:fill="F4F5F7"/>
      </w:pPr>
      <w:r>
        <w:rPr>
          <w:rFonts w:ascii="Consolas" w:hAnsi="Consolas"/>
          <w:sz w:val="17"/>
        </w:rPr>
        <w:t>uvicorn api.main:app --reload</w:t>
      </w:r>
    </w:p>
    <w:p>
      <w:r>
        <w:rPr>
          <w:b w:val="0"/>
          <w:i w:val="0"/>
        </w:rPr>
        <w:t xml:space="preserve">Open </w:t>
      </w:r>
      <w:r>
        <w:rPr>
          <w:rFonts w:ascii="Consolas" w:hAnsi="Consolas"/>
          <w:b w:val="0"/>
          <w:i w:val="0"/>
          <w:sz w:val="19"/>
        </w:rPr>
        <w:t>http://127.0.0.1:8000/docs</w:t>
      </w:r>
      <w:r>
        <w:rPr>
          <w:b w:val="0"/>
          <w:i w:val="0"/>
        </w:rPr>
        <w:t xml:space="preserve"> — that is the interactive documentation, generated from the code. Every endpoint can be called from that page. Point the frontend team at it on day one.</w:t>
      </w:r>
    </w:p>
    <w:p>
      <w:r>
        <w:rPr>
          <w:b w:val="0"/>
          <w:i w:val="0"/>
        </w:rPr>
        <w:t xml:space="preserve">At this point </w:t>
      </w:r>
      <w:r>
        <w:rPr>
          <w:rFonts w:ascii="Consolas" w:hAnsi="Consolas"/>
          <w:b w:val="0"/>
          <w:i w:val="0"/>
          <w:sz w:val="19"/>
        </w:rPr>
        <w:t>/api/v1/recommend</w:t>
      </w:r>
      <w:r>
        <w:rPr>
          <w:b w:val="0"/>
          <w:i w:val="0"/>
        </w:rPr>
        <w:t xml:space="preserve"> already works fully. </w:t>
      </w:r>
      <w:r>
        <w:rPr>
          <w:rFonts w:ascii="Consolas" w:hAnsi="Consolas"/>
          <w:b w:val="0"/>
          <w:i w:val="0"/>
          <w:sz w:val="19"/>
        </w:rPr>
        <w:t>/api/v1/predict</w:t>
      </w:r>
      <w:r>
        <w:rPr>
          <w:b w:val="0"/>
          <w:i w:val="0"/>
        </w:rPr>
        <w:t xml:space="preserve"> will return 503 until you supply the model file. That is expected and correct.</w:t>
      </w:r>
    </w:p>
    <w:p>
      <w:pPr>
        <w:pStyle w:val="Heading2"/>
      </w:pPr>
      <w:r>
        <w:t>2.3  The two data artefacts</w:t>
      </w:r>
    </w:p>
    <w:p>
      <w:r>
        <w:rPr>
          <w:b w:val="0"/>
          <w:i w:val="0"/>
        </w:rPr>
        <w:t>Both are committed, so a fresh clone has them. You only rebuild them if the underlying feature files change.</w:t>
      </w:r>
    </w:p>
    <w:p>
      <w:pPr>
        <w:spacing w:before="120" w:after="0" w:line="240" w:lineRule="auto"/>
        <w:ind w:left="230"/>
        <w:shd w:val="clear" w:fill="F4F5F7"/>
      </w:pPr>
      <w:r>
        <w:rPr>
          <w:rFonts w:ascii="Consolas" w:hAnsi="Consolas"/>
          <w:sz w:val="17"/>
        </w:rPr>
        <w:t>python scripts/build_api_defaults.py     # -&gt; data/api/feature_defaults.json</w:t>
      </w:r>
    </w:p>
    <w:p>
      <w:pPr>
        <w:spacing w:before="0" w:after="120" w:line="240" w:lineRule="auto"/>
        <w:ind w:left="230"/>
        <w:shd w:val="clear" w:fill="F4F5F7"/>
      </w:pPr>
      <w:r>
        <w:rPr>
          <w:rFonts w:ascii="Consolas" w:hAnsi="Consolas"/>
          <w:sz w:val="17"/>
        </w:rPr>
        <w:t>python scripts/build_lever_curves.py     # -&gt; data/api/lever_curves.json   (~1 second)</w:t>
      </w:r>
    </w:p>
    <w:p>
      <w:r>
        <w:rPr>
          <w:b w:val="0"/>
          <w:i w:val="0"/>
        </w:rPr>
        <w:t>Both need only pandas and numpy — not the heavy model stack — so they can be rebuilt on a small machine.</w:t>
      </w:r>
    </w:p>
    <w:p>
      <w:pPr>
        <w:pStyle w:val="Heading2"/>
      </w:pPr>
      <w:r>
        <w:t>2.4  The model file — read this section carefully</w:t>
      </w:r>
    </w:p>
    <w:p>
      <w:pPr>
        <w:spacing w:before="160" w:after="160"/>
        <w:ind w:left="144"/>
        <w:shd w:val="clear" w:fill="FFF6E5"/>
      </w:pPr>
      <w:r>
        <w:rPr>
          <w:b/>
          <w:color w:val="A61B29"/>
        </w:rPr>
        <w:t xml:space="preserve">The single thing most likely to go wrong.  </w:t>
      </w:r>
      <w:r>
        <w:t>pipeline.joblib is 90–125 MB, above GitHub's 100 MB file limit, so .gitignore excludes it. A fresh clone does not have it, and /api/v1/predict will return 503 with a message telling you exactly this. That is by design, not a broken build.</w:t>
      </w:r>
    </w:p>
    <w:p>
      <w:r>
        <w:rPr>
          <w:b w:val="0"/>
          <w:i w:val="0"/>
        </w:rPr>
        <w:t>Three ways to supply it. Pick one.</w:t>
      </w:r>
    </w:p>
    <w:p>
      <w:pPr>
        <w:pStyle w:val="Heading3"/>
      </w:pPr>
      <w:r>
        <w:t>Option A — Bake it into the image (recommended for containers)</w:t>
      </w:r>
    </w:p>
    <w:p>
      <w:r>
        <w:rPr>
          <w:b w:val="0"/>
          <w:i w:val="0"/>
        </w:rPr>
        <w:t xml:space="preserve">Copy the file into the image at build time and point </w:t>
      </w:r>
      <w:r>
        <w:rPr>
          <w:rFonts w:ascii="Consolas" w:hAnsi="Consolas"/>
          <w:b w:val="0"/>
          <w:i w:val="0"/>
          <w:sz w:val="19"/>
        </w:rPr>
        <w:t>MODEL_DIR</w:t>
      </w:r>
      <w:r>
        <w:rPr>
          <w:b w:val="0"/>
          <w:i w:val="0"/>
        </w:rPr>
        <w:t xml:space="preserve"> at it. Startup is then instant and there is no runtime network dependency.</w:t>
      </w:r>
    </w:p>
    <w:p>
      <w:pPr>
        <w:spacing w:before="120" w:after="0" w:line="240" w:lineRule="auto"/>
        <w:ind w:left="230"/>
        <w:shd w:val="clear" w:fill="F4F5F7"/>
      </w:pPr>
      <w:r>
        <w:rPr>
          <w:rFonts w:ascii="Consolas" w:hAnsi="Consolas"/>
          <w:sz w:val="17"/>
        </w:rPr>
        <w:t># Dockerfile sketch</w:t>
      </w:r>
    </w:p>
    <w:p>
      <w:pPr>
        <w:spacing w:before="0" w:after="0" w:line="240" w:lineRule="auto"/>
        <w:ind w:left="230"/>
        <w:shd w:val="clear" w:fill="F4F5F7"/>
      </w:pPr>
      <w:r>
        <w:rPr>
          <w:rFonts w:ascii="Consolas" w:hAnsi="Consolas"/>
          <w:sz w:val="17"/>
        </w:rPr>
        <w:t>COPY pipeline.joblib /srv/model/pipeline.joblib</w:t>
      </w:r>
    </w:p>
    <w:p>
      <w:pPr>
        <w:spacing w:before="0" w:after="0" w:line="240" w:lineRule="auto"/>
        <w:ind w:left="230"/>
        <w:shd w:val="clear" w:fill="F4F5F7"/>
      </w:pPr>
      <w:r>
        <w:rPr>
          <w:rFonts w:ascii="Consolas" w:hAnsi="Consolas"/>
          <w:sz w:val="17"/>
        </w:rPr>
        <w:t>COPY data/models/district_v2/metadata.json /srv/model/metadata.json</w:t>
      </w:r>
    </w:p>
    <w:p>
      <w:pPr>
        <w:spacing w:before="0" w:after="0" w:line="240" w:lineRule="auto"/>
        <w:ind w:left="230"/>
        <w:shd w:val="clear" w:fill="F4F5F7"/>
      </w:pPr>
      <w:r>
        <w:rPr>
          <w:rFonts w:ascii="Consolas" w:hAnsi="Consolas"/>
          <w:sz w:val="17"/>
        </w:rPr>
        <w:t>ENV MODEL_DIR=/srv/model</w:t>
      </w:r>
    </w:p>
    <w:p>
      <w:pPr>
        <w:spacing w:before="0" w:after="120" w:line="240" w:lineRule="auto"/>
        <w:ind w:left="230"/>
        <w:shd w:val="clear" w:fill="F4F5F7"/>
      </w:pPr>
      <w:r>
        <w:rPr>
          <w:rFonts w:ascii="Consolas" w:hAnsi="Consolas"/>
          <w:sz w:val="17"/>
        </w:rPr>
        <w:t>ENV MODEL_EAGER_LOAD=true</w:t>
      </w:r>
    </w:p>
    <w:p>
      <w:pPr>
        <w:pStyle w:val="Heading3"/>
      </w:pPr>
      <w:r>
        <w:t>Option B — Download on first use</w:t>
      </w:r>
    </w:p>
    <w:p>
      <w:r>
        <w:rPr>
          <w:b w:val="0"/>
          <w:i w:val="0"/>
        </w:rPr>
        <w:t xml:space="preserve">Set </w:t>
      </w:r>
      <w:r>
        <w:rPr>
          <w:rFonts w:ascii="Consolas" w:hAnsi="Consolas"/>
          <w:b w:val="0"/>
          <w:i w:val="0"/>
          <w:sz w:val="19"/>
        </w:rPr>
        <w:t>MODEL_URL</w:t>
      </w:r>
      <w:r>
        <w:rPr>
          <w:b w:val="0"/>
          <w:i w:val="0"/>
        </w:rPr>
        <w:t xml:space="preserve"> to a URL serving the file. On the first prediction the service downloads it into </w:t>
      </w:r>
      <w:r>
        <w:rPr>
          <w:rFonts w:ascii="Consolas" w:hAnsi="Consolas"/>
          <w:b w:val="0"/>
          <w:i w:val="0"/>
          <w:sz w:val="19"/>
        </w:rPr>
        <w:t>MODEL_DIR</w:t>
      </w:r>
      <w:r>
        <w:rPr>
          <w:b w:val="0"/>
          <w:i w:val="0"/>
        </w:rPr>
        <w:t xml:space="preserve"> and caches it there. Accepts a bare </w:t>
      </w:r>
      <w:r>
        <w:rPr>
          <w:rFonts w:ascii="Consolas" w:hAnsi="Consolas"/>
          <w:b w:val="0"/>
          <w:i w:val="0"/>
          <w:sz w:val="19"/>
        </w:rPr>
        <w:t>pipeline.joblib</w:t>
      </w:r>
      <w:r>
        <w:rPr>
          <w:b w:val="0"/>
          <w:i w:val="0"/>
        </w:rPr>
        <w:t xml:space="preserve">, a </w:t>
      </w:r>
      <w:r>
        <w:rPr>
          <w:rFonts w:ascii="Consolas" w:hAnsi="Consolas"/>
          <w:b w:val="0"/>
          <w:i w:val="0"/>
          <w:sz w:val="19"/>
        </w:rPr>
        <w:t>.zip</w:t>
      </w:r>
      <w:r>
        <w:rPr>
          <w:b w:val="0"/>
          <w:i w:val="0"/>
        </w:rPr>
        <w:t xml:space="preserve">, or a </w:t>
      </w:r>
      <w:r>
        <w:rPr>
          <w:rFonts w:ascii="Consolas" w:hAnsi="Consolas"/>
          <w:b w:val="0"/>
          <w:i w:val="0"/>
          <w:sz w:val="19"/>
        </w:rPr>
        <w:t>.tar.gz</w:t>
      </w:r>
      <w:r>
        <w:rPr>
          <w:b w:val="0"/>
          <w:i w:val="0"/>
        </w:rPr>
        <w:t>.</w:t>
      </w:r>
    </w:p>
    <w:p>
      <w:pPr>
        <w:spacing w:before="120" w:after="0" w:line="240" w:lineRule="auto"/>
        <w:ind w:left="230"/>
        <w:shd w:val="clear" w:fill="F4F5F7"/>
      </w:pPr>
      <w:r>
        <w:rPr>
          <w:rFonts w:ascii="Consolas" w:hAnsi="Consolas"/>
          <w:sz w:val="17"/>
        </w:rPr>
        <w:t>MODEL_URL=https://storage.example.com/models/district_v2.tar.gz</w:t>
      </w:r>
    </w:p>
    <w:p>
      <w:pPr>
        <w:spacing w:before="0" w:after="120" w:line="240" w:lineRule="auto"/>
        <w:ind w:left="230"/>
        <w:shd w:val="clear" w:fill="F4F5F7"/>
      </w:pPr>
      <w:r>
        <w:rPr>
          <w:rFonts w:ascii="Consolas" w:hAnsi="Consolas"/>
          <w:sz w:val="17"/>
        </w:rPr>
        <w:t>MODEL_DIR=/var/cache/maize-model</w:t>
      </w:r>
    </w:p>
    <w:p>
      <w:pPr>
        <w:spacing w:before="160" w:after="160"/>
        <w:ind w:left="144"/>
        <w:shd w:val="clear" w:fill="FFF6E5"/>
      </w:pPr>
      <w:r>
        <w:rPr>
          <w:b/>
          <w:color w:val="A61B29"/>
        </w:rPr>
        <w:t xml:space="preserve">Watch the first request.  </w:t>
      </w:r>
      <w:r>
        <w:t>With this option the very first /predict call pays the download plus load time. On a platform with a request timeout that call can fail. Set MODEL_EAGER_LOAD=true so the download happens during startup instead, and use /ready (not /health) to gate traffic until it finishes.</w:t>
      </w:r>
    </w:p>
    <w:p>
      <w:pPr>
        <w:pStyle w:val="Heading3"/>
      </w:pPr>
      <w:r>
        <w:t>Option C — Mount a volume</w:t>
      </w:r>
    </w:p>
    <w:p>
      <w:r>
        <w:rPr>
          <w:b w:val="0"/>
          <w:i w:val="0"/>
        </w:rPr>
        <w:t xml:space="preserve">Put the file on a persistent disk or network mount and point </w:t>
      </w:r>
      <w:r>
        <w:rPr>
          <w:rFonts w:ascii="Consolas" w:hAnsi="Consolas"/>
          <w:b w:val="0"/>
          <w:i w:val="0"/>
          <w:sz w:val="19"/>
        </w:rPr>
        <w:t>MODEL_DIR</w:t>
      </w:r>
      <w:r>
        <w:rPr>
          <w:b w:val="0"/>
          <w:i w:val="0"/>
        </w:rPr>
        <w:t xml:space="preserve"> at the directory. Simplest for VM deployments.</w:t>
      </w:r>
    </w:p>
    <w:p>
      <w:pPr>
        <w:pStyle w:val="Heading3"/>
      </w:pPr>
      <w:r>
        <w:t>Rebuilding it from scratch</w:t>
      </w:r>
    </w:p>
    <w:p>
      <w:r>
        <w:rPr>
          <w:b w:val="0"/>
          <w:i w:val="0"/>
        </w:rPr>
        <w:t>If you have the feature files, the model is reproducible in about four minutes:</w:t>
      </w:r>
    </w:p>
    <w:p>
      <w:pPr>
        <w:spacing w:before="120" w:after="120" w:line="240" w:lineRule="auto"/>
        <w:ind w:left="230"/>
        <w:shd w:val="clear" w:fill="F4F5F7"/>
      </w:pPr>
      <w:r>
        <w:rPr>
          <w:rFonts w:ascii="Consolas" w:hAnsi="Consolas"/>
          <w:sz w:val="17"/>
        </w:rPr>
        <w:t>python scripts/train_district_model.py --out data/models/district_v2</w:t>
      </w:r>
    </w:p>
    <w:p>
      <w:r>
        <w:rPr>
          <w:b w:val="0"/>
          <w:i w:val="0"/>
        </w:rPr>
        <w:t xml:space="preserve">This needs the full model stack — scikit-learn, LightGBM, XGBoost and torch — which </w:t>
      </w:r>
      <w:r>
        <w:rPr>
          <w:rFonts w:ascii="Consolas" w:hAnsi="Consolas"/>
          <w:b w:val="0"/>
          <w:i w:val="0"/>
          <w:sz w:val="19"/>
        </w:rPr>
        <w:t>requirements.txt</w:t>
      </w:r>
      <w:r>
        <w:rPr>
          <w:b w:val="0"/>
          <w:i w:val="0"/>
        </w:rPr>
        <w:t xml:space="preserve"> already installs.</w:t>
      </w:r>
    </w:p>
    <w:p>
      <w:pPr>
        <w:pStyle w:val="Heading2"/>
      </w:pPr>
      <w:r>
        <w:t>2.5  Environment variables</w:t>
      </w:r>
    </w:p>
    <w:p>
      <w:r>
        <w:rPr>
          <w:b w:val="0"/>
          <w:i w:val="0"/>
        </w:rPr>
        <w:t>Every one has a working default. Set only what you need to change.</w:t>
      </w:r>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fill="1F4E79"/>
          </w:tcPr>
          <w:p>
            <w:r/>
            <w:r>
              <w:rPr>
                <w:b/>
                <w:color w:val="FFFFFF"/>
                <w:sz w:val="18"/>
              </w:rPr>
              <w:t>Variable</w:t>
            </w:r>
          </w:p>
        </w:tc>
        <w:tc>
          <w:tcPr>
            <w:tcW w:type="dxa" w:w="2160"/>
            <w:shd w:val="clear" w:fill="1F4E79"/>
          </w:tcPr>
          <w:p>
            <w:r/>
            <w:r>
              <w:rPr>
                <w:b/>
                <w:color w:val="FFFFFF"/>
                <w:sz w:val="18"/>
              </w:rPr>
              <w:t>Default</w:t>
            </w:r>
          </w:p>
        </w:tc>
        <w:tc>
          <w:tcPr>
            <w:tcW w:type="dxa" w:w="5184"/>
            <w:shd w:val="clear" w:fill="1F4E79"/>
          </w:tcPr>
          <w:p>
            <w:r/>
            <w:r>
              <w:rPr>
                <w:b/>
                <w:color w:val="FFFFFF"/>
                <w:sz w:val="18"/>
              </w:rPr>
              <w:t>What it does</w:t>
            </w:r>
          </w:p>
        </w:tc>
      </w:tr>
      <w:tr>
        <w:tc>
          <w:tcPr>
            <w:tcW w:type="dxa" w:w="2664"/>
          </w:tcPr>
          <w:p>
            <w:pPr>
              <w:spacing w:after="40"/>
            </w:pPr>
            <w:r/>
            <w:r>
              <w:rPr>
                <w:rFonts w:ascii="Consolas" w:hAnsi="Consolas"/>
                <w:sz w:val="17"/>
              </w:rPr>
              <w:t>MODEL_DIR</w:t>
            </w:r>
          </w:p>
        </w:tc>
        <w:tc>
          <w:tcPr>
            <w:tcW w:type="dxa" w:w="2160"/>
          </w:tcPr>
          <w:p>
            <w:pPr>
              <w:spacing w:after="40"/>
            </w:pPr>
            <w:r/>
            <w:r>
              <w:rPr>
                <w:rFonts w:ascii="Consolas" w:hAnsi="Consolas"/>
                <w:sz w:val="17"/>
              </w:rPr>
              <w:t>data/models/district_v2</w:t>
            </w:r>
          </w:p>
        </w:tc>
        <w:tc>
          <w:tcPr>
            <w:tcW w:type="dxa" w:w="5184"/>
          </w:tcPr>
          <w:p>
            <w:pPr>
              <w:spacing w:after="40"/>
            </w:pPr>
            <w:r/>
            <w:r>
              <w:rPr>
                <w:sz w:val="18"/>
              </w:rPr>
              <w:t>Directory holding pipeline.joblib and metadata.json.</w:t>
            </w:r>
          </w:p>
        </w:tc>
      </w:tr>
      <w:tr>
        <w:tc>
          <w:tcPr>
            <w:tcW w:type="dxa" w:w="2664"/>
            <w:shd w:val="clear" w:fill="F4F6F9"/>
          </w:tcPr>
          <w:p>
            <w:pPr>
              <w:spacing w:after="40"/>
            </w:pPr>
            <w:r/>
            <w:r>
              <w:rPr>
                <w:rFonts w:ascii="Consolas" w:hAnsi="Consolas"/>
                <w:sz w:val="17"/>
              </w:rPr>
              <w:t>MODEL_URL</w:t>
            </w:r>
          </w:p>
        </w:tc>
        <w:tc>
          <w:tcPr>
            <w:tcW w:type="dxa" w:w="2160"/>
            <w:shd w:val="clear" w:fill="F4F6F9"/>
          </w:tcPr>
          <w:p>
            <w:pPr>
              <w:spacing w:after="40"/>
            </w:pPr>
            <w:r/>
            <w:r>
              <w:rPr>
                <w:sz w:val="18"/>
              </w:rPr>
              <w:t>unset</w:t>
            </w:r>
          </w:p>
        </w:tc>
        <w:tc>
          <w:tcPr>
            <w:tcW w:type="dxa" w:w="5184"/>
            <w:shd w:val="clear" w:fill="F4F6F9"/>
          </w:tcPr>
          <w:p>
            <w:pPr>
              <w:spacing w:after="40"/>
            </w:pPr>
            <w:r/>
            <w:r>
              <w:rPr>
                <w:sz w:val="18"/>
              </w:rPr>
              <w:t>Archive to download the model from on first use.</w:t>
            </w:r>
          </w:p>
        </w:tc>
      </w:tr>
      <w:tr>
        <w:tc>
          <w:tcPr>
            <w:tcW w:type="dxa" w:w="2664"/>
          </w:tcPr>
          <w:p>
            <w:pPr>
              <w:spacing w:after="40"/>
            </w:pPr>
            <w:r/>
            <w:r>
              <w:rPr>
                <w:rFonts w:ascii="Consolas" w:hAnsi="Consolas"/>
                <w:sz w:val="17"/>
              </w:rPr>
              <w:t>MODEL_VERSION</w:t>
            </w:r>
          </w:p>
        </w:tc>
        <w:tc>
          <w:tcPr>
            <w:tcW w:type="dxa" w:w="2160"/>
          </w:tcPr>
          <w:p>
            <w:pPr>
              <w:spacing w:after="40"/>
            </w:pPr>
            <w:r/>
            <w:r>
              <w:rPr>
                <w:sz w:val="18"/>
              </w:rPr>
              <w:t>the MODEL_DIR name</w:t>
            </w:r>
          </w:p>
        </w:tc>
        <w:tc>
          <w:tcPr>
            <w:tcW w:type="dxa" w:w="5184"/>
          </w:tcPr>
          <w:p>
            <w:pPr>
              <w:spacing w:after="40"/>
            </w:pPr>
            <w:r/>
            <w:r>
              <w:rPr>
                <w:sz w:val="18"/>
              </w:rPr>
              <w:t>Reported in every prediction response. Set it to something meaningful.</w:t>
            </w:r>
          </w:p>
        </w:tc>
      </w:tr>
      <w:tr>
        <w:tc>
          <w:tcPr>
            <w:tcW w:type="dxa" w:w="2664"/>
            <w:shd w:val="clear" w:fill="F4F6F9"/>
          </w:tcPr>
          <w:p>
            <w:pPr>
              <w:spacing w:after="40"/>
            </w:pPr>
            <w:r/>
            <w:r>
              <w:rPr>
                <w:rFonts w:ascii="Consolas" w:hAnsi="Consolas"/>
                <w:sz w:val="17"/>
              </w:rPr>
              <w:t>MODEL_EAGER_LOAD</w:t>
            </w:r>
          </w:p>
        </w:tc>
        <w:tc>
          <w:tcPr>
            <w:tcW w:type="dxa" w:w="2160"/>
            <w:shd w:val="clear" w:fill="F4F6F9"/>
          </w:tcPr>
          <w:p>
            <w:pPr>
              <w:spacing w:after="40"/>
            </w:pPr>
            <w:r/>
            <w:r>
              <w:rPr>
                <w:rFonts w:ascii="Consolas" w:hAnsi="Consolas"/>
                <w:sz w:val="17"/>
              </w:rPr>
              <w:t>false</w:t>
            </w:r>
          </w:p>
        </w:tc>
        <w:tc>
          <w:tcPr>
            <w:tcW w:type="dxa" w:w="5184"/>
            <w:shd w:val="clear" w:fill="F4F6F9"/>
          </w:tcPr>
          <w:p>
            <w:pPr>
              <w:spacing w:after="40"/>
            </w:pPr>
            <w:r/>
            <w:r>
              <w:rPr>
                <w:sz w:val="18"/>
              </w:rPr>
              <w:t>Load the model during startup rather than on the first request. Set true in production.</w:t>
            </w:r>
          </w:p>
        </w:tc>
      </w:tr>
      <w:tr>
        <w:tc>
          <w:tcPr>
            <w:tcW w:type="dxa" w:w="2664"/>
          </w:tcPr>
          <w:p>
            <w:pPr>
              <w:spacing w:after="40"/>
            </w:pPr>
            <w:r/>
            <w:r>
              <w:rPr>
                <w:rFonts w:ascii="Consolas" w:hAnsi="Consolas"/>
                <w:sz w:val="17"/>
              </w:rPr>
              <w:t>FEATURE_DEFAULTS_PATH</w:t>
            </w:r>
          </w:p>
        </w:tc>
        <w:tc>
          <w:tcPr>
            <w:tcW w:type="dxa" w:w="2160"/>
          </w:tcPr>
          <w:p>
            <w:pPr>
              <w:spacing w:after="40"/>
            </w:pPr>
            <w:r/>
            <w:r>
              <w:rPr>
                <w:rFonts w:ascii="Consolas" w:hAnsi="Consolas"/>
                <w:sz w:val="17"/>
              </w:rPr>
              <w:t>data/api/feature_defaults.json</w:t>
            </w:r>
          </w:p>
        </w:tc>
        <w:tc>
          <w:tcPr>
            <w:tcW w:type="dxa" w:w="5184"/>
          </w:tcPr>
          <w:p>
            <w:pPr>
              <w:spacing w:after="40"/>
            </w:pPr>
            <w:r/>
            <w:r>
              <w:rPr>
                <w:sz w:val="18"/>
              </w:rPr>
              <w:t>Where the fill values live.</w:t>
            </w:r>
          </w:p>
        </w:tc>
      </w:tr>
      <w:tr>
        <w:tc>
          <w:tcPr>
            <w:tcW w:type="dxa" w:w="2664"/>
            <w:shd w:val="clear" w:fill="F4F6F9"/>
          </w:tcPr>
          <w:p>
            <w:pPr>
              <w:spacing w:after="40"/>
            </w:pPr>
            <w:r/>
            <w:r>
              <w:rPr>
                <w:rFonts w:ascii="Consolas" w:hAnsi="Consolas"/>
                <w:sz w:val="17"/>
              </w:rPr>
              <w:t>LEVER_CURVES_PATH</w:t>
            </w:r>
          </w:p>
        </w:tc>
        <w:tc>
          <w:tcPr>
            <w:tcW w:type="dxa" w:w="2160"/>
            <w:shd w:val="clear" w:fill="F4F6F9"/>
          </w:tcPr>
          <w:p>
            <w:pPr>
              <w:spacing w:after="40"/>
            </w:pPr>
            <w:r/>
            <w:r>
              <w:rPr>
                <w:rFonts w:ascii="Consolas" w:hAnsi="Consolas"/>
                <w:sz w:val="17"/>
              </w:rPr>
              <w:t>data/api/lever_curves.json</w:t>
            </w:r>
          </w:p>
        </w:tc>
        <w:tc>
          <w:tcPr>
            <w:tcW w:type="dxa" w:w="5184"/>
            <w:shd w:val="clear" w:fill="F4F6F9"/>
          </w:tcPr>
          <w:p>
            <w:pPr>
              <w:spacing w:after="40"/>
            </w:pPr>
            <w:r/>
            <w:r>
              <w:rPr>
                <w:sz w:val="18"/>
              </w:rPr>
              <w:t>Where the recommendation curves live.</w:t>
            </w:r>
          </w:p>
        </w:tc>
      </w:tr>
      <w:tr>
        <w:tc>
          <w:tcPr>
            <w:tcW w:type="dxa" w:w="2664"/>
          </w:tcPr>
          <w:p>
            <w:pPr>
              <w:spacing w:after="40"/>
            </w:pPr>
            <w:r/>
            <w:r>
              <w:rPr>
                <w:rFonts w:ascii="Consolas" w:hAnsi="Consolas"/>
                <w:sz w:val="17"/>
              </w:rPr>
              <w:t>MAX_PLOTS_PER_REQUEST</w:t>
            </w:r>
          </w:p>
        </w:tc>
        <w:tc>
          <w:tcPr>
            <w:tcW w:type="dxa" w:w="2160"/>
          </w:tcPr>
          <w:p>
            <w:pPr>
              <w:spacing w:after="40"/>
            </w:pPr>
            <w:r/>
            <w:r>
              <w:rPr>
                <w:rFonts w:ascii="Consolas" w:hAnsi="Consolas"/>
                <w:sz w:val="17"/>
              </w:rPr>
              <w:t>500</w:t>
            </w:r>
          </w:p>
        </w:tc>
        <w:tc>
          <w:tcPr>
            <w:tcW w:type="dxa" w:w="5184"/>
          </w:tcPr>
          <w:p>
            <w:pPr>
              <w:spacing w:after="40"/>
            </w:pPr>
            <w:r/>
            <w:r>
              <w:rPr>
                <w:sz w:val="18"/>
              </w:rPr>
              <w:t>Rejects larger batches with a 422 rather than timing out.</w:t>
            </w:r>
          </w:p>
        </w:tc>
      </w:tr>
      <w:tr>
        <w:tc>
          <w:tcPr>
            <w:tcW w:type="dxa" w:w="2664"/>
            <w:shd w:val="clear" w:fill="F4F6F9"/>
          </w:tcPr>
          <w:p>
            <w:pPr>
              <w:spacing w:after="40"/>
            </w:pPr>
            <w:r/>
            <w:r>
              <w:rPr>
                <w:rFonts w:ascii="Consolas" w:hAnsi="Consolas"/>
                <w:sz w:val="17"/>
              </w:rPr>
              <w:t>MIN_LIFT_KG_PH</w:t>
            </w:r>
          </w:p>
        </w:tc>
        <w:tc>
          <w:tcPr>
            <w:tcW w:type="dxa" w:w="2160"/>
            <w:shd w:val="clear" w:fill="F4F6F9"/>
          </w:tcPr>
          <w:p>
            <w:pPr>
              <w:spacing w:after="40"/>
            </w:pPr>
            <w:r/>
            <w:r>
              <w:rPr>
                <w:rFonts w:ascii="Consolas" w:hAnsi="Consolas"/>
                <w:sz w:val="17"/>
              </w:rPr>
              <w:t>25</w:t>
            </w:r>
          </w:p>
        </w:tc>
        <w:tc>
          <w:tcPr>
            <w:tcW w:type="dxa" w:w="5184"/>
            <w:shd w:val="clear" w:fill="F4F6F9"/>
          </w:tcPr>
          <w:p>
            <w:pPr>
              <w:spacing w:after="40"/>
            </w:pPr>
            <w:r/>
            <w:r>
              <w:rPr>
                <w:sz w:val="18"/>
              </w:rPr>
              <w:t>Floor on how small a yield gain may be and still be recommended.</w:t>
            </w:r>
          </w:p>
        </w:tc>
      </w:tr>
      <w:tr>
        <w:tc>
          <w:tcPr>
            <w:tcW w:type="dxa" w:w="2664"/>
          </w:tcPr>
          <w:p>
            <w:pPr>
              <w:spacing w:after="40"/>
            </w:pPr>
            <w:r/>
            <w:r>
              <w:rPr>
                <w:rFonts w:ascii="Consolas" w:hAnsi="Consolas"/>
                <w:sz w:val="17"/>
              </w:rPr>
              <w:t>MIN_LIFT_Z</w:t>
            </w:r>
          </w:p>
        </w:tc>
        <w:tc>
          <w:tcPr>
            <w:tcW w:type="dxa" w:w="2160"/>
          </w:tcPr>
          <w:p>
            <w:pPr>
              <w:spacing w:after="40"/>
            </w:pPr>
            <w:r/>
            <w:r>
              <w:rPr>
                <w:rFonts w:ascii="Consolas" w:hAnsi="Consolas"/>
                <w:sz w:val="17"/>
              </w:rPr>
              <w:t>1.645</w:t>
            </w:r>
          </w:p>
        </w:tc>
        <w:tc>
          <w:tcPr>
            <w:tcW w:type="dxa" w:w="5184"/>
          </w:tcPr>
          <w:p>
            <w:pPr>
              <w:spacing w:after="40"/>
            </w:pPr>
            <w:r/>
            <w:r>
              <w:rPr>
                <w:sz w:val="18"/>
              </w:rPr>
              <w:t>Statistical threshold a recommendation must clear. 1.645 is one-sided 95%. Raising it makes advice more cautious.</w:t>
            </w:r>
          </w:p>
        </w:tc>
      </w:tr>
      <w:tr>
        <w:tc>
          <w:tcPr>
            <w:tcW w:type="dxa" w:w="2664"/>
            <w:shd w:val="clear" w:fill="F4F6F9"/>
          </w:tcPr>
          <w:p>
            <w:pPr>
              <w:spacing w:after="40"/>
            </w:pPr>
            <w:r/>
            <w:r>
              <w:rPr>
                <w:rFonts w:ascii="Consolas" w:hAnsi="Consolas"/>
                <w:sz w:val="17"/>
              </w:rPr>
              <w:t>PORT</w:t>
            </w:r>
          </w:p>
        </w:tc>
        <w:tc>
          <w:tcPr>
            <w:tcW w:type="dxa" w:w="2160"/>
            <w:shd w:val="clear" w:fill="F4F6F9"/>
          </w:tcPr>
          <w:p>
            <w:pPr>
              <w:spacing w:after="40"/>
            </w:pPr>
            <w:r/>
            <w:r>
              <w:rPr>
                <w:rFonts w:ascii="Consolas" w:hAnsi="Consolas"/>
                <w:sz w:val="17"/>
              </w:rPr>
              <w:t>8000</w:t>
            </w:r>
          </w:p>
        </w:tc>
        <w:tc>
          <w:tcPr>
            <w:tcW w:type="dxa" w:w="5184"/>
            <w:shd w:val="clear" w:fill="F4F6F9"/>
          </w:tcPr>
          <w:p>
            <w:pPr>
              <w:spacing w:after="40"/>
            </w:pPr>
            <w:r/>
            <w:r>
              <w:rPr>
                <w:sz w:val="18"/>
              </w:rPr>
              <w:t>Port to bind.</w:t>
            </w:r>
          </w:p>
        </w:tc>
      </w:tr>
      <w:tr>
        <w:tc>
          <w:tcPr>
            <w:tcW w:type="dxa" w:w="2664"/>
          </w:tcPr>
          <w:p>
            <w:pPr>
              <w:spacing w:after="40"/>
            </w:pPr>
            <w:r/>
            <w:r>
              <w:rPr>
                <w:rFonts w:ascii="Consolas" w:hAnsi="Consolas"/>
                <w:sz w:val="17"/>
              </w:rPr>
              <w:t>CORS_ORIGINS</w:t>
            </w:r>
          </w:p>
        </w:tc>
        <w:tc>
          <w:tcPr>
            <w:tcW w:type="dxa" w:w="2160"/>
          </w:tcPr>
          <w:p>
            <w:pPr>
              <w:spacing w:after="40"/>
            </w:pPr>
            <w:r/>
            <w:r>
              <w:rPr>
                <w:rFonts w:ascii="Consolas" w:hAnsi="Consolas"/>
                <w:sz w:val="17"/>
              </w:rPr>
              <w:t>*</w:t>
            </w:r>
          </w:p>
        </w:tc>
        <w:tc>
          <w:tcPr>
            <w:tcW w:type="dxa" w:w="5184"/>
          </w:tcPr>
          <w:p>
            <w:pPr>
              <w:spacing w:after="40"/>
            </w:pPr>
            <w:r/>
            <w:r>
              <w:rPr>
                <w:sz w:val="18"/>
              </w:rPr>
              <w:t>Comma-separated list of allowed browser origins. TIGHTEN THIS IN PRODUCTION.</w:t>
            </w:r>
          </w:p>
        </w:tc>
      </w:tr>
      <w:tr>
        <w:tc>
          <w:tcPr>
            <w:tcW w:type="dxa" w:w="2664"/>
            <w:shd w:val="clear" w:fill="F4F6F9"/>
          </w:tcPr>
          <w:p>
            <w:pPr>
              <w:spacing w:after="40"/>
            </w:pPr>
            <w:r/>
            <w:r>
              <w:rPr>
                <w:rFonts w:ascii="Consolas" w:hAnsi="Consolas"/>
                <w:sz w:val="17"/>
              </w:rPr>
              <w:t>ROOT_PATH</w:t>
            </w:r>
          </w:p>
        </w:tc>
        <w:tc>
          <w:tcPr>
            <w:tcW w:type="dxa" w:w="2160"/>
            <w:shd w:val="clear" w:fill="F4F6F9"/>
          </w:tcPr>
          <w:p>
            <w:pPr>
              <w:spacing w:after="40"/>
            </w:pPr>
            <w:r/>
            <w:r>
              <w:rPr>
                <w:sz w:val="18"/>
              </w:rPr>
              <w:t>empty</w:t>
            </w:r>
          </w:p>
        </w:tc>
        <w:tc>
          <w:tcPr>
            <w:tcW w:type="dxa" w:w="5184"/>
            <w:shd w:val="clear" w:fill="F4F6F9"/>
          </w:tcPr>
          <w:p>
            <w:pPr>
              <w:spacing w:after="40"/>
            </w:pPr>
            <w:r/>
            <w:r>
              <w:rPr>
                <w:sz w:val="18"/>
              </w:rPr>
              <w:t>Set when served under a path prefix behind a proxy, e.g. /api.</w:t>
            </w:r>
          </w:p>
        </w:tc>
      </w:tr>
      <w:tr>
        <w:tc>
          <w:tcPr>
            <w:tcW w:type="dxa" w:w="2664"/>
          </w:tcPr>
          <w:p>
            <w:pPr>
              <w:spacing w:after="40"/>
            </w:pPr>
            <w:r/>
            <w:r>
              <w:rPr>
                <w:rFonts w:ascii="Consolas" w:hAnsi="Consolas"/>
                <w:sz w:val="17"/>
              </w:rPr>
              <w:t>ENVIRONMENT</w:t>
            </w:r>
          </w:p>
        </w:tc>
        <w:tc>
          <w:tcPr>
            <w:tcW w:type="dxa" w:w="2160"/>
          </w:tcPr>
          <w:p>
            <w:pPr>
              <w:spacing w:after="40"/>
            </w:pPr>
            <w:r/>
            <w:r>
              <w:rPr>
                <w:rFonts w:ascii="Consolas" w:hAnsi="Consolas"/>
                <w:sz w:val="17"/>
              </w:rPr>
              <w:t>development</w:t>
            </w:r>
          </w:p>
        </w:tc>
        <w:tc>
          <w:tcPr>
            <w:tcW w:type="dxa" w:w="5184"/>
          </w:tcPr>
          <w:p>
            <w:pPr>
              <w:spacing w:after="40"/>
            </w:pPr>
            <w:r/>
            <w:r>
              <w:rPr>
                <w:sz w:val="18"/>
              </w:rPr>
              <w:t>Label only, echoed by /health.</w:t>
            </w:r>
          </w:p>
        </w:tc>
      </w:tr>
      <w:tr>
        <w:tc>
          <w:tcPr>
            <w:tcW w:type="dxa" w:w="2664"/>
            <w:shd w:val="clear" w:fill="F4F6F9"/>
          </w:tcPr>
          <w:p>
            <w:pPr>
              <w:spacing w:after="40"/>
            </w:pPr>
            <w:r/>
            <w:r>
              <w:rPr>
                <w:rFonts w:ascii="Consolas" w:hAnsi="Consolas"/>
                <w:sz w:val="17"/>
              </w:rPr>
              <w:t>PROJECT_ROOT</w:t>
            </w:r>
          </w:p>
        </w:tc>
        <w:tc>
          <w:tcPr>
            <w:tcW w:type="dxa" w:w="2160"/>
            <w:shd w:val="clear" w:fill="F4F6F9"/>
          </w:tcPr>
          <w:p>
            <w:pPr>
              <w:spacing w:after="40"/>
            </w:pPr>
            <w:r/>
            <w:r>
              <w:rPr>
                <w:sz w:val="18"/>
              </w:rPr>
              <w:t>auto-detected</w:t>
            </w:r>
          </w:p>
        </w:tc>
        <w:tc>
          <w:tcPr>
            <w:tcW w:type="dxa" w:w="5184"/>
            <w:shd w:val="clear" w:fill="F4F6F9"/>
          </w:tcPr>
          <w:p>
            <w:pPr>
              <w:spacing w:after="40"/>
            </w:pPr>
            <w:r/>
            <w:r>
              <w:rPr>
                <w:sz w:val="18"/>
              </w:rPr>
              <w:t>Rarely needed. Overrides where the app looks for data/.</w:t>
            </w:r>
          </w:p>
        </w:tc>
      </w:tr>
      <w:tr>
        <w:tc>
          <w:tcPr>
            <w:tcW w:type="dxa" w:w="2664"/>
          </w:tcPr>
          <w:p>
            <w:pPr>
              <w:spacing w:after="40"/>
            </w:pPr>
            <w:r/>
            <w:r>
              <w:rPr>
                <w:rFonts w:ascii="Consolas" w:hAnsi="Consolas"/>
                <w:sz w:val="17"/>
              </w:rPr>
              <w:t>LOG_LEVEL</w:t>
            </w:r>
          </w:p>
        </w:tc>
        <w:tc>
          <w:tcPr>
            <w:tcW w:type="dxa" w:w="2160"/>
          </w:tcPr>
          <w:p>
            <w:pPr>
              <w:spacing w:after="40"/>
            </w:pPr>
            <w:r/>
            <w:r>
              <w:rPr>
                <w:rFonts w:ascii="Consolas" w:hAnsi="Consolas"/>
                <w:sz w:val="17"/>
              </w:rPr>
              <w:t>INFO</w:t>
            </w:r>
          </w:p>
        </w:tc>
        <w:tc>
          <w:tcPr>
            <w:tcW w:type="dxa" w:w="5184"/>
          </w:tcPr>
          <w:p>
            <w:pPr>
              <w:spacing w:after="40"/>
            </w:pPr>
            <w:r/>
            <w:r>
              <w:rPr>
                <w:sz w:val="18"/>
              </w:rPr>
              <w:t>Standard Python log levels.</w:t>
            </w:r>
          </w:p>
        </w:tc>
      </w:tr>
    </w:tbl>
    <w:p>
      <w:pPr>
        <w:spacing w:after="40"/>
      </w:pPr>
    </w:p>
    <w:p>
      <w:pPr>
        <w:pStyle w:val="Heading2"/>
      </w:pPr>
      <w:r>
        <w:t>2.6  Running it in production</w:t>
      </w:r>
    </w:p>
    <w:p>
      <w:r>
        <w:rPr>
          <w:b w:val="0"/>
          <w:i w:val="0"/>
        </w:rPr>
        <w:t xml:space="preserve">The repository ships a </w:t>
      </w:r>
      <w:r>
        <w:rPr>
          <w:rFonts w:ascii="Consolas" w:hAnsi="Consolas"/>
          <w:b w:val="0"/>
          <w:i w:val="0"/>
          <w:sz w:val="19"/>
        </w:rPr>
        <w:t>Procfile</w:t>
      </w:r>
      <w:r>
        <w:rPr>
          <w:b w:val="0"/>
          <w:i w:val="0"/>
        </w:rPr>
        <w:t xml:space="preserve"> for Heroku-style platforms:</w:t>
      </w:r>
    </w:p>
    <w:p>
      <w:pPr>
        <w:spacing w:before="120" w:after="120" w:line="240" w:lineRule="auto"/>
        <w:ind w:left="230"/>
        <w:shd w:val="clear" w:fill="F4F5F7"/>
      </w:pPr>
      <w:r>
        <w:rPr>
          <w:rFonts w:ascii="Consolas" w:hAnsi="Consolas"/>
          <w:sz w:val="17"/>
        </w:rPr>
        <w:t>web: uvicorn api.main:app --host 0.0.0.0 --port $PORT</w:t>
      </w:r>
    </w:p>
    <w:p>
      <w:r>
        <w:rPr>
          <w:b w:val="0"/>
          <w:i w:val="0"/>
        </w:rPr>
        <w:t>For anything else, the same command with your own worker count. Because the process is stateless, more workers is the whole scaling story — but note each worker loads its own copy of the model, so multiply your memory estimate by the worker count.</w:t>
      </w:r>
    </w:p>
    <w:p>
      <w:pPr>
        <w:spacing w:before="120" w:after="120" w:line="240" w:lineRule="auto"/>
        <w:ind w:left="230"/>
        <w:shd w:val="clear" w:fill="F4F5F7"/>
      </w:pPr>
      <w:r>
        <w:rPr>
          <w:rFonts w:ascii="Consolas" w:hAnsi="Consolas"/>
          <w:sz w:val="17"/>
        </w:rPr>
        <w:t>uvicorn api.main:app --host 0.0.0.0 --port 8000 --workers 2</w:t>
      </w:r>
    </w:p>
    <w:p>
      <w:r>
        <w:rPr>
          <w:b w:val="0"/>
          <w:i w:val="0"/>
        </w:rPr>
        <w:t>A minimal production environment:</w:t>
      </w:r>
    </w:p>
    <w:p>
      <w:pPr>
        <w:spacing w:before="120" w:after="0" w:line="240" w:lineRule="auto"/>
        <w:ind w:left="230"/>
        <w:shd w:val="clear" w:fill="F4F5F7"/>
      </w:pPr>
      <w:r>
        <w:rPr>
          <w:rFonts w:ascii="Consolas" w:hAnsi="Consolas"/>
          <w:sz w:val="17"/>
        </w:rPr>
        <w:t>ENVIRONMENT=production</w:t>
      </w:r>
    </w:p>
    <w:p>
      <w:pPr>
        <w:spacing w:before="0" w:after="0" w:line="240" w:lineRule="auto"/>
        <w:ind w:left="230"/>
        <w:shd w:val="clear" w:fill="F4F5F7"/>
      </w:pPr>
      <w:r>
        <w:rPr>
          <w:rFonts w:ascii="Consolas" w:hAnsi="Consolas"/>
          <w:sz w:val="17"/>
        </w:rPr>
        <w:t>MODEL_DIR=/srv/model</w:t>
      </w:r>
    </w:p>
    <w:p>
      <w:pPr>
        <w:spacing w:before="0" w:after="0" w:line="240" w:lineRule="auto"/>
        <w:ind w:left="230"/>
        <w:shd w:val="clear" w:fill="F4F5F7"/>
      </w:pPr>
      <w:r>
        <w:rPr>
          <w:rFonts w:ascii="Consolas" w:hAnsi="Consolas"/>
          <w:sz w:val="17"/>
        </w:rPr>
        <w:t>MODEL_VERSION=district_v2</w:t>
      </w:r>
    </w:p>
    <w:p>
      <w:pPr>
        <w:spacing w:before="0" w:after="0" w:line="240" w:lineRule="auto"/>
        <w:ind w:left="230"/>
        <w:shd w:val="clear" w:fill="F4F5F7"/>
      </w:pPr>
      <w:r>
        <w:rPr>
          <w:rFonts w:ascii="Consolas" w:hAnsi="Consolas"/>
          <w:sz w:val="17"/>
        </w:rPr>
        <w:t>MODEL_EAGER_LOAD=true</w:t>
      </w:r>
    </w:p>
    <w:p>
      <w:pPr>
        <w:spacing w:before="0" w:after="0" w:line="240" w:lineRule="auto"/>
        <w:ind w:left="230"/>
        <w:shd w:val="clear" w:fill="F4F5F7"/>
      </w:pPr>
      <w:r>
        <w:rPr>
          <w:rFonts w:ascii="Consolas" w:hAnsi="Consolas"/>
          <w:sz w:val="17"/>
        </w:rPr>
        <w:t>CORS_ORIGINS=https://agents.oneacrefund.org</w:t>
      </w:r>
    </w:p>
    <w:p>
      <w:pPr>
        <w:spacing w:before="0" w:after="120" w:line="240" w:lineRule="auto"/>
        <w:ind w:left="230"/>
        <w:shd w:val="clear" w:fill="F4F5F7"/>
      </w:pPr>
      <w:r>
        <w:rPr>
          <w:rFonts w:ascii="Consolas" w:hAnsi="Consolas"/>
          <w:sz w:val="17"/>
        </w:rPr>
        <w:t>LOG_LEVEL=INFO</w:t>
      </w:r>
    </w:p>
    <w:p>
      <w:pPr>
        <w:pStyle w:val="Heading2"/>
      </w:pPr>
      <w:r>
        <w:t>2.7  Health checks — wire these to the right things</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fill="1F4E79"/>
          </w:tcPr>
          <w:p>
            <w:r/>
            <w:r>
              <w:rPr>
                <w:b/>
                <w:color w:val="FFFFFF"/>
                <w:sz w:val="18"/>
              </w:rPr>
              <w:t>Endpoint</w:t>
            </w:r>
          </w:p>
        </w:tc>
        <w:tc>
          <w:tcPr>
            <w:tcW w:type="dxa" w:w="3888"/>
            <w:shd w:val="clear" w:fill="1F4E79"/>
          </w:tcPr>
          <w:p>
            <w:r/>
            <w:r>
              <w:rPr>
                <w:b/>
                <w:color w:val="FFFFFF"/>
                <w:sz w:val="18"/>
              </w:rPr>
              <w:t>Answers 200 when</w:t>
            </w:r>
          </w:p>
        </w:tc>
        <w:tc>
          <w:tcPr>
            <w:tcW w:type="dxa" w:w="4392"/>
            <w:shd w:val="clear" w:fill="1F4E79"/>
          </w:tcPr>
          <w:p>
            <w:r/>
            <w:r>
              <w:rPr>
                <w:b/>
                <w:color w:val="FFFFFF"/>
                <w:sz w:val="18"/>
              </w:rPr>
              <w:t>Use it for</w:t>
            </w:r>
          </w:p>
        </w:tc>
      </w:tr>
      <w:tr>
        <w:tc>
          <w:tcPr>
            <w:tcW w:type="dxa" w:w="1728"/>
          </w:tcPr>
          <w:p>
            <w:pPr>
              <w:spacing w:after="40"/>
            </w:pPr>
            <w:r/>
            <w:r>
              <w:rPr>
                <w:rFonts w:ascii="Consolas" w:hAnsi="Consolas"/>
                <w:sz w:val="17"/>
              </w:rPr>
              <w:t>GET /health</w:t>
            </w:r>
          </w:p>
        </w:tc>
        <w:tc>
          <w:tcPr>
            <w:tcW w:type="dxa" w:w="3888"/>
          </w:tcPr>
          <w:p>
            <w:pPr>
              <w:spacing w:after="40"/>
            </w:pPr>
            <w:r/>
            <w:r>
              <w:rPr>
                <w:sz w:val="18"/>
              </w:rPr>
              <w:t>The process is alive. Answers even with no model at all, reporting status "ok" or "degraded".</w:t>
            </w:r>
          </w:p>
        </w:tc>
        <w:tc>
          <w:tcPr>
            <w:tcW w:type="dxa" w:w="4392"/>
          </w:tcPr>
          <w:p>
            <w:pPr>
              <w:spacing w:after="40"/>
            </w:pPr>
            <w:r/>
            <w:r>
              <w:rPr>
                <w:sz w:val="18"/>
              </w:rPr>
              <w:t>Liveness probe / platform health check. Restarting the process will not fix a missing model file, so do not gate on more than this.</w:t>
            </w:r>
          </w:p>
        </w:tc>
      </w:tr>
      <w:tr>
        <w:tc>
          <w:tcPr>
            <w:tcW w:type="dxa" w:w="1728"/>
            <w:shd w:val="clear" w:fill="F4F6F9"/>
          </w:tcPr>
          <w:p>
            <w:pPr>
              <w:spacing w:after="40"/>
            </w:pPr>
            <w:r/>
            <w:r>
              <w:rPr>
                <w:rFonts w:ascii="Consolas" w:hAnsi="Consolas"/>
                <w:sz w:val="17"/>
              </w:rPr>
              <w:t>GET /ready</w:t>
            </w:r>
          </w:p>
        </w:tc>
        <w:tc>
          <w:tcPr>
            <w:tcW w:type="dxa" w:w="3888"/>
            <w:shd w:val="clear" w:fill="F4F6F9"/>
          </w:tcPr>
          <w:p>
            <w:pPr>
              <w:spacing w:after="40"/>
            </w:pPr>
            <w:r/>
            <w:r>
              <w:rPr>
                <w:sz w:val="18"/>
              </w:rPr>
              <w:t>The fill values are present AND the model loads. Otherwise 503.</w:t>
            </w:r>
          </w:p>
        </w:tc>
        <w:tc>
          <w:tcPr>
            <w:tcW w:type="dxa" w:w="4392"/>
            <w:shd w:val="clear" w:fill="F4F6F9"/>
          </w:tcPr>
          <w:p>
            <w:pPr>
              <w:spacing w:after="40"/>
            </w:pPr>
            <w:r/>
            <w:r>
              <w:rPr>
                <w:sz w:val="18"/>
              </w:rPr>
              <w:t>Readiness probe / load-balancer gate. This is what decides whether an instance should receive prediction traffic.</w:t>
            </w:r>
          </w:p>
        </w:tc>
      </w:tr>
    </w:tbl>
    <w:p>
      <w:pPr>
        <w:spacing w:after="40"/>
      </w:pPr>
    </w:p>
    <w:p>
      <w:pPr>
        <w:spacing w:before="160" w:after="160"/>
        <w:ind w:left="144"/>
        <w:shd w:val="clear" w:fill="FFF6E5"/>
      </w:pPr>
      <w:r>
        <w:rPr>
          <w:b/>
          <w:color w:val="A61B29"/>
        </w:rPr>
        <w:t xml:space="preserve">If you only use /ready, recommendations go dark too.  </w:t>
      </w:r>
      <w:r>
        <w:t>/ready requires the model. If your load balancer removes instances that fail /ready, a missing model file takes the whole service offline — including /api/v1/recommend, which does not need the model and would otherwise still be serving. If advice matters more than prediction in your rollout, gate on /health and let /predict return its own 503.</w:t>
      </w:r>
    </w:p>
    <w:p>
      <w:pPr>
        <w:pStyle w:val="Heading2"/>
      </w:pPr>
      <w:r>
        <w:t>2.8  What still works when something is missing</w:t>
      </w:r>
    </w:p>
    <w:p>
      <w:r>
        <w:rPr>
          <w:b w:val="0"/>
          <w:i w:val="0"/>
        </w:rPr>
        <w:t>The service is built to degrade rather than fail, so a broken deployment can be diagnosed instead of just being down.</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fill="1F4E79"/>
          </w:tcPr>
          <w:p>
            <w:r/>
            <w:r>
              <w:rPr>
                <w:b/>
                <w:color w:val="FFFFFF"/>
                <w:sz w:val="18"/>
              </w:rPr>
              <w:t>Missing</w:t>
            </w:r>
          </w:p>
        </w:tc>
        <w:tc>
          <w:tcPr>
            <w:tcW w:type="dxa" w:w="4464"/>
            <w:shd w:val="clear" w:fill="1F4E79"/>
          </w:tcPr>
          <w:p>
            <w:r/>
            <w:r>
              <w:rPr>
                <w:b/>
                <w:color w:val="FFFFFF"/>
                <w:sz w:val="18"/>
              </w:rPr>
              <w:t>Still works</w:t>
            </w:r>
          </w:p>
        </w:tc>
        <w:tc>
          <w:tcPr>
            <w:tcW w:type="dxa" w:w="3384"/>
            <w:shd w:val="clear" w:fill="1F4E79"/>
          </w:tcPr>
          <w:p>
            <w:r/>
            <w:r>
              <w:rPr>
                <w:b/>
                <w:color w:val="FFFFFF"/>
                <w:sz w:val="18"/>
              </w:rPr>
              <w:t>Returns 503</w:t>
            </w:r>
          </w:p>
        </w:tc>
      </w:tr>
      <w:tr>
        <w:tc>
          <w:tcPr>
            <w:tcW w:type="dxa" w:w="2160"/>
          </w:tcPr>
          <w:p>
            <w:pPr>
              <w:spacing w:after="40"/>
            </w:pPr>
            <w:r/>
            <w:r>
              <w:rPr>
                <w:sz w:val="18"/>
              </w:rPr>
              <w:t>pipeline.joblib</w:t>
              <w:br/>
              <w:t>(the model file)</w:t>
            </w:r>
          </w:p>
        </w:tc>
        <w:tc>
          <w:tcPr>
            <w:tcW w:type="dxa" w:w="4464"/>
          </w:tcPr>
          <w:p>
            <w:pPr>
              <w:spacing w:after="40"/>
            </w:pPr>
            <w:r/>
            <w:r>
              <w:rPr>
                <w:sz w:val="18"/>
              </w:rPr>
              <w:t>/api/v1/recommend, /api/v1/model/summary, all /reference endpoints, /health, /</w:t>
            </w:r>
          </w:p>
        </w:tc>
        <w:tc>
          <w:tcPr>
            <w:tcW w:type="dxa" w:w="3384"/>
          </w:tcPr>
          <w:p>
            <w:pPr>
              <w:spacing w:after="40"/>
            </w:pPr>
            <w:r/>
            <w:r>
              <w:rPr>
                <w:sz w:val="18"/>
              </w:rPr>
              <w:t>/api/v1/predict, /ready</w:t>
            </w:r>
          </w:p>
        </w:tc>
      </w:tr>
      <w:tr>
        <w:tc>
          <w:tcPr>
            <w:tcW w:type="dxa" w:w="2160"/>
            <w:shd w:val="clear" w:fill="F4F6F9"/>
          </w:tcPr>
          <w:p>
            <w:pPr>
              <w:spacing w:after="40"/>
            </w:pPr>
            <w:r/>
            <w:r>
              <w:rPr>
                <w:sz w:val="18"/>
              </w:rPr>
              <w:t>lever_curves.json</w:t>
            </w:r>
          </w:p>
        </w:tc>
        <w:tc>
          <w:tcPr>
            <w:tcW w:type="dxa" w:w="4464"/>
            <w:shd w:val="clear" w:fill="F4F6F9"/>
          </w:tcPr>
          <w:p>
            <w:pPr>
              <w:spacing w:after="40"/>
            </w:pPr>
            <w:r/>
            <w:r>
              <w:rPr>
                <w:sz w:val="18"/>
              </w:rPr>
              <w:t>everything else, including /predict</w:t>
            </w:r>
          </w:p>
        </w:tc>
        <w:tc>
          <w:tcPr>
            <w:tcW w:type="dxa" w:w="3384"/>
            <w:shd w:val="clear" w:fill="F4F6F9"/>
          </w:tcPr>
          <w:p>
            <w:pPr>
              <w:spacing w:after="40"/>
            </w:pPr>
            <w:r/>
            <w:r>
              <w:rPr>
                <w:sz w:val="18"/>
              </w:rPr>
              <w:t>/api/v1/recommend, /api/v1/reference/levers</w:t>
            </w:r>
          </w:p>
        </w:tc>
      </w:tr>
      <w:tr>
        <w:tc>
          <w:tcPr>
            <w:tcW w:type="dxa" w:w="2160"/>
          </w:tcPr>
          <w:p>
            <w:pPr>
              <w:spacing w:after="40"/>
            </w:pPr>
            <w:r/>
            <w:r>
              <w:rPr>
                <w:sz w:val="18"/>
              </w:rPr>
              <w:t>feature_defaults.json</w:t>
            </w:r>
          </w:p>
        </w:tc>
        <w:tc>
          <w:tcPr>
            <w:tcW w:type="dxa" w:w="4464"/>
          </w:tcPr>
          <w:p>
            <w:pPr>
              <w:spacing w:after="40"/>
            </w:pPr>
            <w:r/>
            <w:r>
              <w:rPr>
                <w:sz w:val="18"/>
              </w:rPr>
              <w:t>/, /health (as "degraded"), /api/v1/model/summary, /api/v1/reference/levers</w:t>
            </w:r>
          </w:p>
        </w:tc>
        <w:tc>
          <w:tcPr>
            <w:tcW w:type="dxa" w:w="3384"/>
          </w:tcPr>
          <w:p>
            <w:pPr>
              <w:spacing w:after="40"/>
            </w:pPr>
            <w:r/>
            <w:r>
              <w:rPr>
                <w:sz w:val="18"/>
              </w:rPr>
              <w:t>/predict, /recommend, /reference/districts, /reference/seed-types, /reference/input-schema</w:t>
            </w:r>
          </w:p>
        </w:tc>
      </w:tr>
    </w:tbl>
    <w:p>
      <w:pPr>
        <w:spacing w:after="40"/>
      </w:pPr>
    </w:p>
    <w:p>
      <w:r>
        <w:rPr>
          <w:b w:val="0"/>
          <w:i w:val="0"/>
        </w:rPr>
        <w:t>Every 503 message names the file and the command that produces it. Read the message before debugging.</w:t>
      </w:r>
    </w:p>
    <w:p>
      <w:pPr>
        <w:pStyle w:val="Heading2"/>
      </w:pPr>
      <w:r>
        <w:t>2.9  Troubleshooting</w:t>
      </w:r>
    </w:p>
    <w:tbl>
      <w:tblPr>
        <w:tblStyle w:val="TableGrid"/>
        <w:tblW w:type="auto" w:w="0"/>
        <w:jc w:val="left"/>
        <w:tblLook w:firstColumn="1" w:firstRow="1" w:lastColumn="0" w:lastRow="0" w:noHBand="0" w:noVBand="1" w:val="04A0"/>
      </w:tblPr>
      <w:tblGrid>
        <w:gridCol w:w="3216"/>
        <w:gridCol w:w="3216"/>
        <w:gridCol w:w="3216"/>
      </w:tblGrid>
      <w:tr>
        <w:tc>
          <w:tcPr>
            <w:tcW w:type="dxa" w:w="3024"/>
            <w:shd w:val="clear" w:fill="1F4E79"/>
          </w:tcPr>
          <w:p>
            <w:r/>
            <w:r>
              <w:rPr>
                <w:b/>
                <w:color w:val="FFFFFF"/>
                <w:sz w:val="18"/>
              </w:rPr>
              <w:t>Symptom</w:t>
            </w:r>
          </w:p>
        </w:tc>
        <w:tc>
          <w:tcPr>
            <w:tcW w:type="dxa" w:w="3456"/>
            <w:shd w:val="clear" w:fill="1F4E79"/>
          </w:tcPr>
          <w:p>
            <w:r/>
            <w:r>
              <w:rPr>
                <w:b/>
                <w:color w:val="FFFFFF"/>
                <w:sz w:val="18"/>
              </w:rPr>
              <w:t>Cause</w:t>
            </w:r>
          </w:p>
        </w:tc>
        <w:tc>
          <w:tcPr>
            <w:tcW w:type="dxa" w:w="3528"/>
            <w:shd w:val="clear" w:fill="1F4E79"/>
          </w:tcPr>
          <w:p>
            <w:r/>
            <w:r>
              <w:rPr>
                <w:b/>
                <w:color w:val="FFFFFF"/>
                <w:sz w:val="18"/>
              </w:rPr>
              <w:t>Fix</w:t>
            </w:r>
          </w:p>
        </w:tc>
      </w:tr>
      <w:tr>
        <w:tc>
          <w:tcPr>
            <w:tcW w:type="dxa" w:w="3024"/>
          </w:tcPr>
          <w:p>
            <w:pPr>
              <w:spacing w:after="40"/>
            </w:pPr>
            <w:r/>
            <w:r>
              <w:rPr>
                <w:sz w:val="18"/>
              </w:rPr>
              <w:t>503 "no pipeline.joblib in …" on /predict</w:t>
            </w:r>
          </w:p>
        </w:tc>
        <w:tc>
          <w:tcPr>
            <w:tcW w:type="dxa" w:w="3456"/>
          </w:tcPr>
          <w:p>
            <w:pPr>
              <w:spacing w:after="40"/>
            </w:pPr>
            <w:r/>
            <w:r>
              <w:rPr>
                <w:sz w:val="18"/>
              </w:rPr>
              <w:t>The model file is not where MODEL_DIR points.</w:t>
            </w:r>
          </w:p>
        </w:tc>
        <w:tc>
          <w:tcPr>
            <w:tcW w:type="dxa" w:w="3528"/>
          </w:tcPr>
          <w:p>
            <w:pPr>
              <w:spacing w:after="40"/>
            </w:pPr>
            <w:r/>
            <w:r>
              <w:rPr>
                <w:sz w:val="18"/>
              </w:rPr>
              <w:t>Supply it by one of the three routes in §4, or check the path in the message.</w:t>
            </w:r>
          </w:p>
        </w:tc>
      </w:tr>
      <w:tr>
        <w:tc>
          <w:tcPr>
            <w:tcW w:type="dxa" w:w="3024"/>
            <w:shd w:val="clear" w:fill="F4F6F9"/>
          </w:tcPr>
          <w:p>
            <w:pPr>
              <w:spacing w:after="40"/>
            </w:pPr>
            <w:r/>
            <w:r>
              <w:rPr>
                <w:sz w:val="18"/>
              </w:rPr>
              <w:t>503 "feature defaults not found"</w:t>
            </w:r>
          </w:p>
        </w:tc>
        <w:tc>
          <w:tcPr>
            <w:tcW w:type="dxa" w:w="3456"/>
            <w:shd w:val="clear" w:fill="F4F6F9"/>
          </w:tcPr>
          <w:p>
            <w:pPr>
              <w:spacing w:after="40"/>
            </w:pPr>
            <w:r/>
            <w:r>
              <w:rPr>
                <w:sz w:val="18"/>
              </w:rPr>
              <w:t>data/api/feature_defaults.json is missing.</w:t>
            </w:r>
          </w:p>
        </w:tc>
        <w:tc>
          <w:tcPr>
            <w:tcW w:type="dxa" w:w="3528"/>
            <w:shd w:val="clear" w:fill="F4F6F9"/>
          </w:tcPr>
          <w:p>
            <w:pPr>
              <w:spacing w:after="40"/>
            </w:pPr>
            <w:r/>
            <w:r>
              <w:rPr>
                <w:rFonts w:ascii="Consolas" w:hAnsi="Consolas"/>
                <w:sz w:val="17"/>
              </w:rPr>
              <w:t>python scripts/build_api_defaults.py</w:t>
            </w:r>
          </w:p>
        </w:tc>
      </w:tr>
      <w:tr>
        <w:tc>
          <w:tcPr>
            <w:tcW w:type="dxa" w:w="3024"/>
          </w:tcPr>
          <w:p>
            <w:pPr>
              <w:spacing w:after="40"/>
            </w:pPr>
            <w:r/>
            <w:r>
              <w:rPr>
                <w:sz w:val="18"/>
              </w:rPr>
              <w:t>503 "lever curves not found"</w:t>
            </w:r>
          </w:p>
        </w:tc>
        <w:tc>
          <w:tcPr>
            <w:tcW w:type="dxa" w:w="3456"/>
          </w:tcPr>
          <w:p>
            <w:pPr>
              <w:spacing w:after="40"/>
            </w:pPr>
            <w:r/>
            <w:r>
              <w:rPr>
                <w:sz w:val="18"/>
              </w:rPr>
              <w:t>data/api/lever_curves.json is missing.</w:t>
            </w:r>
          </w:p>
        </w:tc>
        <w:tc>
          <w:tcPr>
            <w:tcW w:type="dxa" w:w="3528"/>
          </w:tcPr>
          <w:p>
            <w:pPr>
              <w:spacing w:after="40"/>
            </w:pPr>
            <w:r/>
            <w:r>
              <w:rPr>
                <w:rFonts w:ascii="Consolas" w:hAnsi="Consolas"/>
                <w:sz w:val="17"/>
              </w:rPr>
              <w:t>python scripts/build_lever_curves.py</w:t>
            </w:r>
          </w:p>
        </w:tc>
      </w:tr>
      <w:tr>
        <w:tc>
          <w:tcPr>
            <w:tcW w:type="dxa" w:w="3024"/>
            <w:shd w:val="clear" w:fill="F4F6F9"/>
          </w:tcPr>
          <w:p>
            <w:pPr>
              <w:spacing w:after="40"/>
            </w:pPr>
            <w:r/>
            <w:r>
              <w:rPr>
                <w:sz w:val="18"/>
              </w:rPr>
              <w:t>503 mentioning ModuleNotFoundError: torch</w:t>
            </w:r>
          </w:p>
        </w:tc>
        <w:tc>
          <w:tcPr>
            <w:tcW w:type="dxa" w:w="3456"/>
            <w:shd w:val="clear" w:fill="F4F6F9"/>
          </w:tcPr>
          <w:p>
            <w:pPr>
              <w:spacing w:after="40"/>
            </w:pPr>
            <w:r/>
            <w:r>
              <w:rPr>
                <w:sz w:val="18"/>
              </w:rPr>
              <w:t>The shipped ensemble includes a neural-network member, so the file only unpickles with torch installed.</w:t>
            </w:r>
          </w:p>
        </w:tc>
        <w:tc>
          <w:tcPr>
            <w:tcW w:type="dxa" w:w="3528"/>
            <w:shd w:val="clear" w:fill="F4F6F9"/>
          </w:tcPr>
          <w:p>
            <w:pPr>
              <w:spacing w:after="40"/>
            </w:pPr>
            <w:r/>
            <w:r>
              <w:rPr>
                <w:sz w:val="18"/>
              </w:rPr>
              <w:t>Install the full requirements.txt, or rebuild the model with `--no-nn`.</w:t>
            </w:r>
          </w:p>
        </w:tc>
      </w:tr>
      <w:tr>
        <w:tc>
          <w:tcPr>
            <w:tcW w:type="dxa" w:w="3024"/>
          </w:tcPr>
          <w:p>
            <w:pPr>
              <w:spacing w:after="40"/>
            </w:pPr>
            <w:r/>
            <w:r>
              <w:rPr>
                <w:sz w:val="18"/>
              </w:rPr>
              <w:t>First /predict call times out</w:t>
            </w:r>
          </w:p>
        </w:tc>
        <w:tc>
          <w:tcPr>
            <w:tcW w:type="dxa" w:w="3456"/>
          </w:tcPr>
          <w:p>
            <w:pPr>
              <w:spacing w:after="40"/>
            </w:pPr>
            <w:r/>
            <w:r>
              <w:rPr>
                <w:sz w:val="18"/>
              </w:rPr>
              <w:t>The model is downloading and loading inside the request.</w:t>
            </w:r>
          </w:p>
        </w:tc>
        <w:tc>
          <w:tcPr>
            <w:tcW w:type="dxa" w:w="3528"/>
          </w:tcPr>
          <w:p>
            <w:pPr>
              <w:spacing w:after="40"/>
            </w:pPr>
            <w:r/>
            <w:r>
              <w:rPr>
                <w:sz w:val="18"/>
              </w:rPr>
              <w:t>Set MODEL_EAGER_LOAD=true and gate traffic on /ready.</w:t>
            </w:r>
          </w:p>
        </w:tc>
      </w:tr>
      <w:tr>
        <w:tc>
          <w:tcPr>
            <w:tcW w:type="dxa" w:w="3024"/>
            <w:shd w:val="clear" w:fill="F4F6F9"/>
          </w:tcPr>
          <w:p>
            <w:pPr>
              <w:spacing w:after="40"/>
            </w:pPr>
            <w:r/>
            <w:r>
              <w:rPr>
                <w:sz w:val="18"/>
              </w:rPr>
              <w:t>Browser console: CORS error</w:t>
            </w:r>
          </w:p>
        </w:tc>
        <w:tc>
          <w:tcPr>
            <w:tcW w:type="dxa" w:w="3456"/>
            <w:shd w:val="clear" w:fill="F4F6F9"/>
          </w:tcPr>
          <w:p>
            <w:pPr>
              <w:spacing w:after="40"/>
            </w:pPr>
            <w:r/>
            <w:r>
              <w:rPr>
                <w:sz w:val="18"/>
              </w:rPr>
              <w:t>CORS_ORIGINS does not include the frontend's origin.</w:t>
            </w:r>
          </w:p>
        </w:tc>
        <w:tc>
          <w:tcPr>
            <w:tcW w:type="dxa" w:w="3528"/>
            <w:shd w:val="clear" w:fill="F4F6F9"/>
          </w:tcPr>
          <w:p>
            <w:pPr>
              <w:spacing w:after="40"/>
            </w:pPr>
            <w:r/>
            <w:r>
              <w:rPr>
                <w:sz w:val="18"/>
              </w:rPr>
              <w:t>Set CORS_ORIGINS to the exact origin, scheme included.</w:t>
            </w:r>
          </w:p>
        </w:tc>
      </w:tr>
      <w:tr>
        <w:tc>
          <w:tcPr>
            <w:tcW w:type="dxa" w:w="3024"/>
          </w:tcPr>
          <w:p>
            <w:pPr>
              <w:spacing w:after="40"/>
            </w:pPr>
            <w:r/>
            <w:r>
              <w:rPr>
                <w:sz w:val="18"/>
              </w:rPr>
              <w:t>Predictions look wrong after a redeploy</w:t>
            </w:r>
          </w:p>
        </w:tc>
        <w:tc>
          <w:tcPr>
            <w:tcW w:type="dxa" w:w="3456"/>
          </w:tcPr>
          <w:p>
            <w:pPr>
              <w:spacing w:after="40"/>
            </w:pPr>
            <w:r/>
            <w:r>
              <w:rPr>
                <w:sz w:val="18"/>
              </w:rPr>
              <w:t>MODEL_DIR points at a different or older artefact.</w:t>
            </w:r>
          </w:p>
        </w:tc>
        <w:tc>
          <w:tcPr>
            <w:tcW w:type="dxa" w:w="3528"/>
          </w:tcPr>
          <w:p>
            <w:pPr>
              <w:spacing w:after="40"/>
            </w:pPr>
            <w:r/>
            <w:r>
              <w:rPr>
                <w:sz w:val="18"/>
              </w:rPr>
              <w:t>Check `model_version` in any prediction response and /api/v1/model/summary.</w:t>
            </w:r>
          </w:p>
        </w:tc>
      </w:tr>
      <w:tr>
        <w:tc>
          <w:tcPr>
            <w:tcW w:type="dxa" w:w="3024"/>
            <w:shd w:val="clear" w:fill="F4F6F9"/>
          </w:tcPr>
          <w:p>
            <w:pPr>
              <w:spacing w:after="40"/>
            </w:pPr>
            <w:r/>
            <w:r>
              <w:rPr>
                <w:sz w:val="18"/>
              </w:rPr>
              <w:t>Memory grows with each worker</w:t>
            </w:r>
          </w:p>
        </w:tc>
        <w:tc>
          <w:tcPr>
            <w:tcW w:type="dxa" w:w="3456"/>
            <w:shd w:val="clear" w:fill="F4F6F9"/>
          </w:tcPr>
          <w:p>
            <w:pPr>
              <w:spacing w:after="40"/>
            </w:pPr>
            <w:r/>
            <w:r>
              <w:rPr>
                <w:sz w:val="18"/>
              </w:rPr>
              <w:t>Each uvicorn worker loads its own copy of the model.</w:t>
            </w:r>
          </w:p>
        </w:tc>
        <w:tc>
          <w:tcPr>
            <w:tcW w:type="dxa" w:w="3528"/>
            <w:shd w:val="clear" w:fill="F4F6F9"/>
          </w:tcPr>
          <w:p>
            <w:pPr>
              <w:spacing w:after="40"/>
            </w:pPr>
            <w:r/>
            <w:r>
              <w:rPr>
                <w:sz w:val="18"/>
              </w:rPr>
              <w:t>Reduce workers, or increase the memory limit.</w:t>
            </w:r>
          </w:p>
        </w:tc>
      </w:tr>
    </w:tbl>
    <w:p>
      <w:pPr>
        <w:spacing w:after="40"/>
      </w:pPr>
    </w:p>
    <w:p>
      <w:pPr>
        <w:pStyle w:val="Heading2"/>
      </w:pPr>
      <w:r>
        <w:t>2.10  Tests</w:t>
      </w:r>
    </w:p>
    <w:p>
      <w:pPr>
        <w:spacing w:before="120" w:after="0" w:line="240" w:lineRule="auto"/>
        <w:ind w:left="230"/>
        <w:shd w:val="clear" w:fill="F4F5F7"/>
      </w:pPr>
      <w:r>
        <w:rPr>
          <w:rFonts w:ascii="Consolas" w:hAnsi="Consolas"/>
          <w:sz w:val="17"/>
        </w:rPr>
        <w:t>pytest tests/                                    # model-dependent tests skip</w:t>
      </w:r>
    </w:p>
    <w:p>
      <w:pPr>
        <w:spacing w:before="0" w:after="120" w:line="240" w:lineRule="auto"/>
        <w:ind w:left="230"/>
        <w:shd w:val="clear" w:fill="F4F5F7"/>
      </w:pPr>
      <w:r>
        <w:rPr>
          <w:rFonts w:ascii="Consolas" w:hAnsi="Consolas"/>
          <w:sz w:val="17"/>
        </w:rPr>
        <w:t>MODEL_DIR=/srv/model pytest tests/               # full suite</w:t>
      </w:r>
    </w:p>
    <w:p>
      <w:r>
        <w:rPr>
          <w:b w:val="0"/>
          <w:i w:val="0"/>
        </w:rPr>
        <w:t xml:space="preserve">40 tests pass without the model file (9 more run once it is present). </w:t>
      </w:r>
      <w:r>
        <w:rPr>
          <w:rFonts w:ascii="Consolas" w:hAnsi="Consolas"/>
          <w:b w:val="0"/>
          <w:i w:val="0"/>
          <w:sz w:val="19"/>
        </w:rPr>
        <w:t>tests/test_recommend.py</w:t>
      </w:r>
      <w:r>
        <w:rPr>
          <w:b w:val="0"/>
          <w:i w:val="0"/>
        </w:rPr>
        <w:t xml:space="preserve"> needs no artefact at all, which makes it a good smoke test in CI.</w:t>
      </w:r>
    </w:p>
    <w:p>
      <w:pPr>
        <w:pStyle w:val="Heading2"/>
      </w:pPr>
      <w:r>
        <w:t>2.11  Keeping it healthy over time</w:t>
      </w:r>
    </w:p>
    <w:p>
      <w:pPr>
        <w:pStyle w:val="ListBullet"/>
      </w:pPr>
      <w:r>
        <w:rPr>
          <w:b/>
          <w:i w:val="0"/>
        </w:rPr>
        <w:t>Retrain each survey round.</w:t>
      </w:r>
      <w:r>
        <w:rPr>
          <w:b w:val="0"/>
          <w:i w:val="0"/>
        </w:rPr>
        <w:t xml:space="preserve"> The survey questionnaire itself changes year to year, so this is not only data drift. Regenerate the feature files, then rerun train_district_model.py, build_api_defaults.py and build_lever_curves.py — in that order.</w:t>
      </w:r>
    </w:p>
    <w:p>
      <w:pPr>
        <w:pStyle w:val="ListBullet"/>
      </w:pPr>
      <w:r>
        <w:rPr>
          <w:b/>
          <w:i w:val="0"/>
        </w:rPr>
        <w:t>Always rebuild the lever curves with the model.</w:t>
      </w:r>
      <w:r>
        <w:rPr>
          <w:b w:val="0"/>
          <w:i w:val="0"/>
        </w:rPr>
        <w:t xml:space="preserve"> Unlike the fill values, the curves are fitted regression coefficients. They must be refit, never carried forward, when the feature file changes.</w:t>
      </w:r>
    </w:p>
    <w:p>
      <w:pPr>
        <w:pStyle w:val="ListBullet"/>
      </w:pPr>
      <w:r>
        <w:rPr>
          <w:b/>
          <w:i w:val="0"/>
        </w:rPr>
        <w:t>Watch model_version and curves_version.</w:t>
      </w:r>
      <w:r>
        <w:rPr>
          <w:b w:val="0"/>
          <w:i w:val="0"/>
        </w:rPr>
        <w:t xml:space="preserve"> Every prediction and recommendation response carries the version that produced it. Log them.</w:t>
      </w:r>
    </w:p>
    <w:p>
      <w:pPr>
        <w:pStyle w:val="ListBullet"/>
      </w:pPr>
      <w:r>
        <w:rPr>
          <w:b/>
          <w:i w:val="0"/>
        </w:rPr>
        <w:t>Monitor the 503 rate on /predict separately from /recommend.</w:t>
      </w:r>
      <w:r>
        <w:rPr>
          <w:b w:val="0"/>
          <w:i w:val="0"/>
        </w:rPr>
        <w:t xml:space="preserve"> They fail for entirely different reasons.</w:t>
      </w:r>
    </w:p>
    <w:p>
      <w:r>
        <w:br w:type="page"/>
      </w:r>
    </w:p>
    <w:p>
      <w:pPr>
        <w:pStyle w:val="Heading1"/>
      </w:pPr>
      <w:r>
        <w:t>Part 3 · For the frontend team</w:t>
      </w:r>
    </w:p>
    <w:p>
      <w:pPr>
        <w:pStyle w:val="Heading2"/>
      </w:pPr>
      <w:r>
        <w:t>3.1  The basics</w:t>
      </w:r>
    </w:p>
    <w:tbl>
      <w:tblPr>
        <w:tblStyle w:val="TableGrid"/>
        <w:tblW w:type="auto" w:w="0"/>
        <w:jc w:val="left"/>
        <w:tblLook w:firstColumn="1" w:firstRow="1" w:lastColumn="0" w:lastRow="0" w:noHBand="0" w:noVBand="1" w:val="04A0"/>
      </w:tblPr>
      <w:tblGrid>
        <w:gridCol w:w="4824"/>
        <w:gridCol w:w="4824"/>
      </w:tblGrid>
      <w:tr>
        <w:tc>
          <w:tcPr>
            <w:tcW w:type="dxa" w:w="2304"/>
            <w:shd w:val="clear" w:fill="1F4E79"/>
          </w:tcPr>
          <w:p>
            <w:r/>
            <w:r>
              <w:rPr>
                <w:b/>
                <w:color w:val="FFFFFF"/>
                <w:sz w:val="18"/>
              </w:rPr>
            </w:r>
          </w:p>
        </w:tc>
        <w:tc>
          <w:tcPr>
            <w:tcW w:type="dxa" w:w="7632"/>
            <w:shd w:val="clear" w:fill="1F4E79"/>
          </w:tcPr>
          <w:p>
            <w:r/>
            <w:r>
              <w:rPr>
                <w:b/>
                <w:color w:val="FFFFFF"/>
                <w:sz w:val="18"/>
              </w:rPr>
            </w:r>
          </w:p>
        </w:tc>
      </w:tr>
      <w:tr>
        <w:tc>
          <w:tcPr>
            <w:tcW w:type="dxa" w:w="2304"/>
          </w:tcPr>
          <w:p>
            <w:pPr>
              <w:spacing w:after="40"/>
            </w:pPr>
            <w:r/>
            <w:r>
              <w:rPr>
                <w:sz w:val="18"/>
              </w:rPr>
              <w:t>Protocol</w:t>
            </w:r>
          </w:p>
        </w:tc>
        <w:tc>
          <w:tcPr>
            <w:tcW w:type="dxa" w:w="7632"/>
          </w:tcPr>
          <w:p>
            <w:pPr>
              <w:spacing w:after="40"/>
            </w:pPr>
            <w:r/>
            <w:r>
              <w:rPr>
                <w:sz w:val="18"/>
              </w:rPr>
              <w:t>Plain JSON over HTTP. No authentication is built in — put it behind your gateway.</w:t>
            </w:r>
          </w:p>
        </w:tc>
      </w:tr>
      <w:tr>
        <w:tc>
          <w:tcPr>
            <w:tcW w:type="dxa" w:w="2304"/>
            <w:shd w:val="clear" w:fill="F4F6F9"/>
          </w:tcPr>
          <w:p>
            <w:pPr>
              <w:spacing w:after="40"/>
            </w:pPr>
            <w:r/>
            <w:r>
              <w:rPr>
                <w:sz w:val="18"/>
              </w:rPr>
              <w:t>Content type</w:t>
            </w:r>
          </w:p>
        </w:tc>
        <w:tc>
          <w:tcPr>
            <w:tcW w:type="dxa" w:w="7632"/>
            <w:shd w:val="clear" w:fill="F4F6F9"/>
          </w:tcPr>
          <w:p>
            <w:pPr>
              <w:spacing w:after="40"/>
            </w:pPr>
            <w:r/>
            <w:r>
              <w:rPr>
                <w:sz w:val="18"/>
              </w:rPr>
              <w:t>application/json for both requests and responses.</w:t>
            </w:r>
          </w:p>
        </w:tc>
      </w:tr>
      <w:tr>
        <w:tc>
          <w:tcPr>
            <w:tcW w:type="dxa" w:w="2304"/>
          </w:tcPr>
          <w:p>
            <w:pPr>
              <w:spacing w:after="40"/>
            </w:pPr>
            <w:r/>
            <w:r>
              <w:rPr>
                <w:sz w:val="18"/>
              </w:rPr>
              <w:t>Interactive docs</w:t>
            </w:r>
          </w:p>
        </w:tc>
        <w:tc>
          <w:tcPr>
            <w:tcW w:type="dxa" w:w="7632"/>
          </w:tcPr>
          <w:p>
            <w:pPr>
              <w:spacing w:after="40"/>
            </w:pPr>
            <w:r/>
            <w:r>
              <w:rPr>
                <w:sz w:val="18"/>
              </w:rPr>
              <w:t>GET /docs — every endpoint is callable from that page. Use it to explore before writing code.</w:t>
            </w:r>
          </w:p>
        </w:tc>
      </w:tr>
      <w:tr>
        <w:tc>
          <w:tcPr>
            <w:tcW w:type="dxa" w:w="2304"/>
            <w:shd w:val="clear" w:fill="F4F6F9"/>
          </w:tcPr>
          <w:p>
            <w:pPr>
              <w:spacing w:after="40"/>
            </w:pPr>
            <w:r/>
            <w:r>
              <w:rPr>
                <w:sz w:val="18"/>
              </w:rPr>
              <w:t>Machine-readable schema</w:t>
            </w:r>
          </w:p>
        </w:tc>
        <w:tc>
          <w:tcPr>
            <w:tcW w:type="dxa" w:w="7632"/>
            <w:shd w:val="clear" w:fill="F4F6F9"/>
          </w:tcPr>
          <w:p>
            <w:pPr>
              <w:spacing w:after="40"/>
            </w:pPr>
            <w:r/>
            <w:r>
              <w:rPr>
                <w:sz w:val="18"/>
              </w:rPr>
              <w:t>GET /openapi.json — feed this to your client generator and you will not hand-write a single type.</w:t>
            </w:r>
          </w:p>
        </w:tc>
      </w:tr>
      <w:tr>
        <w:tc>
          <w:tcPr>
            <w:tcW w:type="dxa" w:w="2304"/>
          </w:tcPr>
          <w:p>
            <w:pPr>
              <w:spacing w:after="40"/>
            </w:pPr>
            <w:r/>
            <w:r>
              <w:rPr>
                <w:sz w:val="18"/>
              </w:rPr>
              <w:t>Service index</w:t>
            </w:r>
          </w:p>
        </w:tc>
        <w:tc>
          <w:tcPr>
            <w:tcW w:type="dxa" w:w="7632"/>
          </w:tcPr>
          <w:p>
            <w:pPr>
              <w:spacing w:after="40"/>
            </w:pPr>
            <w:r/>
            <w:r>
              <w:rPr>
                <w:sz w:val="18"/>
              </w:rPr>
              <w:t>GET / — lists every endpoint path. Useful as a connectivity check.</w:t>
            </w:r>
          </w:p>
        </w:tc>
      </w:tr>
    </w:tbl>
    <w:p>
      <w:pPr>
        <w:spacing w:after="40"/>
      </w:pPr>
    </w:p>
    <w:p>
      <w:pPr>
        <w:spacing w:before="160" w:after="160"/>
        <w:ind w:left="144"/>
        <w:shd w:val="clear" w:fill="E8F1F8"/>
      </w:pPr>
      <w:r>
        <w:rPr>
          <w:b/>
          <w:color w:val="1F4E79"/>
        </w:rPr>
        <w:t xml:space="preserve">Generate your types.  </w:t>
      </w:r>
      <w:r>
        <w:t>The OpenAPI schema at /openapi.json is complete and always matches the running service. Generating a TypeScript client from it is a five-minute job and removes every opportunity to mistype a field name. Do that rather than transcribing the tables in Part 4.</w:t>
      </w:r>
    </w:p>
    <w:p>
      <w:pPr>
        <w:pStyle w:val="Heading2"/>
      </w:pPr>
      <w:r>
        <w:t>3.2  One form serves both endpoints</w:t>
      </w:r>
    </w:p>
    <w:p>
      <w:r>
        <w:rPr>
          <w:b w:val="0"/>
          <w:i w:val="0"/>
        </w:rPr>
        <w:t>The plot object is identical in both requests. Build the form once; send it to whichever endpoint the user asked for.</w:t>
      </w:r>
    </w:p>
    <w:p>
      <w:r>
        <w:rPr>
          <w:b/>
          <w:i w:val="0"/>
        </w:rPr>
        <w:t xml:space="preserve">Only </w:t>
      </w:r>
      <w:r>
        <w:rPr>
          <w:rFonts w:ascii="Consolas" w:hAnsi="Consolas"/>
          <w:b/>
          <w:i w:val="0"/>
          <w:sz w:val="19"/>
        </w:rPr>
        <w:t>district</w:t>
      </w:r>
      <w:r>
        <w:rPr>
          <w:b/>
          <w:i w:val="0"/>
        </w:rPr>
        <w:t xml:space="preserve"> is required.</w:t>
      </w:r>
      <w:r>
        <w:rPr>
          <w:b w:val="0"/>
          <w:i w:val="0"/>
        </w:rPr>
        <w:t xml:space="preserve"> Everything else is optional. Anything the user leaves blank is filled from that district's own history, so a five-field form still returns a sound answer. Never block submission because a fertiliser field is empty.</w:t>
      </w:r>
    </w:p>
    <w:p>
      <w:pPr>
        <w:pStyle w:val="Heading3"/>
      </w:pPr>
      <w:r>
        <w:t>Build the form from the API, not from this document</w:t>
      </w:r>
    </w:p>
    <w:tbl>
      <w:tblPr>
        <w:tblStyle w:val="TableGrid"/>
        <w:tblW w:type="auto" w:w="0"/>
        <w:jc w:val="left"/>
        <w:tblLook w:firstColumn="1" w:firstRow="1" w:lastColumn="0" w:lastRow="0" w:noHBand="0" w:noVBand="1" w:val="04A0"/>
      </w:tblPr>
      <w:tblGrid>
        <w:gridCol w:w="4824"/>
        <w:gridCol w:w="4824"/>
      </w:tblGrid>
      <w:tr>
        <w:tc>
          <w:tcPr>
            <w:tcW w:type="dxa" w:w="3312"/>
            <w:shd w:val="clear" w:fill="1F4E79"/>
          </w:tcPr>
          <w:p>
            <w:r/>
            <w:r>
              <w:rPr>
                <w:b/>
                <w:color w:val="FFFFFF"/>
                <w:sz w:val="18"/>
              </w:rPr>
              <w:t>Call this once at startup</w:t>
            </w:r>
          </w:p>
        </w:tc>
        <w:tc>
          <w:tcPr>
            <w:tcW w:type="dxa" w:w="6624"/>
            <w:shd w:val="clear" w:fill="1F4E79"/>
          </w:tcPr>
          <w:p>
            <w:r/>
            <w:r>
              <w:rPr>
                <w:b/>
                <w:color w:val="FFFFFF"/>
                <w:sz w:val="18"/>
              </w:rPr>
              <w:t>To populate</w:t>
            </w:r>
          </w:p>
        </w:tc>
      </w:tr>
      <w:tr>
        <w:tc>
          <w:tcPr>
            <w:tcW w:type="dxa" w:w="3312"/>
          </w:tcPr>
          <w:p>
            <w:pPr>
              <w:spacing w:after="40"/>
            </w:pPr>
            <w:r/>
            <w:r>
              <w:rPr>
                <w:rFonts w:ascii="Consolas" w:hAnsi="Consolas"/>
                <w:sz w:val="17"/>
              </w:rPr>
              <w:t>GET /api/v1/reference/input-schema</w:t>
            </w:r>
          </w:p>
        </w:tc>
        <w:tc>
          <w:tcPr>
            <w:tcW w:type="dxa" w:w="6624"/>
          </w:tcPr>
          <w:p>
            <w:pPr>
              <w:spacing w:after="40"/>
            </w:pPr>
            <w:r/>
            <w:r>
              <w:rPr>
                <w:sz w:val="18"/>
              </w:rPr>
              <w:t>Every accepted field with its type, unit, allowed values and the range actually observed in the survey. Enough to build and validate the whole form.</w:t>
            </w:r>
          </w:p>
        </w:tc>
      </w:tr>
      <w:tr>
        <w:tc>
          <w:tcPr>
            <w:tcW w:type="dxa" w:w="3312"/>
            <w:shd w:val="clear" w:fill="F4F6F9"/>
          </w:tcPr>
          <w:p>
            <w:pPr>
              <w:spacing w:after="40"/>
            </w:pPr>
            <w:r/>
            <w:r>
              <w:rPr>
                <w:rFonts w:ascii="Consolas" w:hAnsi="Consolas"/>
                <w:sz w:val="17"/>
              </w:rPr>
              <w:t>GET /api/v1/reference/districts</w:t>
            </w:r>
          </w:p>
        </w:tc>
        <w:tc>
          <w:tcPr>
            <w:tcW w:type="dxa" w:w="6624"/>
            <w:shd w:val="clear" w:fill="F4F6F9"/>
          </w:tcPr>
          <w:p>
            <w:pPr>
              <w:spacing w:after="40"/>
            </w:pPr>
            <w:r/>
            <w:r>
              <w:rPr>
                <w:sz w:val="18"/>
              </w:rPr>
              <w:t>The 51 district names the model knows, plus the available seasons. Use it for a typeahead. Matching is case-insensitive.</w:t>
            </w:r>
          </w:p>
        </w:tc>
      </w:tr>
      <w:tr>
        <w:tc>
          <w:tcPr>
            <w:tcW w:type="dxa" w:w="3312"/>
          </w:tcPr>
          <w:p>
            <w:pPr>
              <w:spacing w:after="40"/>
            </w:pPr>
            <w:r/>
            <w:r>
              <w:rPr>
                <w:rFonts w:ascii="Consolas" w:hAnsi="Consolas"/>
                <w:sz w:val="17"/>
              </w:rPr>
              <w:t>GET /api/v1/reference/seed-types</w:t>
            </w:r>
          </w:p>
        </w:tc>
        <w:tc>
          <w:tcPr>
            <w:tcW w:type="dxa" w:w="6624"/>
          </w:tcPr>
          <w:p>
            <w:pPr>
              <w:spacing w:after="40"/>
            </w:pPr>
            <w:r/>
            <w:r>
              <w:rPr>
                <w:sz w:val="18"/>
              </w:rPr>
              <w:t>Seed categories, the full variety list, primary varieties and intercrop species.</w:t>
            </w:r>
          </w:p>
        </w:tc>
      </w:tr>
      <w:tr>
        <w:tc>
          <w:tcPr>
            <w:tcW w:type="dxa" w:w="3312"/>
            <w:shd w:val="clear" w:fill="F4F6F9"/>
          </w:tcPr>
          <w:p>
            <w:pPr>
              <w:spacing w:after="40"/>
            </w:pPr>
            <w:r/>
            <w:r>
              <w:rPr>
                <w:rFonts w:ascii="Consolas" w:hAnsi="Consolas"/>
                <w:sz w:val="17"/>
              </w:rPr>
              <w:t>GET /api/v1/reference/levers</w:t>
            </w:r>
          </w:p>
        </w:tc>
        <w:tc>
          <w:tcPr>
            <w:tcW w:type="dxa" w:w="6624"/>
            <w:shd w:val="clear" w:fill="F4F6F9"/>
          </w:tcPr>
          <w:p>
            <w:pPr>
              <w:spacing w:after="40"/>
            </w:pPr>
            <w:r/>
            <w:r>
              <w:rPr>
                <w:sz w:val="18"/>
              </w:rPr>
              <w:t>The eight things the recommendation engine can advise on, with labels and units. Use it to build a lever filter, or to label results.</w:t>
            </w:r>
          </w:p>
        </w:tc>
      </w:tr>
    </w:tbl>
    <w:p>
      <w:pPr>
        <w:spacing w:after="40"/>
      </w:pPr>
    </w:p>
    <w:p>
      <w:r>
        <w:rPr>
          <w:b w:val="0"/>
          <w:i w:val="0"/>
        </w:rPr>
        <w:t xml:space="preserve">Cache these. They change only when the model is retrained, and you can detect that from </w:t>
      </w:r>
      <w:r>
        <w:rPr>
          <w:rFonts w:ascii="Consolas" w:hAnsi="Consolas"/>
          <w:b w:val="0"/>
          <w:i w:val="0"/>
          <w:sz w:val="19"/>
        </w:rPr>
        <w:t>model_version</w:t>
      </w:r>
      <w:r>
        <w:rPr>
          <w:b w:val="0"/>
          <w:i w:val="0"/>
        </w:rPr>
        <w:t xml:space="preserve"> or </w:t>
      </w:r>
      <w:r>
        <w:rPr>
          <w:rFonts w:ascii="Consolas" w:hAnsi="Consolas"/>
          <w:b w:val="0"/>
          <w:i w:val="0"/>
          <w:sz w:val="19"/>
        </w:rPr>
        <w:t>curves_version</w:t>
      </w:r>
      <w:r>
        <w:rPr>
          <w:b w:val="0"/>
          <w:i w:val="0"/>
        </w:rPr>
        <w:t xml:space="preserve"> in any response.</w:t>
      </w:r>
    </w:p>
    <w:p>
      <w:pPr>
        <w:pStyle w:val="Heading2"/>
      </w:pPr>
      <w:r>
        <w:t>3.3  Endpoint 1 — predict a yield</w:t>
      </w:r>
    </w:p>
    <w:p>
      <w:r>
        <w:rPr>
          <w:rFonts w:ascii="Consolas" w:hAnsi="Consolas"/>
          <w:b/>
          <w:i w:val="0"/>
          <w:sz w:val="19"/>
        </w:rPr>
        <w:t>POST /api/v1/predict</w:t>
      </w:r>
    </w:p>
    <w:p>
      <w:r>
        <w:rPr>
          <w:b/>
          <w:i w:val="0"/>
          <w:sz w:val="21"/>
        </w:rPr>
        <w:t>Request</w:t>
      </w:r>
    </w:p>
    <w:p>
      <w:pPr>
        <w:spacing w:before="120" w:after="0" w:line="240" w:lineRule="auto"/>
        <w:ind w:left="230"/>
        <w:shd w:val="clear" w:fill="F4F5F7"/>
      </w:pPr>
      <w:r>
        <w:rPr>
          <w:rFonts w:ascii="Consolas" w:hAnsi="Consolas"/>
          <w:sz w:val="17"/>
        </w:rPr>
        <w:t>{</w:t>
      </w:r>
    </w:p>
    <w:p>
      <w:pPr>
        <w:spacing w:before="0" w:after="0" w:line="240" w:lineRule="auto"/>
        <w:ind w:left="230"/>
        <w:shd w:val="clear" w:fill="F4F5F7"/>
      </w:pPr>
      <w:r>
        <w:rPr>
          <w:rFonts w:ascii="Consolas" w:hAnsi="Consolas"/>
          <w:sz w:val="17"/>
        </w:rPr>
        <w:t xml:space="preserve">  "plots":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"plot_id": "farm-104",</w:t>
      </w:r>
    </w:p>
    <w:p>
      <w:pPr>
        <w:spacing w:before="0" w:after="0" w:line="240" w:lineRule="auto"/>
        <w:ind w:left="230"/>
        <w:shd w:val="clear" w:fill="F4F5F7"/>
      </w:pPr>
      <w:r>
        <w:rPr>
          <w:rFonts w:ascii="Consolas" w:hAnsi="Consolas"/>
          <w:sz w:val="17"/>
        </w:rPr>
        <w:t xml:space="preserve">      "district": "bungoma",</w:t>
      </w:r>
    </w:p>
    <w:p>
      <w:pPr>
        <w:spacing w:before="0" w:after="0" w:line="240" w:lineRule="auto"/>
        <w:ind w:left="230"/>
        <w:shd w:val="clear" w:fill="F4F5F7"/>
      </w:pPr>
      <w:r>
        <w:rPr>
          <w:rFonts w:ascii="Consolas" w:hAnsi="Consolas"/>
          <w:sz w:val="17"/>
        </w:rPr>
        <w:t xml:space="preserve">      "plot_acres": 1.0,</w:t>
      </w:r>
    </w:p>
    <w:p>
      <w:pPr>
        <w:spacing w:before="0" w:after="0" w:line="240" w:lineRule="auto"/>
        <w:ind w:left="230"/>
        <w:shd w:val="clear" w:fill="F4F5F7"/>
      </w:pPr>
      <w:r>
        <w:rPr>
          <w:rFonts w:ascii="Consolas" w:hAnsi="Consolas"/>
          <w:sz w:val="17"/>
        </w:rPr>
        <w:t xml:space="preserve">      "seed_category": "hybrid_branded",</w:t>
      </w:r>
    </w:p>
    <w:p>
      <w:pPr>
        <w:spacing w:before="0" w:after="0" w:line="240" w:lineRule="auto"/>
        <w:ind w:left="230"/>
        <w:shd w:val="clear" w:fill="F4F5F7"/>
      </w:pPr>
      <w:r>
        <w:rPr>
          <w:rFonts w:ascii="Consolas" w:hAnsi="Consolas"/>
          <w:sz w:val="17"/>
        </w:rPr>
        <w:t xml:space="preserve">      "dap_kg_ph": 120,</w:t>
      </w:r>
    </w:p>
    <w:p>
      <w:pPr>
        <w:spacing w:before="0" w:after="0" w:line="240" w:lineRule="auto"/>
        <w:ind w:left="230"/>
        <w:shd w:val="clear" w:fill="F4F5F7"/>
      </w:pPr>
      <w:r>
        <w:rPr>
          <w:rFonts w:ascii="Consolas" w:hAnsi="Consolas"/>
          <w:sz w:val="17"/>
        </w:rPr>
        <w:t xml:space="preserve">      "can_kg_ph": 100,</w:t>
      </w:r>
    </w:p>
    <w:p>
      <w:pPr>
        <w:spacing w:before="0" w:after="0" w:line="240" w:lineRule="auto"/>
        <w:ind w:left="230"/>
        <w:shd w:val="clear" w:fill="F4F5F7"/>
      </w:pPr>
      <w:r>
        <w:rPr>
          <w:rFonts w:ascii="Consolas" w:hAnsi="Consolas"/>
          <w:sz w:val="17"/>
        </w:rPr>
        <w:t xml:space="preserve">      "plant_date": "2020-03-05"</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"year": 2020,</w:t>
      </w:r>
    </w:p>
    <w:p>
      <w:pPr>
        <w:spacing w:before="0" w:after="0" w:line="240" w:lineRule="auto"/>
        <w:ind w:left="230"/>
        <w:shd w:val="clear" w:fill="F4F5F7"/>
      </w:pPr>
      <w:r>
        <w:rPr>
          <w:rFonts w:ascii="Consolas" w:hAnsi="Consolas"/>
          <w:sz w:val="17"/>
        </w:rPr>
        <w:t xml:space="preserve">  "include_plot_predictions": true</w:t>
      </w:r>
    </w:p>
    <w:p>
      <w:pPr>
        <w:spacing w:before="0" w:after="120" w:line="240" w:lineRule="auto"/>
        <w:ind w:left="230"/>
        <w:shd w:val="clear" w:fill="F4F5F7"/>
      </w:pPr>
      <w:r>
        <w:rPr>
          <w:rFonts w:ascii="Consolas" w:hAnsi="Consolas"/>
          <w:sz w:val="17"/>
        </w:rPr>
        <w:t>}</w:t>
      </w:r>
    </w:p>
    <w:p>
      <w:r>
        <w:rPr>
          <w:b w:val="0"/>
          <w:i w:val="0"/>
        </w:rPr>
        <w:t>Send up to 500 plots in one call. Plots sharing a district are averaged into a district result as well as being returned individually.</w:t>
      </w:r>
    </w:p>
    <w:p>
      <w:r>
        <w:rPr>
          <w:b/>
          <w:i w:val="0"/>
          <w:sz w:val="21"/>
        </w:rPr>
        <w:t>Response — the parts you will render</w:t>
      </w:r>
    </w:p>
    <w:p>
      <w:pPr>
        <w:spacing w:before="120" w:after="0" w:line="240" w:lineRule="auto"/>
        <w:ind w:left="230"/>
        <w:shd w:val="clear" w:fill="F4F5F7"/>
      </w:pPr>
      <w:r>
        <w:rPr>
          <w:rFonts w:ascii="Consolas" w:hAnsi="Consolas"/>
          <w:sz w:val="17"/>
        </w:rPr>
        <w:t>{</w:t>
      </w:r>
    </w:p>
    <w:p>
      <w:pPr>
        <w:spacing w:before="0" w:after="0" w:line="240" w:lineRule="auto"/>
        <w:ind w:left="230"/>
        <w:shd w:val="clear" w:fill="F4F5F7"/>
      </w:pPr>
      <w:r>
        <w:rPr>
          <w:rFonts w:ascii="Consolas" w:hAnsi="Consolas"/>
          <w:sz w:val="17"/>
        </w:rPr>
        <w:t xml:space="preserve">  "model_version": "district_v2",</w:t>
      </w:r>
    </w:p>
    <w:p>
      <w:pPr>
        <w:spacing w:before="0" w:after="0" w:line="240" w:lineRule="auto"/>
        <w:ind w:left="230"/>
        <w:shd w:val="clear" w:fill="F4F5F7"/>
      </w:pPr>
      <w:r>
        <w:rPr>
          <w:rFonts w:ascii="Consolas" w:hAnsi="Consolas"/>
          <w:sz w:val="17"/>
        </w:rPr>
        <w:t xml:space="preserve">  "unit": "kg/ha",</w:t>
      </w:r>
    </w:p>
    <w:p>
      <w:pPr>
        <w:spacing w:before="0" w:after="0" w:line="240" w:lineRule="auto"/>
        <w:ind w:left="230"/>
        <w:shd w:val="clear" w:fill="F4F5F7"/>
      </w:pPr>
      <w:r>
        <w:rPr>
          <w:rFonts w:ascii="Consolas" w:hAnsi="Consolas"/>
          <w:sz w:val="17"/>
        </w:rPr>
        <w:t xml:space="preserve">  "districts": [</w:t>
      </w:r>
    </w:p>
    <w:p>
      <w:pPr>
        <w:spacing w:before="0" w:after="0" w:line="240" w:lineRule="auto"/>
        <w:ind w:left="230"/>
        <w:shd w:val="clear" w:fill="F4F5F7"/>
      </w:pPr>
      <w:r>
        <w:rPr>
          <w:rFonts w:ascii="Consolas" w:hAnsi="Consolas"/>
          <w:sz w:val="17"/>
        </w:rPr>
        <w:t xml:space="preserve">    { "district": "bungoma", "predicted_mean_yield_kg_ph": 2802.7,</w:t>
      </w:r>
    </w:p>
    <w:p>
      <w:pPr>
        <w:spacing w:before="0" w:after="0" w:line="240" w:lineRule="auto"/>
        <w:ind w:left="230"/>
        <w:shd w:val="clear" w:fill="F4F5F7"/>
      </w:pPr>
      <w:r>
        <w:rPr>
          <w:rFonts w:ascii="Consolas" w:hAnsi="Consolas"/>
          <w:sz w:val="17"/>
        </w:rPr>
        <w:t xml:space="preserve">      "interval_low_kg_ph": 1604.8, "interval_high_kg_ph": 4000.6,</w:t>
      </w:r>
    </w:p>
    <w:p>
      <w:pPr>
        <w:spacing w:before="0" w:after="0" w:line="240" w:lineRule="auto"/>
        <w:ind w:left="230"/>
        <w:shd w:val="clear" w:fill="F4F5F7"/>
      </w:pPr>
      <w:r>
        <w:rPr>
          <w:rFonts w:ascii="Consolas" w:hAnsi="Consolas"/>
          <w:sz w:val="17"/>
        </w:rPr>
        <w:t xml:space="preserve">      "interval_coverage": 0.8, "n_plots": 1,</w:t>
      </w:r>
    </w:p>
    <w:p>
      <w:pPr>
        <w:spacing w:before="0" w:after="0" w:line="240" w:lineRule="auto"/>
        <w:ind w:left="230"/>
        <w:shd w:val="clear" w:fill="F4F5F7"/>
      </w:pPr>
      <w:r>
        <w:rPr>
          <w:rFonts w:ascii="Consolas" w:hAnsi="Consolas"/>
          <w:sz w:val="17"/>
        </w:rPr>
        <w:t xml:space="preserve">      "below_reporting_threshold": true, "district_known": true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"plots": [</w:t>
      </w:r>
    </w:p>
    <w:p>
      <w:pPr>
        <w:spacing w:before="0" w:after="0" w:line="240" w:lineRule="auto"/>
        <w:ind w:left="230"/>
        <w:shd w:val="clear" w:fill="F4F5F7"/>
      </w:pPr>
      <w:r>
        <w:rPr>
          <w:rFonts w:ascii="Consolas" w:hAnsi="Consolas"/>
          <w:sz w:val="17"/>
        </w:rPr>
        <w:t xml:space="preserve">    { "plot_id": "farm-104", "predicted_yield_kg_ph": 2802.7,</w:t>
      </w:r>
    </w:p>
    <w:p>
      <w:pPr>
        <w:spacing w:before="0" w:after="0" w:line="240" w:lineRule="auto"/>
        <w:ind w:left="230"/>
        <w:shd w:val="clear" w:fill="F4F5F7"/>
      </w:pPr>
      <w:r>
        <w:rPr>
          <w:rFonts w:ascii="Consolas" w:hAnsi="Consolas"/>
          <w:sz w:val="17"/>
        </w:rPr>
        <w:t xml:space="preserve">      "inputs_supplied_count": 25, "used_season_weather": true,</w:t>
      </w:r>
    </w:p>
    <w:p>
      <w:pPr>
        <w:spacing w:before="0" w:after="0" w:line="240" w:lineRule="auto"/>
        <w:ind w:left="230"/>
        <w:shd w:val="clear" w:fill="F4F5F7"/>
      </w:pPr>
      <w:r>
        <w:rPr>
          <w:rFonts w:ascii="Consolas" w:hAnsi="Consolas"/>
          <w:sz w:val="17"/>
        </w:rPr>
        <w:t xml:space="preserve">      "district_known": true, "warnings": []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"warnings": ["..."],</w:t>
      </w:r>
    </w:p>
    <w:p>
      <w:pPr>
        <w:spacing w:before="0" w:after="0" w:line="240" w:lineRule="auto"/>
        <w:ind w:left="230"/>
        <w:shd w:val="clear" w:fill="F4F5F7"/>
      </w:pPr>
      <w:r>
        <w:rPr>
          <w:rFonts w:ascii="Consolas" w:hAnsi="Consolas"/>
          <w:sz w:val="17"/>
        </w:rPr>
        <w:t xml:space="preserve">  "accuracy_note": "..."</w:t>
      </w:r>
    </w:p>
    <w:p>
      <w:pPr>
        <w:spacing w:before="0" w:after="120" w:line="240" w:lineRule="auto"/>
        <w:ind w:left="230"/>
        <w:shd w:val="clear" w:fill="F4F5F7"/>
      </w:pPr>
      <w:r>
        <w:rPr>
          <w:rFonts w:ascii="Consolas" w:hAnsi="Consolas"/>
          <w:sz w:val="17"/>
        </w:rPr>
        <w:t>}</w:t>
      </w:r>
    </w:p>
    <w:p>
      <w:r>
        <w:rPr>
          <w:b/>
          <w:i w:val="0"/>
          <w:sz w:val="21"/>
        </w:rPr>
        <w:t>Four flags you must honour in the UI</w:t>
      </w:r>
    </w:p>
    <w:tbl>
      <w:tblPr>
        <w:tblStyle w:val="TableGrid"/>
        <w:tblW w:type="auto" w:w="0"/>
        <w:jc w:val="left"/>
        <w:tblLook w:firstColumn="1" w:firstRow="1" w:lastColumn="0" w:lastRow="0" w:noHBand="0" w:noVBand="1" w:val="04A0"/>
      </w:tblPr>
      <w:tblGrid>
        <w:gridCol w:w="3216"/>
        <w:gridCol w:w="3216"/>
        <w:gridCol w:w="3216"/>
      </w:tblGrid>
      <w:tr>
        <w:tc>
          <w:tcPr>
            <w:tcW w:type="dxa" w:w="2520"/>
            <w:shd w:val="clear" w:fill="1F4E79"/>
          </w:tcPr>
          <w:p>
            <w:r/>
            <w:r>
              <w:rPr>
                <w:b/>
                <w:color w:val="FFFFFF"/>
                <w:sz w:val="18"/>
              </w:rPr>
              <w:t>Field</w:t>
            </w:r>
          </w:p>
        </w:tc>
        <w:tc>
          <w:tcPr>
            <w:tcW w:type="dxa" w:w="3600"/>
            <w:shd w:val="clear" w:fill="1F4E79"/>
          </w:tcPr>
          <w:p>
            <w:r/>
            <w:r>
              <w:rPr>
                <w:b/>
                <w:color w:val="FFFFFF"/>
                <w:sz w:val="18"/>
              </w:rPr>
              <w:t>When true</w:t>
            </w:r>
          </w:p>
        </w:tc>
        <w:tc>
          <w:tcPr>
            <w:tcW w:type="dxa" w:w="3888"/>
            <w:shd w:val="clear" w:fill="1F4E79"/>
          </w:tcPr>
          <w:p>
            <w:r/>
            <w:r>
              <w:rPr>
                <w:b/>
                <w:color w:val="FFFFFF"/>
                <w:sz w:val="18"/>
              </w:rPr>
              <w:t>What to show</w:t>
            </w:r>
          </w:p>
        </w:tc>
      </w:tr>
      <w:tr>
        <w:tc>
          <w:tcPr>
            <w:tcW w:type="dxa" w:w="2520"/>
          </w:tcPr>
          <w:p>
            <w:pPr>
              <w:spacing w:after="40"/>
            </w:pPr>
            <w:r/>
            <w:r>
              <w:rPr>
                <w:rFonts w:ascii="Consolas" w:hAnsi="Consolas"/>
                <w:sz w:val="17"/>
              </w:rPr>
              <w:t>district_known</w:t>
            </w:r>
          </w:p>
        </w:tc>
        <w:tc>
          <w:tcPr>
            <w:tcW w:type="dxa" w:w="3600"/>
          </w:tcPr>
          <w:p>
            <w:pPr>
              <w:spacing w:after="40"/>
            </w:pPr>
            <w:r/>
            <w:r>
              <w:rPr>
                <w:sz w:val="18"/>
              </w:rPr>
              <w:t>false — the model never saw this district in training.</w:t>
            </w:r>
          </w:p>
        </w:tc>
        <w:tc>
          <w:tcPr>
            <w:tcW w:type="dxa" w:w="3888"/>
          </w:tcPr>
          <w:p>
            <w:pPr>
              <w:spacing w:after="40"/>
            </w:pPr>
            <w:r/>
            <w:r>
              <w:rPr>
                <w:sz w:val="18"/>
              </w:rPr>
              <w:t>A visible caution. Error for such districts is roughly double.</w:t>
            </w:r>
          </w:p>
        </w:tc>
      </w:tr>
      <w:tr>
        <w:tc>
          <w:tcPr>
            <w:tcW w:type="dxa" w:w="2520"/>
            <w:shd w:val="clear" w:fill="F4F6F9"/>
          </w:tcPr>
          <w:p>
            <w:pPr>
              <w:spacing w:after="40"/>
            </w:pPr>
            <w:r/>
            <w:r>
              <w:rPr>
                <w:rFonts w:ascii="Consolas" w:hAnsi="Consolas"/>
                <w:sz w:val="17"/>
              </w:rPr>
              <w:t>below_reporting_threshold</w:t>
            </w:r>
          </w:p>
        </w:tc>
        <w:tc>
          <w:tcPr>
            <w:tcW w:type="dxa" w:w="3600"/>
            <w:shd w:val="clear" w:fill="F4F6F9"/>
          </w:tcPr>
          <w:p>
            <w:pPr>
              <w:spacing w:after="40"/>
            </w:pPr>
            <w:r/>
            <w:r>
              <w:rPr>
                <w:sz w:val="18"/>
              </w:rPr>
              <w:t>Fewer than 20 plots back that district average.</w:t>
            </w:r>
          </w:p>
        </w:tc>
        <w:tc>
          <w:tcPr>
            <w:tcW w:type="dxa" w:w="3888"/>
            <w:shd w:val="clear" w:fill="F4F6F9"/>
          </w:tcPr>
          <w:p>
            <w:pPr>
              <w:spacing w:after="40"/>
            </w:pPr>
            <w:r/>
            <w:r>
              <w:rPr>
                <w:sz w:val="18"/>
              </w:rPr>
              <w:t>Label the district figure as indicative. It is largely sampling noise.</w:t>
            </w:r>
          </w:p>
        </w:tc>
      </w:tr>
      <w:tr>
        <w:tc>
          <w:tcPr>
            <w:tcW w:type="dxa" w:w="2520"/>
          </w:tcPr>
          <w:p>
            <w:pPr>
              <w:spacing w:after="40"/>
            </w:pPr>
            <w:r/>
            <w:r>
              <w:rPr>
                <w:rFonts w:ascii="Consolas" w:hAnsi="Consolas"/>
                <w:sz w:val="17"/>
              </w:rPr>
              <w:t>used_season_weather</w:t>
            </w:r>
          </w:p>
        </w:tc>
        <w:tc>
          <w:tcPr>
            <w:tcW w:type="dxa" w:w="3600"/>
          </w:tcPr>
          <w:p>
            <w:pPr>
              <w:spacing w:after="40"/>
            </w:pPr>
            <w:r/>
            <w:r>
              <w:rPr>
                <w:sz w:val="18"/>
              </w:rPr>
              <w:t>false — no observed weather for that district-season.</w:t>
            </w:r>
          </w:p>
        </w:tc>
        <w:tc>
          <w:tcPr>
            <w:tcW w:type="dxa" w:w="3888"/>
          </w:tcPr>
          <w:p>
            <w:pPr>
              <w:spacing w:after="40"/>
            </w:pPr>
            <w:r/>
            <w:r>
              <w:rPr>
                <w:sz w:val="18"/>
              </w:rPr>
              <w:t>A quiet note that long-run climate averages stood in.</w:t>
            </w:r>
          </w:p>
        </w:tc>
      </w:tr>
      <w:tr>
        <w:tc>
          <w:tcPr>
            <w:tcW w:type="dxa" w:w="2520"/>
            <w:shd w:val="clear" w:fill="F4F6F9"/>
          </w:tcPr>
          <w:p>
            <w:pPr>
              <w:spacing w:after="40"/>
            </w:pPr>
            <w:r/>
            <w:r>
              <w:rPr>
                <w:rFonts w:ascii="Consolas" w:hAnsi="Consolas"/>
                <w:sz w:val="17"/>
              </w:rPr>
              <w:t>inputs_supplied_count</w:t>
            </w:r>
          </w:p>
        </w:tc>
        <w:tc>
          <w:tcPr>
            <w:tcW w:type="dxa" w:w="3600"/>
            <w:shd w:val="clear" w:fill="F4F6F9"/>
          </w:tcPr>
          <w:p>
            <w:pPr>
              <w:spacing w:after="40"/>
            </w:pPr>
            <w:r/>
            <w:r>
              <w:rPr>
                <w:sz w:val="18"/>
              </w:rPr>
              <w:t>Always present. Counts the model columns your request actually determined.</w:t>
            </w:r>
          </w:p>
        </w:tc>
        <w:tc>
          <w:tcPr>
            <w:tcW w:type="dxa" w:w="3888"/>
            <w:shd w:val="clear" w:fill="F4F6F9"/>
          </w:tcPr>
          <w:p>
            <w:pPr>
              <w:spacing w:after="40"/>
            </w:pPr>
            <w:r/>
            <w:r>
              <w:rPr>
                <w:sz w:val="18"/>
              </w:rPr>
              <w:t>Optional, but a good "how complete is this profile" meter.</w:t>
            </w:r>
          </w:p>
        </w:tc>
      </w:tr>
    </w:tbl>
    <w:p>
      <w:pPr>
        <w:spacing w:after="40"/>
      </w:pPr>
    </w:p>
    <w:p>
      <w:pPr>
        <w:spacing w:before="160" w:after="160"/>
        <w:ind w:left="144"/>
        <w:shd w:val="clear" w:fill="FFF6E5"/>
      </w:pPr>
      <w:r>
        <w:rPr>
          <w:b/>
          <w:color w:val="A61B29"/>
        </w:rPr>
        <w:t xml:space="preserve">Be honest about per-plot numbers.  </w:t>
      </w:r>
      <w:r>
        <w:t>The district average is the number this model was validated on: out-of-time R² 0.22–0.59, MAE 300–700 kg/ha. Individual plot predictions are much weaker (R² ≈ 0.16) because most plot-to-plot variation comes from soil and management detail the survey never captured. Show the plot figure if a per-farm screen needs one, but present it as indicative, with its interval, never as a forecast. The accuracy_note field carries this wording — display it.</w:t>
      </w:r>
    </w:p>
    <w:p>
      <w:pPr>
        <w:pStyle w:val="Heading2"/>
      </w:pPr>
      <w:r>
        <w:t>3.4  Endpoint 2 — recommend changes</w:t>
      </w:r>
    </w:p>
    <w:p>
      <w:r>
        <w:rPr>
          <w:rFonts w:ascii="Consolas" w:hAnsi="Consolas"/>
          <w:b/>
          <w:i w:val="0"/>
          <w:sz w:val="19"/>
        </w:rPr>
        <w:t>POST /api/v1/recommend</w:t>
      </w:r>
    </w:p>
    <w:p>
      <w:r>
        <w:rPr>
          <w:b w:val="0"/>
          <w:i w:val="0"/>
        </w:rPr>
        <w:t>This is the field-agent screen. It takes one plot, not a list.</w:t>
      </w:r>
    </w:p>
    <w:p>
      <w:r>
        <w:rPr>
          <w:b/>
          <w:i w:val="0"/>
          <w:sz w:val="21"/>
        </w:rPr>
        <w:t>Simplest possible request</w:t>
      </w:r>
    </w:p>
    <w:p>
      <w:pPr>
        <w:spacing w:before="120" w:after="120" w:line="240" w:lineRule="auto"/>
        <w:ind w:left="230"/>
        <w:shd w:val="clear" w:fill="F4F5F7"/>
      </w:pPr>
      <w:r>
        <w:rPr>
          <w:rFonts w:ascii="Consolas" w:hAnsi="Consolas"/>
          <w:sz w:val="17"/>
        </w:rPr>
        <w:t>{ "plot": { "district": "bungoma" } }</w:t>
      </w:r>
    </w:p>
    <w:p>
      <w:r>
        <w:rPr>
          <w:b w:val="0"/>
          <w:i w:val="0"/>
        </w:rPr>
        <w:t xml:space="preserve">That works. Everything is filled from the district's median practice, and every recommendation comes back flagged </w:t>
      </w:r>
      <w:r>
        <w:rPr>
          <w:rFonts w:ascii="Consolas" w:hAnsi="Consolas"/>
          <w:b w:val="0"/>
          <w:i w:val="0"/>
          <w:sz w:val="19"/>
        </w:rPr>
        <w:t>current_is_assumed: true</w:t>
      </w:r>
      <w:r>
        <w:rPr>
          <w:b w:val="0"/>
          <w:i w:val="0"/>
        </w:rPr>
        <w:t>. The more the user tells you, the more specific the advice.</w:t>
      </w:r>
    </w:p>
    <w:p>
      <w:r>
        <w:rPr>
          <w:b/>
          <w:i w:val="0"/>
          <w:sz w:val="21"/>
        </w:rPr>
        <w:t>A fuller request</w:t>
      </w:r>
    </w:p>
    <w:p>
      <w:pPr>
        <w:spacing w:before="120" w:after="0" w:line="240" w:lineRule="auto"/>
        <w:ind w:left="230"/>
        <w:shd w:val="clear" w:fill="F4F5F7"/>
      </w:pPr>
      <w:r>
        <w:rPr>
          <w:rFonts w:ascii="Consolas" w:hAnsi="Consolas"/>
          <w:sz w:val="17"/>
        </w:rPr>
        <w:t>{</w:t>
      </w:r>
    </w:p>
    <w:p>
      <w:pPr>
        <w:spacing w:before="0" w:after="0" w:line="240" w:lineRule="auto"/>
        <w:ind w:left="230"/>
        <w:shd w:val="clear" w:fill="F4F5F7"/>
      </w:pPr>
      <w:r>
        <w:rPr>
          <w:rFonts w:ascii="Consolas" w:hAnsi="Consolas"/>
          <w:sz w:val="17"/>
        </w:rPr>
        <w:t xml:space="preserve">  "plot": {</w:t>
      </w:r>
    </w:p>
    <w:p>
      <w:pPr>
        <w:spacing w:before="0" w:after="0" w:line="240" w:lineRule="auto"/>
        <w:ind w:left="230"/>
        <w:shd w:val="clear" w:fill="F4F5F7"/>
      </w:pPr>
      <w:r>
        <w:rPr>
          <w:rFonts w:ascii="Consolas" w:hAnsi="Consolas"/>
          <w:sz w:val="17"/>
        </w:rPr>
        <w:t xml:space="preserve">    "district": "bungoma", "plant_date_doy": 110, "seed_category": "local",</w:t>
      </w:r>
    </w:p>
    <w:p>
      <w:pPr>
        <w:spacing w:before="0" w:after="0" w:line="240" w:lineRule="auto"/>
        <w:ind w:left="230"/>
        <w:shd w:val="clear" w:fill="F4F5F7"/>
      </w:pPr>
      <w:r>
        <w:rPr>
          <w:rFonts w:ascii="Consolas" w:hAnsi="Consolas"/>
          <w:sz w:val="17"/>
        </w:rPr>
        <w:t xml:space="preserve">    "dap_kg_ph": 0, "can_kg_ph": 0, "plot_acres": 1.0</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"year": 2020</w:t>
      </w:r>
    </w:p>
    <w:p>
      <w:pPr>
        <w:spacing w:before="0" w:after="120" w:line="240" w:lineRule="auto"/>
        <w:ind w:left="230"/>
        <w:shd w:val="clear" w:fill="F4F5F7"/>
      </w:pPr>
      <w:r>
        <w:rPr>
          <w:rFonts w:ascii="Consolas" w:hAnsi="Consolas"/>
          <w:sz w:val="17"/>
        </w:rPr>
        <w:t>}</w:t>
      </w:r>
    </w:p>
    <w:p>
      <w:pPr>
        <w:spacing w:before="160" w:after="160"/>
        <w:ind w:left="144"/>
        <w:shd w:val="clear" w:fill="E8F1F8"/>
      </w:pPr>
      <w:r>
        <w:rPr>
          <w:b/>
          <w:color w:val="1F4E79"/>
        </w:rPr>
        <w:t xml:space="preserve">There is no money in this endpoint.  </w:t>
      </w:r>
      <w:r>
        <w:t>Every figure is in kilograms of maize per hectare. There are no costs, no prices and no budget, because the survey behind the model carries no fertiliser or farm-gate price data — and advice ranked on invented prices would reorder the whole list. If your product needs cost or affordability, hold prices in the client and compute it there, where someone actually knows the local figures. The request model rejects unknown fields, so sending budget or prices returns a 422 rather than being silently ignored.</w:t>
      </w:r>
    </w:p>
    <w:p>
      <w:r>
        <w:rPr>
          <w:b/>
          <w:i w:val="0"/>
          <w:sz w:val="21"/>
        </w:rPr>
        <w:t>Optional request fields</w:t>
      </w:r>
    </w:p>
    <w:tbl>
      <w:tblPr>
        <w:tblStyle w:val="TableGrid"/>
        <w:tblW w:type="auto" w:w="0"/>
        <w:jc w:val="left"/>
        <w:tblLook w:firstColumn="1" w:firstRow="1" w:lastColumn="0" w:lastRow="0" w:noHBand="0" w:noVBand="1" w:val="04A0"/>
      </w:tblPr>
      <w:tblGrid>
        <w:gridCol w:w="3216"/>
        <w:gridCol w:w="3216"/>
        <w:gridCol w:w="3216"/>
      </w:tblGrid>
      <w:tr>
        <w:tc>
          <w:tcPr>
            <w:tcW w:type="dxa" w:w="2304"/>
            <w:shd w:val="clear" w:fill="1F4E79"/>
          </w:tcPr>
          <w:p>
            <w:r/>
            <w:r>
              <w:rPr>
                <w:b/>
                <w:color w:val="FFFFFF"/>
                <w:sz w:val="18"/>
              </w:rPr>
              <w:t>Field</w:t>
            </w:r>
          </w:p>
        </w:tc>
        <w:tc>
          <w:tcPr>
            <w:tcW w:type="dxa" w:w="1656"/>
            <w:shd w:val="clear" w:fill="1F4E79"/>
          </w:tcPr>
          <w:p>
            <w:r/>
            <w:r>
              <w:rPr>
                <w:b/>
                <w:color w:val="FFFFFF"/>
                <w:sz w:val="18"/>
              </w:rPr>
              <w:t>Default</w:t>
            </w:r>
          </w:p>
        </w:tc>
        <w:tc>
          <w:tcPr>
            <w:tcW w:type="dxa" w:w="5976"/>
            <w:shd w:val="clear" w:fill="1F4E79"/>
          </w:tcPr>
          <w:p>
            <w:r/>
            <w:r>
              <w:rPr>
                <w:b/>
                <w:color w:val="FFFFFF"/>
                <w:sz w:val="18"/>
              </w:rPr>
              <w:t>Effect</w:t>
            </w:r>
          </w:p>
        </w:tc>
      </w:tr>
      <w:tr>
        <w:tc>
          <w:tcPr>
            <w:tcW w:type="dxa" w:w="2304"/>
          </w:tcPr>
          <w:p>
            <w:pPr>
              <w:spacing w:after="40"/>
            </w:pPr>
            <w:r/>
            <w:r>
              <w:rPr>
                <w:rFonts w:ascii="Consolas" w:hAnsi="Consolas"/>
                <w:sz w:val="17"/>
              </w:rPr>
              <w:t>levers</w:t>
            </w:r>
          </w:p>
        </w:tc>
        <w:tc>
          <w:tcPr>
            <w:tcW w:type="dxa" w:w="1656"/>
          </w:tcPr>
          <w:p>
            <w:pPr>
              <w:spacing w:after="40"/>
            </w:pPr>
            <w:r/>
            <w:r>
              <w:rPr>
                <w:sz w:val="18"/>
              </w:rPr>
              <w:t>all eight</w:t>
            </w:r>
          </w:p>
        </w:tc>
        <w:tc>
          <w:tcPr>
            <w:tcW w:type="dxa" w:w="5976"/>
          </w:tcPr>
          <w:p>
            <w:pPr>
              <w:spacing w:after="40"/>
            </w:pPr>
            <w:r/>
            <w:r>
              <w:rPr>
                <w:sz w:val="18"/>
              </w:rPr>
              <w:t>Restrict to named levers, e.g. only what the agent can supply today.</w:t>
            </w:r>
          </w:p>
        </w:tc>
      </w:tr>
      <w:tr>
        <w:tc>
          <w:tcPr>
            <w:tcW w:type="dxa" w:w="2304"/>
            <w:shd w:val="clear" w:fill="F4F6F9"/>
          </w:tcPr>
          <w:p>
            <w:pPr>
              <w:spacing w:after="40"/>
            </w:pPr>
            <w:r/>
            <w:r>
              <w:rPr>
                <w:rFonts w:ascii="Consolas" w:hAnsi="Consolas"/>
                <w:sz w:val="17"/>
              </w:rPr>
              <w:t>min_lift_kg_ph</w:t>
            </w:r>
          </w:p>
        </w:tc>
        <w:tc>
          <w:tcPr>
            <w:tcW w:type="dxa" w:w="1656"/>
            <w:shd w:val="clear" w:fill="F4F6F9"/>
          </w:tcPr>
          <w:p>
            <w:pPr>
              <w:spacing w:after="40"/>
            </w:pPr>
            <w:r/>
            <w:r>
              <w:rPr>
                <w:rFonts w:ascii="Consolas" w:hAnsi="Consolas"/>
                <w:sz w:val="17"/>
              </w:rPr>
              <w:t>25</w:t>
            </w:r>
          </w:p>
        </w:tc>
        <w:tc>
          <w:tcPr>
            <w:tcW w:type="dxa" w:w="5976"/>
            <w:shd w:val="clear" w:fill="F4F6F9"/>
          </w:tcPr>
          <w:p>
            <w:pPr>
              <w:spacing w:after="40"/>
            </w:pPr>
            <w:r/>
            <w:r>
              <w:rPr>
                <w:sz w:val="18"/>
              </w:rPr>
              <w:t>Hide gains smaller than this. Raise it for a shorter, punchier list.</w:t>
            </w:r>
          </w:p>
        </w:tc>
      </w:tr>
      <w:tr>
        <w:tc>
          <w:tcPr>
            <w:tcW w:type="dxa" w:w="2304"/>
          </w:tcPr>
          <w:p>
            <w:pPr>
              <w:spacing w:after="40"/>
            </w:pPr>
            <w:r/>
            <w:r>
              <w:rPr>
                <w:rFonts w:ascii="Consolas" w:hAnsi="Consolas"/>
                <w:sz w:val="17"/>
              </w:rPr>
              <w:t>min_support</w:t>
            </w:r>
          </w:p>
        </w:tc>
        <w:tc>
          <w:tcPr>
            <w:tcW w:type="dxa" w:w="1656"/>
          </w:tcPr>
          <w:p>
            <w:pPr>
              <w:spacing w:after="40"/>
            </w:pPr>
            <w:r/>
            <w:r>
              <w:rPr>
                <w:rFonts w:ascii="Consolas" w:hAnsi="Consolas"/>
                <w:sz w:val="17"/>
              </w:rPr>
              <w:t>200</w:t>
            </w:r>
          </w:p>
        </w:tc>
        <w:tc>
          <w:tcPr>
            <w:tcW w:type="dxa" w:w="5976"/>
          </w:tcPr>
          <w:p>
            <w:pPr>
              <w:spacing w:after="40"/>
            </w:pPr>
            <w:r/>
            <w:r>
              <w:rPr>
                <w:sz w:val="18"/>
              </w:rPr>
              <w:t>How many comparable real plots a recommendation must rest on. Raise it for a more conservative list.</w:t>
            </w:r>
          </w:p>
        </w:tc>
      </w:tr>
      <w:tr>
        <w:tc>
          <w:tcPr>
            <w:tcW w:type="dxa" w:w="2304"/>
            <w:shd w:val="clear" w:fill="F4F6F9"/>
          </w:tcPr>
          <w:p>
            <w:pPr>
              <w:spacing w:after="40"/>
            </w:pPr>
            <w:r/>
            <w:r>
              <w:rPr>
                <w:rFonts w:ascii="Consolas" w:hAnsi="Consolas"/>
                <w:sz w:val="17"/>
              </w:rPr>
              <w:t>include_curve</w:t>
            </w:r>
          </w:p>
        </w:tc>
        <w:tc>
          <w:tcPr>
            <w:tcW w:type="dxa" w:w="1656"/>
            <w:shd w:val="clear" w:fill="F4F6F9"/>
          </w:tcPr>
          <w:p>
            <w:pPr>
              <w:spacing w:after="40"/>
            </w:pPr>
            <w:r/>
            <w:r>
              <w:rPr>
                <w:rFonts w:ascii="Consolas" w:hAnsi="Consolas"/>
                <w:sz w:val="17"/>
              </w:rPr>
              <w:t>false</w:t>
            </w:r>
          </w:p>
        </w:tc>
        <w:tc>
          <w:tcPr>
            <w:tcW w:type="dxa" w:w="5976"/>
            <w:shd w:val="clear" w:fill="F4F6F9"/>
          </w:tcPr>
          <w:p>
            <w:pPr>
              <w:spacing w:after="40"/>
            </w:pPr>
            <w:r/>
            <w:r>
              <w:rPr>
                <w:sz w:val="18"/>
              </w:rPr>
              <w:t>Also return each lever's full fitted curve — for plotting a response chart, not for advice.</w:t>
            </w:r>
          </w:p>
        </w:tc>
      </w:tr>
    </w:tbl>
    <w:p>
      <w:pPr>
        <w:spacing w:after="40"/>
      </w:pPr>
    </w:p>
    <w:p>
      <w:r>
        <w:rPr>
          <w:b/>
          <w:i w:val="0"/>
          <w:sz w:val="21"/>
        </w:rPr>
        <w:t>Response</w:t>
      </w:r>
    </w:p>
    <w:p>
      <w:pPr>
        <w:spacing w:before="120" w:after="0" w:line="240" w:lineRule="auto"/>
        <w:ind w:left="230"/>
        <w:shd w:val="clear" w:fill="F4F5F7"/>
      </w:pPr>
      <w:r>
        <w:rPr>
          <w:rFonts w:ascii="Consolas" w:hAnsi="Consolas"/>
          <w:sz w:val="17"/>
        </w:rPr>
        <w:t>{</w:t>
      </w:r>
    </w:p>
    <w:p>
      <w:pPr>
        <w:spacing w:before="0" w:after="0" w:line="240" w:lineRule="auto"/>
        <w:ind w:left="230"/>
        <w:shd w:val="clear" w:fill="F4F5F7"/>
      </w:pPr>
      <w:r>
        <w:rPr>
          <w:rFonts w:ascii="Consolas" w:hAnsi="Consolas"/>
          <w:sz w:val="17"/>
        </w:rPr>
        <w:t xml:space="preserve">  "district": "bungoma", "district_known": true, "year": 2020,</w:t>
      </w:r>
    </w:p>
    <w:p>
      <w:pPr>
        <w:spacing w:before="0" w:after="0" w:line="240" w:lineRule="auto"/>
        <w:ind w:left="230"/>
        <w:shd w:val="clear" w:fill="F4F5F7"/>
      </w:pPr>
      <w:r>
        <w:rPr>
          <w:rFonts w:ascii="Consolas" w:hAnsi="Consolas"/>
          <w:sz w:val="17"/>
        </w:rPr>
        <w:t xml:space="preserve">  "curves_version": "2026-09-08T…",</w:t>
      </w:r>
    </w:p>
    <w:p>
      <w:pPr>
        <w:spacing w:before="0" w:after="0" w:line="240" w:lineRule="auto"/>
        <w:ind w:left="230"/>
        <w:shd w:val="clear" w:fill="F4F5F7"/>
      </w:pPr>
      <w:r>
        <w:rPr>
          <w:rFonts w:ascii="Consolas" w:hAnsi="Consolas"/>
          <w:sz w:val="17"/>
        </w:rPr>
        <w:t xml:space="preserve">  "baseline_predicted_yield_kg_ph": null,</w:t>
      </w:r>
    </w:p>
    <w:p>
      <w:pPr>
        <w:spacing w:before="0" w:after="0" w:line="240" w:lineRule="auto"/>
        <w:ind w:left="230"/>
        <w:shd w:val="clear" w:fill="F4F5F7"/>
      </w:pPr>
      <w:r>
        <w:rPr>
          <w:rFonts w:ascii="Consolas" w:hAnsi="Consolas"/>
          <w:sz w:val="17"/>
        </w:rPr>
        <w:t xml:space="preserve">  "recommendations":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"rank": 1,</w:t>
      </w:r>
    </w:p>
    <w:p>
      <w:pPr>
        <w:spacing w:before="0" w:after="0" w:line="240" w:lineRule="auto"/>
        <w:ind w:left="230"/>
        <w:shd w:val="clear" w:fill="F4F5F7"/>
      </w:pPr>
      <w:r>
        <w:rPr>
          <w:rFonts w:ascii="Consolas" w:hAnsi="Consolas"/>
          <w:sz w:val="17"/>
        </w:rPr>
        <w:t xml:space="preserve">      "lever": "hybrid_seed",</w:t>
      </w:r>
    </w:p>
    <w:p>
      <w:pPr>
        <w:spacing w:before="0" w:after="0" w:line="240" w:lineRule="auto"/>
        <w:ind w:left="230"/>
        <w:shd w:val="clear" w:fill="F4F5F7"/>
      </w:pPr>
      <w:r>
        <w:rPr>
          <w:rFonts w:ascii="Consolas" w:hAnsi="Consolas"/>
          <w:sz w:val="17"/>
        </w:rPr>
        <w:t xml:space="preserve">      "label": "Share of seed that is hybrid",</w:t>
      </w:r>
    </w:p>
    <w:p>
      <w:pPr>
        <w:spacing w:before="0" w:after="0" w:line="240" w:lineRule="auto"/>
        <w:ind w:left="230"/>
        <w:shd w:val="clear" w:fill="F4F5F7"/>
      </w:pPr>
      <w:r>
        <w:rPr>
          <w:rFonts w:ascii="Consolas" w:hAnsi="Consolas"/>
          <w:sz w:val="17"/>
        </w:rPr>
        <w:t xml:space="preserve">      "action": "plant a larger share of hybrid seed — 0.95 share of seed (0-1) (now 0)",</w:t>
      </w:r>
    </w:p>
    <w:p>
      <w:pPr>
        <w:spacing w:before="0" w:after="0" w:line="240" w:lineRule="auto"/>
        <w:ind w:left="230"/>
        <w:shd w:val="clear" w:fill="F4F5F7"/>
      </w:pPr>
      <w:r>
        <w:rPr>
          <w:rFonts w:ascii="Consolas" w:hAnsi="Consolas"/>
          <w:sz w:val="17"/>
        </w:rPr>
        <w:t xml:space="preserve">      "current_value": 0.0, "recommended_value": 0.95,</w:t>
      </w:r>
    </w:p>
    <w:p>
      <w:pPr>
        <w:spacing w:before="0" w:after="0" w:line="240" w:lineRule="auto"/>
        <w:ind w:left="230"/>
        <w:shd w:val="clear" w:fill="F4F5F7"/>
      </w:pPr>
      <w:r>
        <w:rPr>
          <w:rFonts w:ascii="Consolas" w:hAnsi="Consolas"/>
          <w:sz w:val="17"/>
        </w:rPr>
        <w:t xml:space="preserve">      "current_is_assumed": false,</w:t>
      </w:r>
    </w:p>
    <w:p>
      <w:pPr>
        <w:spacing w:before="0" w:after="0" w:line="240" w:lineRule="auto"/>
        <w:ind w:left="230"/>
        <w:shd w:val="clear" w:fill="F4F5F7"/>
      </w:pPr>
      <w:r>
        <w:rPr>
          <w:rFonts w:ascii="Consolas" w:hAnsi="Consolas"/>
          <w:sz w:val="17"/>
        </w:rPr>
        <w:t xml:space="preserve">      "expected_lift_kg_ph": 586.4,</w:t>
      </w:r>
    </w:p>
    <w:p>
      <w:pPr>
        <w:spacing w:before="0" w:after="0" w:line="240" w:lineRule="auto"/>
        <w:ind w:left="230"/>
        <w:shd w:val="clear" w:fill="F4F5F7"/>
      </w:pPr>
      <w:r>
        <w:rPr>
          <w:rFonts w:ascii="Consolas" w:hAnsi="Consolas"/>
          <w:sz w:val="17"/>
        </w:rPr>
        <w:t xml:space="preserve">      "lift_low_kg_ph": 545.8, "lift_high_kg_ph": 627.0,</w:t>
      </w:r>
    </w:p>
    <w:p>
      <w:pPr>
        <w:spacing w:before="0" w:after="0" w:line="240" w:lineRule="auto"/>
        <w:ind w:left="230"/>
        <w:shd w:val="clear" w:fill="F4F5F7"/>
      </w:pPr>
      <w:r>
        <w:rPr>
          <w:rFonts w:ascii="Consolas" w:hAnsi="Consolas"/>
          <w:sz w:val="17"/>
        </w:rPr>
        <w:t xml:space="preserve">      "lift_share_of_district_yield": 0.197,</w:t>
      </w:r>
    </w:p>
    <w:p>
      <w:pPr>
        <w:spacing w:before="0" w:after="0" w:line="240" w:lineRule="auto"/>
        <w:ind w:left="230"/>
        <w:shd w:val="clear" w:fill="F4F5F7"/>
      </w:pPr>
      <w:r>
        <w:rPr>
          <w:rFonts w:ascii="Consolas" w:hAnsi="Consolas"/>
          <w:sz w:val="17"/>
        </w:rPr>
        <w:t xml:space="preserve">      "why": "The strongest within-district correlate of yield in the file…",</w:t>
      </w:r>
    </w:p>
    <w:p>
      <w:pPr>
        <w:spacing w:before="0" w:after="0" w:line="240" w:lineRule="auto"/>
        <w:ind w:left="230"/>
        <w:shd w:val="clear" w:fill="F4F5F7"/>
      </w:pPr>
      <w:r>
        <w:rPr>
          <w:rFonts w:ascii="Consolas" w:hAnsi="Consolas"/>
          <w:sz w:val="17"/>
        </w:rPr>
        <w:t xml:space="preserve">      "evidence": {</w:t>
      </w:r>
    </w:p>
    <w:p>
      <w:pPr>
        <w:spacing w:before="0" w:after="0" w:line="240" w:lineRule="auto"/>
        <w:ind w:left="230"/>
        <w:shd w:val="clear" w:fill="F4F5F7"/>
      </w:pPr>
      <w:r>
        <w:rPr>
          <w:rFonts w:ascii="Consolas" w:hAnsi="Consolas"/>
          <w:sz w:val="17"/>
        </w:rPr>
        <w:t xml:space="preserve">        "n_plots": 22809, "support_at_target": 17481,</w:t>
      </w:r>
    </w:p>
    <w:p>
      <w:pPr>
        <w:spacing w:before="0" w:after="0" w:line="240" w:lineRule="auto"/>
        <w:ind w:left="230"/>
        <w:shd w:val="clear" w:fill="F4F5F7"/>
      </w:pPr>
      <w:r>
        <w:rPr>
          <w:rFonts w:ascii="Consolas" w:hAnsi="Consolas"/>
          <w:sz w:val="17"/>
        </w:rPr>
        <w:t xml:space="preserve">        "confidence": "high", "t_statistic": 23.75,</w:t>
      </w:r>
    </w:p>
    <w:p>
      <w:pPr>
        <w:spacing w:before="0" w:after="0" w:line="240" w:lineRule="auto"/>
        <w:ind w:left="230"/>
        <w:shd w:val="clear" w:fill="F4F5F7"/>
      </w:pPr>
      <w:r>
        <w:rPr>
          <w:rFonts w:ascii="Consolas" w:hAnsi="Consolas"/>
          <w:sz w:val="17"/>
        </w:rPr>
        <w:t xml:space="preserve">        "uncontrolled_lift_kg_ph": 829.6, "control_absorbed_share": 0.293,</w:t>
      </w:r>
    </w:p>
    <w:p>
      <w:pPr>
        <w:spacing w:before="0" w:after="0" w:line="240" w:lineRule="auto"/>
        <w:ind w:left="230"/>
        <w:shd w:val="clear" w:fill="F4F5F7"/>
      </w:pPr>
      <w:r>
        <w:rPr>
          <w:rFonts w:ascii="Consolas" w:hAnsi="Consolas"/>
          <w:sz w:val="17"/>
        </w:rPr>
        <w:t xml:space="preserve">        "trained_to_2019_lift_kg_ph": 591.2,</w:t>
      </w:r>
    </w:p>
    <w:p>
      <w:pPr>
        <w:spacing w:before="0" w:after="0" w:line="240" w:lineRule="auto"/>
        <w:ind w:left="230"/>
        <w:shd w:val="clear" w:fill="F4F5F7"/>
      </w:pPr>
      <w:r>
        <w:rPr>
          <w:rFonts w:ascii="Consolas" w:hAnsi="Consolas"/>
          <w:sz w:val="17"/>
        </w:rPr>
        <w:t xml:space="preserve">        "curve_shape": "concave_increasing", "agronomically_plausible": true</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"bundle": {</w:t>
      </w:r>
    </w:p>
    <w:p>
      <w:pPr>
        <w:spacing w:before="0" w:after="0" w:line="240" w:lineRule="auto"/>
        <w:ind w:left="230"/>
        <w:shd w:val="clear" w:fill="F4F5F7"/>
      </w:pPr>
      <w:r>
        <w:rPr>
          <w:rFonts w:ascii="Consolas" w:hAnsi="Consolas"/>
          <w:sz w:val="17"/>
        </w:rPr>
        <w:t xml:space="preserve">    "levers": ["hybrid_seed", "…"],</w:t>
      </w:r>
    </w:p>
    <w:p>
      <w:pPr>
        <w:spacing w:before="0" w:after="0" w:line="240" w:lineRule="auto"/>
        <w:ind w:left="230"/>
        <w:shd w:val="clear" w:fill="F4F5F7"/>
      </w:pPr>
      <w:r>
        <w:rPr>
          <w:rFonts w:ascii="Consolas" w:hAnsi="Consolas"/>
          <w:sz w:val="17"/>
        </w:rPr>
        <w:t xml:space="preserve">    "total_expected_lift_kg_ph": 2447.4,</w:t>
      </w:r>
    </w:p>
    <w:p>
      <w:pPr>
        <w:spacing w:before="0" w:after="0" w:line="240" w:lineRule="auto"/>
        <w:ind w:left="230"/>
        <w:shd w:val="clear" w:fill="F4F5F7"/>
      </w:pPr>
      <w:r>
        <w:rPr>
          <w:rFonts w:ascii="Consolas" w:hAnsi="Consolas"/>
          <w:sz w:val="17"/>
        </w:rPr>
        <w:t xml:space="preserve">    "lift_low_kg_ph": 1806.3, "lift_high_kg_ph": 3088.5,</w:t>
      </w:r>
    </w:p>
    <w:p>
      <w:pPr>
        <w:spacing w:before="0" w:after="0" w:line="240" w:lineRule="auto"/>
        <w:ind w:left="230"/>
        <w:shd w:val="clear" w:fill="F4F5F7"/>
      </w:pPr>
      <w:r>
        <w:rPr>
          <w:rFonts w:ascii="Consolas" w:hAnsi="Consolas"/>
          <w:sz w:val="17"/>
        </w:rPr>
        <w:t xml:space="preserve">    "lift_share_of_district_yield": 0.821,</w:t>
      </w:r>
    </w:p>
    <w:p>
      <w:pPr>
        <w:spacing w:before="0" w:after="0" w:line="240" w:lineRule="auto"/>
        <w:ind w:left="230"/>
        <w:shd w:val="clear" w:fill="F4F5F7"/>
      </w:pPr>
      <w:r>
        <w:rPr>
          <w:rFonts w:ascii="Consolas" w:hAnsi="Consolas"/>
          <w:sz w:val="17"/>
        </w:rPr>
        <w:t xml:space="preserve">    "district_mean_yield_kg_ph": 2982.6,</w:t>
      </w:r>
    </w:p>
    <w:p>
      <w:pPr>
        <w:spacing w:before="0" w:after="0" w:line="240" w:lineRule="auto"/>
        <w:ind w:left="230"/>
        <w:shd w:val="clear" w:fill="F4F5F7"/>
      </w:pPr>
      <w:r>
        <w:rPr>
          <w:rFonts w:ascii="Consolas" w:hAnsi="Consolas"/>
          <w:sz w:val="17"/>
        </w:rPr>
        <w:t xml:space="preserve">    "note": "…"</w:t>
      </w:r>
    </w:p>
    <w:p>
      <w:pPr>
        <w:spacing w:before="0" w:after="0" w:line="240" w:lineRule="auto"/>
        <w:ind w:left="230"/>
        <w:shd w:val="clear" w:fill="F4F5F7"/>
      </w:pPr>
      <w:r>
        <w:rPr>
          <w:rFonts w:ascii="Consolas" w:hAnsi="Consolas"/>
          <w:sz w:val="17"/>
        </w:rPr>
        <w:t xml:space="preserve">  },</w:t>
      </w:r>
    </w:p>
    <w:p>
      <w:pPr>
        <w:spacing w:before="0" w:after="0" w:line="240" w:lineRule="auto"/>
        <w:ind w:left="230"/>
        <w:shd w:val="clear" w:fill="F4F5F7"/>
      </w:pPr>
      <w:r>
        <w:rPr>
          <w:rFonts w:ascii="Consolas" w:hAnsi="Consolas"/>
          <w:sz w:val="17"/>
        </w:rPr>
        <w:t xml:space="preserve">  "skipped": [ { "lever": "intercropping", "reason": "no change to this lever clears…" } ],</w:t>
      </w:r>
    </w:p>
    <w:p>
      <w:pPr>
        <w:spacing w:before="0" w:after="0" w:line="240" w:lineRule="auto"/>
        <w:ind w:left="230"/>
        <w:shd w:val="clear" w:fill="F4F5F7"/>
      </w:pPr>
      <w:r>
        <w:rPr>
          <w:rFonts w:ascii="Consolas" w:hAnsi="Consolas"/>
          <w:sz w:val="17"/>
        </w:rPr>
        <w:t xml:space="preserve">  "warnings": ["…"],</w:t>
      </w:r>
    </w:p>
    <w:p>
      <w:pPr>
        <w:spacing w:before="0" w:after="0" w:line="240" w:lineRule="auto"/>
        <w:ind w:left="230"/>
        <w:shd w:val="clear" w:fill="F4F5F7"/>
      </w:pPr>
      <w:r>
        <w:rPr>
          <w:rFonts w:ascii="Consolas" w:hAnsi="Consolas"/>
          <w:sz w:val="17"/>
        </w:rPr>
        <w:t xml:space="preserve">  "method_note": "…", "causal_note": "…"</w:t>
      </w:r>
    </w:p>
    <w:p>
      <w:pPr>
        <w:spacing w:before="0" w:after="120" w:line="240" w:lineRule="auto"/>
        <w:ind w:left="230"/>
        <w:shd w:val="clear" w:fill="F4F5F7"/>
      </w:pPr>
      <w:r>
        <w:rPr>
          <w:rFonts w:ascii="Consolas" w:hAnsi="Consolas"/>
          <w:sz w:val="17"/>
        </w:rPr>
        <w:t>}</w:t>
      </w:r>
    </w:p>
    <w:p>
      <w:r>
        <w:rPr>
          <w:b/>
          <w:i w:val="0"/>
          <w:sz w:val="21"/>
        </w:rPr>
        <w:t>How to lay this out</w:t>
      </w:r>
    </w:p>
    <w:p>
      <w:pPr>
        <w:pStyle w:val="ListNumber"/>
      </w:pPr>
      <w:r>
        <w:rPr>
          <w:b/>
          <w:i w:val="0"/>
        </w:rPr>
        <w:t>The list is already ranked</w:t>
      </w:r>
      <w:r>
        <w:rPr>
          <w:b w:val="0"/>
          <w:i w:val="0"/>
        </w:rPr>
        <w:t xml:space="preserve"> by </w:t>
      </w:r>
      <w:r>
        <w:rPr>
          <w:rFonts w:ascii="Consolas" w:hAnsi="Consolas"/>
          <w:b w:val="0"/>
          <w:i w:val="0"/>
          <w:sz w:val="19"/>
        </w:rPr>
        <w:t>rank</w:t>
      </w:r>
      <w:r>
        <w:rPr>
          <w:b w:val="0"/>
          <w:i w:val="0"/>
        </w:rPr>
        <w:t>. Render in order. Do not re-sort.</w:t>
      </w:r>
    </w:p>
    <w:p>
      <w:pPr>
        <w:pStyle w:val="ListNumber"/>
      </w:pPr>
      <w:r>
        <w:rPr>
          <w:rFonts w:ascii="Consolas" w:hAnsi="Consolas"/>
          <w:b/>
          <w:i w:val="0"/>
          <w:sz w:val="19"/>
        </w:rPr>
        <w:t>action</w:t>
      </w:r>
      <w:r>
        <w:rPr>
          <w:b/>
          <w:i w:val="0"/>
        </w:rPr>
        <w:t xml:space="preserve"> is a finished sentence.</w:t>
      </w:r>
      <w:r>
        <w:rPr>
          <w:b w:val="0"/>
          <w:i w:val="0"/>
        </w:rPr>
        <w:t xml:space="preserve"> It already reads "plant a larger share of hybrid seed — 0.95 (now 0)". Show it as the headline of each card. Use </w:t>
      </w:r>
      <w:r>
        <w:rPr>
          <w:rFonts w:ascii="Consolas" w:hAnsi="Consolas"/>
          <w:b w:val="0"/>
          <w:i w:val="0"/>
          <w:sz w:val="19"/>
        </w:rPr>
        <w:t>label</w:t>
      </w:r>
      <w:r>
        <w:rPr>
          <w:b w:val="0"/>
          <w:i w:val="0"/>
        </w:rPr>
        <w:t xml:space="preserve"> for the category chip and </w:t>
      </w:r>
      <w:r>
        <w:rPr>
          <w:rFonts w:ascii="Consolas" w:hAnsi="Consolas"/>
          <w:b w:val="0"/>
          <w:i w:val="0"/>
          <w:sz w:val="19"/>
        </w:rPr>
        <w:t>why</w:t>
      </w:r>
      <w:r>
        <w:rPr>
          <w:b w:val="0"/>
          <w:i w:val="0"/>
        </w:rPr>
        <w:t xml:space="preserve"> for a one-line explanation.</w:t>
      </w:r>
    </w:p>
    <w:p>
      <w:pPr>
        <w:pStyle w:val="ListNumber"/>
      </w:pPr>
      <w:r>
        <w:rPr>
          <w:b/>
          <w:i w:val="0"/>
        </w:rPr>
        <w:t>Show the range, not just the number.</w:t>
      </w:r>
      <w:r>
        <w:rPr>
          <w:b w:val="0"/>
          <w:i w:val="0"/>
        </w:rPr>
        <w:t xml:space="preserve"> </w:t>
      </w:r>
      <w:r>
        <w:rPr>
          <w:rFonts w:ascii="Consolas" w:hAnsi="Consolas"/>
          <w:b w:val="0"/>
          <w:i w:val="0"/>
          <w:sz w:val="19"/>
        </w:rPr>
        <w:t>expected_lift_kg_ph</w:t>
      </w:r>
      <w:r>
        <w:rPr>
          <w:b w:val="0"/>
          <w:i w:val="0"/>
        </w:rPr>
        <w:t xml:space="preserve"> with </w:t>
      </w:r>
      <w:r>
        <w:rPr>
          <w:rFonts w:ascii="Consolas" w:hAnsi="Consolas"/>
          <w:b w:val="0"/>
          <w:i w:val="0"/>
          <w:sz w:val="19"/>
        </w:rPr>
        <w:t>lift_low_kg_ph</w:t>
      </w:r>
      <w:r>
        <w:rPr>
          <w:b w:val="0"/>
          <w:i w:val="0"/>
        </w:rPr>
        <w:t xml:space="preserve"> to </w:t>
      </w:r>
      <w:r>
        <w:rPr>
          <w:rFonts w:ascii="Consolas" w:hAnsi="Consolas"/>
          <w:b w:val="0"/>
          <w:i w:val="0"/>
          <w:sz w:val="19"/>
        </w:rPr>
        <w:t>lift_high_kg_ph</w:t>
      </w:r>
      <w:r>
        <w:rPr>
          <w:b w:val="0"/>
          <w:i w:val="0"/>
        </w:rPr>
        <w:t xml:space="preserve"> beside it. A gain of "+586 kg/ha (546–627)" is honest; "+586 kg/ha" alone is not.</w:t>
      </w:r>
    </w:p>
    <w:p>
      <w:pPr>
        <w:pStyle w:val="ListNumber"/>
      </w:pPr>
      <w:r>
        <w:rPr>
          <w:rFonts w:ascii="Consolas" w:hAnsi="Consolas"/>
          <w:b/>
          <w:i w:val="0"/>
          <w:sz w:val="19"/>
        </w:rPr>
        <w:t>lift_share_of_district_yield</w:t>
      </w:r>
      <w:r>
        <w:rPr>
          <w:b w:val="0"/>
          <w:i w:val="0"/>
        </w:rPr>
        <w:t xml:space="preserve"> turns the number into something a farmer feels: "about a 20% increase for this district". Consider leading with it.</w:t>
      </w:r>
    </w:p>
    <w:p>
      <w:pPr>
        <w:pStyle w:val="ListNumber"/>
      </w:pPr>
      <w:r>
        <w:rPr>
          <w:b/>
          <w:i w:val="0"/>
        </w:rPr>
        <w:t>Everything is kg/ha.</w:t>
      </w:r>
      <w:r>
        <w:rPr>
          <w:b w:val="0"/>
          <w:i w:val="0"/>
        </w:rPr>
        <w:t xml:space="preserve"> If your product needs cost or affordability, hold a price table in the client and compute it there. Do not present a service figure as a cost — there isn't one.</w:t>
      </w:r>
    </w:p>
    <w:p>
      <w:pPr>
        <w:pStyle w:val="ListNumber"/>
      </w:pPr>
      <w:r>
        <w:rPr>
          <w:rFonts w:ascii="Consolas" w:hAnsi="Consolas"/>
          <w:b/>
          <w:i w:val="0"/>
          <w:sz w:val="19"/>
        </w:rPr>
        <w:t>evidence.confidence</w:t>
      </w:r>
      <w:r>
        <w:rPr>
          <w:b w:val="0"/>
          <w:i w:val="0"/>
        </w:rPr>
        <w:t xml:space="preserve"> is "high", "medium" or "low". Map it to a badge. Do not hide low-confidence items — show them, marked.</w:t>
      </w:r>
    </w:p>
    <w:p>
      <w:pPr>
        <w:pStyle w:val="ListNumber"/>
      </w:pPr>
      <w:r>
        <w:rPr>
          <w:b/>
          <w:i w:val="0"/>
        </w:rPr>
        <w:t>skipped is not an error list.</w:t>
      </w:r>
      <w:r>
        <w:rPr>
          <w:b w:val="0"/>
          <w:i w:val="0"/>
        </w:rPr>
        <w:t xml:space="preserve"> "No change to this lever clears the evidence threshold" for a plot already doing the right thing is the correct answer. Render it as </w:t>
      </w:r>
      <w:r>
        <w:rPr>
          <w:b w:val="0"/>
          <w:i/>
        </w:rPr>
        <w:t>already good</w:t>
      </w:r>
      <w:r>
        <w:rPr>
          <w:b w:val="0"/>
          <w:i w:val="0"/>
        </w:rPr>
        <w:t>, not as a failure.</w:t>
      </w:r>
    </w:p>
    <w:p>
      <w:pPr>
        <w:pStyle w:val="ListNumber"/>
      </w:pPr>
      <w:r>
        <w:rPr>
          <w:b/>
          <w:i w:val="0"/>
        </w:rPr>
        <w:t>An empty recommendations array is a valid, good result.</w:t>
      </w:r>
      <w:r>
        <w:rPr>
          <w:b w:val="0"/>
          <w:i w:val="0"/>
        </w:rPr>
        <w:t xml:space="preserve"> Show </w:t>
      </w:r>
      <w:r>
        <w:rPr>
          <w:rFonts w:ascii="Consolas" w:hAnsi="Consolas"/>
          <w:b w:val="0"/>
          <w:i w:val="0"/>
          <w:sz w:val="19"/>
        </w:rPr>
        <w:t>bundle.note</w:t>
      </w:r>
      <w:r>
        <w:rPr>
          <w:b w:val="0"/>
          <w:i w:val="0"/>
        </w:rPr>
        <w:t>, which explains it in plain words. Never show "no results" as an error state.</w:t>
      </w:r>
    </w:p>
    <w:p>
      <w:pPr>
        <w:spacing w:before="160" w:after="160"/>
        <w:ind w:left="144"/>
        <w:shd w:val="clear" w:fill="FFF6E5"/>
      </w:pPr>
      <w:r>
        <w:rPr>
          <w:b/>
          <w:color w:val="A61B29"/>
        </w:rPr>
        <w:t xml:space="preserve">current_is_assumed is the flag that protects your users.  </w:t>
      </w:r>
      <w:r>
        <w:t>When it is true, the user did not tell us what the plot currently does, so the comparison was made against the district's median practice. The advice then describes a typical plot in that district, not this one. Mark those cards clearly — "based on typical practice in Bungoma" — and use it to prompt the agent to fill in the missing field. It is the single highest-value nudge in the whole screen.</w:t>
      </w:r>
    </w:p>
    <w:p>
      <w:r>
        <w:rPr>
          <w:b/>
          <w:i w:val="0"/>
          <w:sz w:val="21"/>
        </w:rPr>
        <w:t>The evidence block, in plain words</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fill="1F4E79"/>
          </w:tcPr>
          <w:p>
            <w:r/>
            <w:r>
              <w:rPr>
                <w:b/>
                <w:color w:val="FFFFFF"/>
                <w:sz w:val="18"/>
              </w:rPr>
              <w:t>Field</w:t>
            </w:r>
          </w:p>
        </w:tc>
        <w:tc>
          <w:tcPr>
            <w:tcW w:type="dxa" w:w="4320"/>
            <w:shd w:val="clear" w:fill="1F4E79"/>
          </w:tcPr>
          <w:p>
            <w:r/>
            <w:r>
              <w:rPr>
                <w:b/>
                <w:color w:val="FFFFFF"/>
                <w:sz w:val="18"/>
              </w:rPr>
              <w:t>What it means</w:t>
            </w:r>
          </w:p>
        </w:tc>
        <w:tc>
          <w:tcPr>
            <w:tcW w:type="dxa" w:w="2736"/>
            <w:shd w:val="clear" w:fill="1F4E79"/>
          </w:tcPr>
          <w:p>
            <w:r/>
            <w:r>
              <w:rPr>
                <w:b/>
                <w:color w:val="FFFFFF"/>
                <w:sz w:val="18"/>
              </w:rPr>
              <w:t>Suggested use</w:t>
            </w:r>
          </w:p>
        </w:tc>
      </w:tr>
      <w:tr>
        <w:tc>
          <w:tcPr>
            <w:tcW w:type="dxa" w:w="2880"/>
          </w:tcPr>
          <w:p>
            <w:pPr>
              <w:spacing w:after="40"/>
            </w:pPr>
            <w:r/>
            <w:r>
              <w:rPr>
                <w:rFonts w:ascii="Consolas" w:hAnsi="Consolas"/>
                <w:sz w:val="17"/>
              </w:rPr>
              <w:t>confidence</w:t>
            </w:r>
          </w:p>
        </w:tc>
        <w:tc>
          <w:tcPr>
            <w:tcW w:type="dxa" w:w="4320"/>
          </w:tcPr>
          <w:p>
            <w:pPr>
              <w:spacing w:after="40"/>
            </w:pPr>
            <w:r/>
            <w:r>
              <w:rPr>
                <w:sz w:val="18"/>
              </w:rPr>
              <w:t>high / medium / low, from how strong and how well-supported the estimate is.</w:t>
            </w:r>
          </w:p>
        </w:tc>
        <w:tc>
          <w:tcPr>
            <w:tcW w:type="dxa" w:w="2736"/>
          </w:tcPr>
          <w:p>
            <w:pPr>
              <w:spacing w:after="40"/>
            </w:pPr>
            <w:r/>
            <w:r>
              <w:rPr>
                <w:sz w:val="18"/>
              </w:rPr>
              <w:t>A coloured badge.</w:t>
            </w:r>
          </w:p>
        </w:tc>
      </w:tr>
      <w:tr>
        <w:tc>
          <w:tcPr>
            <w:tcW w:type="dxa" w:w="2880"/>
            <w:shd w:val="clear" w:fill="F4F6F9"/>
          </w:tcPr>
          <w:p>
            <w:pPr>
              <w:spacing w:after="40"/>
            </w:pPr>
            <w:r/>
            <w:r>
              <w:rPr>
                <w:rFonts w:ascii="Consolas" w:hAnsi="Consolas"/>
                <w:sz w:val="17"/>
              </w:rPr>
              <w:t>support_at_target</w:t>
            </w:r>
          </w:p>
        </w:tc>
        <w:tc>
          <w:tcPr>
            <w:tcW w:type="dxa" w:w="4320"/>
            <w:shd w:val="clear" w:fill="F4F6F9"/>
          </w:tcPr>
          <w:p>
            <w:pPr>
              <w:spacing w:after="40"/>
            </w:pPr>
            <w:r/>
            <w:r>
              <w:rPr>
                <w:sz w:val="18"/>
              </w:rPr>
              <w:t>How many real plots were observed doing roughly the recommended thing.</w:t>
            </w:r>
          </w:p>
        </w:tc>
        <w:tc>
          <w:tcPr>
            <w:tcW w:type="dxa" w:w="2736"/>
            <w:shd w:val="clear" w:fill="F4F6F9"/>
          </w:tcPr>
          <w:p>
            <w:pPr>
              <w:spacing w:after="40"/>
            </w:pPr>
            <w:r/>
            <w:r>
              <w:rPr>
                <w:sz w:val="18"/>
              </w:rPr>
              <w:t>"Based on 17,481 similar plots".</w:t>
            </w:r>
          </w:p>
        </w:tc>
      </w:tr>
      <w:tr>
        <w:tc>
          <w:tcPr>
            <w:tcW w:type="dxa" w:w="2880"/>
          </w:tcPr>
          <w:p>
            <w:pPr>
              <w:spacing w:after="40"/>
            </w:pPr>
            <w:r/>
            <w:r>
              <w:rPr>
                <w:rFonts w:ascii="Consolas" w:hAnsi="Consolas"/>
                <w:sz w:val="17"/>
              </w:rPr>
              <w:t>uncontrolled_lift_kg_ph</w:t>
            </w:r>
          </w:p>
        </w:tc>
        <w:tc>
          <w:tcPr>
            <w:tcW w:type="dxa" w:w="4320"/>
          </w:tcPr>
          <w:p>
            <w:pPr>
              <w:spacing w:after="40"/>
            </w:pPr>
            <w:r/>
            <w:r>
              <w:rPr>
                <w:sz w:val="18"/>
              </w:rPr>
              <w:t>The same gain measured without adjusting for who tends to use that input. Always larger.</w:t>
            </w:r>
          </w:p>
        </w:tc>
        <w:tc>
          <w:tcPr>
            <w:tcW w:type="dxa" w:w="2736"/>
          </w:tcPr>
          <w:p>
            <w:pPr>
              <w:spacing w:after="40"/>
            </w:pPr>
            <w:r/>
            <w:r>
              <w:rPr>
                <w:sz w:val="18"/>
              </w:rPr>
              <w:t>Advanced / expandable panel only.</w:t>
            </w:r>
          </w:p>
        </w:tc>
      </w:tr>
      <w:tr>
        <w:tc>
          <w:tcPr>
            <w:tcW w:type="dxa" w:w="2880"/>
            <w:shd w:val="clear" w:fill="F4F6F9"/>
          </w:tcPr>
          <w:p>
            <w:pPr>
              <w:spacing w:after="40"/>
            </w:pPr>
            <w:r/>
            <w:r>
              <w:rPr>
                <w:rFonts w:ascii="Consolas" w:hAnsi="Consolas"/>
                <w:sz w:val="17"/>
              </w:rPr>
              <w:t>control_absorbed_share</w:t>
            </w:r>
          </w:p>
        </w:tc>
        <w:tc>
          <w:tcPr>
            <w:tcW w:type="dxa" w:w="4320"/>
            <w:shd w:val="clear" w:fill="F4F6F9"/>
          </w:tcPr>
          <w:p>
            <w:pPr>
              <w:spacing w:after="40"/>
            </w:pPr>
            <w:r/>
            <w:r>
              <w:rPr>
                <w:sz w:val="18"/>
              </w:rPr>
              <w:t>How much of the raw association was explained away by those adjustments. 0.29 means 29%.</w:t>
            </w:r>
          </w:p>
        </w:tc>
        <w:tc>
          <w:tcPr>
            <w:tcW w:type="dxa" w:w="2736"/>
            <w:shd w:val="clear" w:fill="F4F6F9"/>
          </w:tcPr>
          <w:p>
            <w:pPr>
              <w:spacing w:after="40"/>
            </w:pPr>
            <w:r/>
            <w:r>
              <w:rPr>
                <w:sz w:val="18"/>
              </w:rPr>
              <w:t>Advanced panel.</w:t>
            </w:r>
          </w:p>
        </w:tc>
      </w:tr>
      <w:tr>
        <w:tc>
          <w:tcPr>
            <w:tcW w:type="dxa" w:w="2880"/>
          </w:tcPr>
          <w:p>
            <w:pPr>
              <w:spacing w:after="40"/>
            </w:pPr>
            <w:r/>
            <w:r>
              <w:rPr>
                <w:rFonts w:ascii="Consolas" w:hAnsi="Consolas"/>
                <w:sz w:val="17"/>
              </w:rPr>
              <w:t>trained_to_2019_lift_kg_ph</w:t>
            </w:r>
          </w:p>
        </w:tc>
        <w:tc>
          <w:tcPr>
            <w:tcW w:type="dxa" w:w="4320"/>
          </w:tcPr>
          <w:p>
            <w:pPr>
              <w:spacing w:after="40"/>
            </w:pPr>
            <w:r/>
            <w:r>
              <w:rPr>
                <w:sz w:val="18"/>
              </w:rPr>
              <w:t>The same gain estimated without the most recent season — does it hold up over time?</w:t>
            </w:r>
          </w:p>
        </w:tc>
        <w:tc>
          <w:tcPr>
            <w:tcW w:type="dxa" w:w="2736"/>
          </w:tcPr>
          <w:p>
            <w:pPr>
              <w:spacing w:after="40"/>
            </w:pPr>
            <w:r/>
            <w:r>
              <w:rPr>
                <w:sz w:val="18"/>
              </w:rPr>
              <w:t>Advanced panel.</w:t>
            </w:r>
          </w:p>
        </w:tc>
      </w:tr>
      <w:tr>
        <w:tc>
          <w:tcPr>
            <w:tcW w:type="dxa" w:w="2880"/>
            <w:shd w:val="clear" w:fill="F4F6F9"/>
          </w:tcPr>
          <w:p>
            <w:pPr>
              <w:spacing w:after="40"/>
            </w:pPr>
            <w:r/>
            <w:r>
              <w:rPr>
                <w:rFonts w:ascii="Consolas" w:hAnsi="Consolas"/>
                <w:sz w:val="17"/>
              </w:rPr>
              <w:t>agronomically_plausible</w:t>
            </w:r>
          </w:p>
        </w:tc>
        <w:tc>
          <w:tcPr>
            <w:tcW w:type="dxa" w:w="4320"/>
            <w:shd w:val="clear" w:fill="F4F6F9"/>
          </w:tcPr>
          <w:p>
            <w:pPr>
              <w:spacing w:after="40"/>
            </w:pPr>
            <w:r/>
            <w:r>
              <w:rPr>
                <w:sz w:val="18"/>
              </w:rPr>
              <w:t>Whether the fitted shape matches what agronomy expects.</w:t>
            </w:r>
          </w:p>
        </w:tc>
        <w:tc>
          <w:tcPr>
            <w:tcW w:type="dxa" w:w="2736"/>
            <w:shd w:val="clear" w:fill="F4F6F9"/>
          </w:tcPr>
          <w:p>
            <w:pPr>
              <w:spacing w:after="40"/>
            </w:pPr>
            <w:r/>
            <w:r>
              <w:rPr>
                <w:sz w:val="18"/>
              </w:rPr>
              <w:t>All eight are currently true. Surface it only if one ever turns false.</w:t>
            </w:r>
          </w:p>
        </w:tc>
      </w:tr>
    </w:tbl>
    <w:p>
      <w:pPr>
        <w:spacing w:after="40"/>
      </w:pPr>
    </w:p>
    <w:p>
      <w:pPr>
        <w:pStyle w:val="Heading2"/>
      </w:pPr>
      <w:r>
        <w:t>3.5  Rules for showing this honestly</w:t>
      </w:r>
    </w:p>
    <w:p>
      <w:r>
        <w:rPr>
          <w:b w:val="0"/>
          <w:i w:val="0"/>
        </w:rPr>
        <w:t>These are not stylistic preferences. Field staff will stop trusting the tool if it overstates itself once.</w:t>
      </w:r>
    </w:p>
    <w:p>
      <w:pPr>
        <w:pStyle w:val="ListBullet"/>
      </w:pPr>
      <w:r>
        <w:rPr>
          <w:b/>
          <w:i w:val="0"/>
        </w:rPr>
        <w:t>Always show the interval</w:t>
      </w:r>
      <w:r>
        <w:rPr>
          <w:b w:val="0"/>
          <w:i w:val="0"/>
        </w:rPr>
        <w:t xml:space="preserve"> next to any yield or gain figure.</w:t>
      </w:r>
    </w:p>
    <w:p>
      <w:pPr>
        <w:pStyle w:val="ListBullet"/>
      </w:pPr>
      <w:r>
        <w:rPr>
          <w:b/>
          <w:i w:val="0"/>
        </w:rPr>
        <w:t>Never present a per-plot prediction as a forecast.</w:t>
      </w:r>
      <w:r>
        <w:rPr>
          <w:b w:val="0"/>
          <w:i w:val="0"/>
        </w:rPr>
        <w:t xml:space="preserve"> It is indicative. The district figure is the validated one.</w:t>
      </w:r>
    </w:p>
    <w:p>
      <w:pPr>
        <w:pStyle w:val="ListBullet"/>
      </w:pPr>
      <w:r>
        <w:rPr>
          <w:b/>
          <w:i w:val="0"/>
        </w:rPr>
        <w:t>Always surface warnings.</w:t>
      </w:r>
      <w:r>
        <w:rPr>
          <w:b w:val="0"/>
          <w:i w:val="0"/>
        </w:rPr>
        <w:t xml:space="preserve"> The array is short, written in plain English, and every entry exists because something about that answer needs qualifying.</w:t>
      </w:r>
    </w:p>
    <w:p>
      <w:pPr>
        <w:pStyle w:val="ListBullet"/>
      </w:pPr>
      <w:r>
        <w:rPr>
          <w:b/>
          <w:i w:val="0"/>
        </w:rPr>
        <w:t>Do not sum the recommendations yourself.</w:t>
      </w:r>
      <w:r>
        <w:rPr>
          <w:b w:val="0"/>
          <w:i w:val="0"/>
        </w:rPr>
        <w:t xml:space="preserve"> Use </w:t>
      </w:r>
      <w:r>
        <w:rPr>
          <w:rFonts w:ascii="Consolas" w:hAnsi="Consolas"/>
          <w:b w:val="0"/>
          <w:i w:val="0"/>
          <w:sz w:val="19"/>
        </w:rPr>
        <w:t>bundle.total_expected_lift_kg_ph</w:t>
      </w:r>
      <w:r>
        <w:rPr>
          <w:b w:val="0"/>
          <w:i w:val="0"/>
        </w:rPr>
        <w:t>. The service already warns when a total looks implausibly large relative to what the district actually produces.</w:t>
      </w:r>
    </w:p>
    <w:p>
      <w:pPr>
        <w:pStyle w:val="ListBullet"/>
      </w:pPr>
      <w:r>
        <w:rPr>
          <w:b/>
          <w:i w:val="0"/>
        </w:rPr>
        <w:t>Show causal_note somewhere reachable.</w:t>
      </w:r>
      <w:r>
        <w:rPr>
          <w:b w:val="0"/>
          <w:i w:val="0"/>
        </w:rPr>
        <w:t xml:space="preserve"> These are strong associations from observational survey data, not results from a controlled trial. The wording is supplied; put it behind an info icon at minimum.</w:t>
      </w:r>
    </w:p>
    <w:p>
      <w:pPr>
        <w:pStyle w:val="ListBullet"/>
      </w:pPr>
      <w:r>
        <w:rPr>
          <w:b/>
          <w:i w:val="0"/>
        </w:rPr>
        <w:t>Round for display.</w:t>
      </w:r>
      <w:r>
        <w:rPr>
          <w:b w:val="0"/>
          <w:i w:val="0"/>
        </w:rPr>
        <w:t xml:space="preserve"> "About +590 kg/ha" reads better than 586.4 and is more honest about the precision.</w:t>
      </w:r>
    </w:p>
    <w:p>
      <w:pPr>
        <w:pStyle w:val="Heading2"/>
      </w:pPr>
      <w:r>
        <w:t>3.6  Errors</w:t>
      </w:r>
    </w:p>
    <w:tbl>
      <w:tblPr>
        <w:tblStyle w:val="TableGrid"/>
        <w:tblW w:type="auto" w:w="0"/>
        <w:jc w:val="left"/>
        <w:tblLook w:firstColumn="1" w:firstRow="1" w:lastColumn="0" w:lastRow="0" w:noHBand="0" w:noVBand="1" w:val="04A0"/>
      </w:tblPr>
      <w:tblGrid>
        <w:gridCol w:w="3216"/>
        <w:gridCol w:w="3216"/>
        <w:gridCol w:w="3216"/>
      </w:tblGrid>
      <w:tr>
        <w:tc>
          <w:tcPr>
            <w:tcW w:type="dxa" w:w="1008"/>
            <w:shd w:val="clear" w:fill="1F4E79"/>
          </w:tcPr>
          <w:p>
            <w:r/>
            <w:r>
              <w:rPr>
                <w:b/>
                <w:color w:val="FFFFFF"/>
                <w:sz w:val="18"/>
              </w:rPr>
              <w:t>Status</w:t>
            </w:r>
          </w:p>
        </w:tc>
        <w:tc>
          <w:tcPr>
            <w:tcW w:type="dxa" w:w="4320"/>
            <w:shd w:val="clear" w:fill="1F4E79"/>
          </w:tcPr>
          <w:p>
            <w:r/>
            <w:r>
              <w:rPr>
                <w:b/>
                <w:color w:val="FFFFFF"/>
                <w:sz w:val="18"/>
              </w:rPr>
              <w:t>Meaning</w:t>
            </w:r>
          </w:p>
        </w:tc>
        <w:tc>
          <w:tcPr>
            <w:tcW w:type="dxa" w:w="4608"/>
            <w:shd w:val="clear" w:fill="1F4E79"/>
          </w:tcPr>
          <w:p>
            <w:r/>
            <w:r>
              <w:rPr>
                <w:b/>
                <w:color w:val="FFFFFF"/>
                <w:sz w:val="18"/>
              </w:rPr>
              <w:t>What the UI should do</w:t>
            </w:r>
          </w:p>
        </w:tc>
      </w:tr>
      <w:tr>
        <w:tc>
          <w:tcPr>
            <w:tcW w:type="dxa" w:w="1008"/>
          </w:tcPr>
          <w:p>
            <w:pPr>
              <w:spacing w:after="40"/>
            </w:pPr>
            <w:r/>
            <w:r>
              <w:rPr>
                <w:rFonts w:ascii="Consolas" w:hAnsi="Consolas"/>
                <w:sz w:val="17"/>
              </w:rPr>
              <w:t>200</w:t>
            </w:r>
          </w:p>
        </w:tc>
        <w:tc>
          <w:tcPr>
            <w:tcW w:type="dxa" w:w="4320"/>
          </w:tcPr>
          <w:p>
            <w:pPr>
              <w:spacing w:after="40"/>
            </w:pPr>
            <w:r/>
            <w:r>
              <w:rPr>
                <w:sz w:val="18"/>
              </w:rPr>
              <w:t>Success — including a success with zero recommendations.</w:t>
            </w:r>
          </w:p>
        </w:tc>
        <w:tc>
          <w:tcPr>
            <w:tcW w:type="dxa" w:w="4608"/>
          </w:tcPr>
          <w:p>
            <w:pPr>
              <w:spacing w:after="40"/>
            </w:pPr>
            <w:r/>
            <w:r>
              <w:rPr>
                <w:sz w:val="18"/>
              </w:rPr>
              <w:t>Render normally.</w:t>
            </w:r>
          </w:p>
        </w:tc>
      </w:tr>
      <w:tr>
        <w:tc>
          <w:tcPr>
            <w:tcW w:type="dxa" w:w="1008"/>
            <w:shd w:val="clear" w:fill="F4F6F9"/>
          </w:tcPr>
          <w:p>
            <w:pPr>
              <w:spacing w:after="40"/>
            </w:pPr>
            <w:r/>
            <w:r>
              <w:rPr>
                <w:rFonts w:ascii="Consolas" w:hAnsi="Consolas"/>
                <w:sz w:val="17"/>
              </w:rPr>
              <w:t>422</w:t>
            </w:r>
          </w:p>
        </w:tc>
        <w:tc>
          <w:tcPr>
            <w:tcW w:type="dxa" w:w="4320"/>
            <w:shd w:val="clear" w:fill="F4F6F9"/>
          </w:tcPr>
          <w:p>
            <w:pPr>
              <w:spacing w:after="40"/>
            </w:pPr>
            <w:r/>
            <w:r>
              <w:rPr>
                <w:sz w:val="18"/>
              </w:rPr>
              <w:t>The request was malformed: missing district, a negative rate, an unknown field name, an unknown lever, or more than 500 plots.</w:t>
            </w:r>
          </w:p>
        </w:tc>
        <w:tc>
          <w:tcPr>
            <w:tcW w:type="dxa" w:w="4608"/>
            <w:shd w:val="clear" w:fill="F4F6F9"/>
          </w:tcPr>
          <w:p>
            <w:pPr>
              <w:spacing w:after="40"/>
            </w:pPr>
            <w:r/>
            <w:r>
              <w:rPr>
                <w:sz w:val="18"/>
              </w:rPr>
              <w:t>Show the `detail` string. It names the problem field, and for levers it lists the valid names.</w:t>
            </w:r>
          </w:p>
        </w:tc>
      </w:tr>
      <w:tr>
        <w:tc>
          <w:tcPr>
            <w:tcW w:type="dxa" w:w="1008"/>
          </w:tcPr>
          <w:p>
            <w:pPr>
              <w:spacing w:after="40"/>
            </w:pPr>
            <w:r/>
            <w:r>
              <w:rPr>
                <w:rFonts w:ascii="Consolas" w:hAnsi="Consolas"/>
                <w:sz w:val="17"/>
              </w:rPr>
              <w:t>503</w:t>
            </w:r>
          </w:p>
        </w:tc>
        <w:tc>
          <w:tcPr>
            <w:tcW w:type="dxa" w:w="4320"/>
          </w:tcPr>
          <w:p>
            <w:pPr>
              <w:spacing w:after="40"/>
            </w:pPr>
            <w:r/>
            <w:r>
              <w:rPr>
                <w:sz w:val="18"/>
              </w:rPr>
              <w:t>A server-side artefact is missing. Not your fault and not the user's.</w:t>
            </w:r>
          </w:p>
        </w:tc>
        <w:tc>
          <w:tcPr>
            <w:tcW w:type="dxa" w:w="4608"/>
          </w:tcPr>
          <w:p>
            <w:pPr>
              <w:spacing w:after="40"/>
            </w:pPr>
            <w:r/>
            <w:r>
              <w:rPr>
                <w:sz w:val="18"/>
              </w:rPr>
              <w:t>"The service is not fully configured" plus a retry. Alert the deployment owner. The detail string says which file is missing.</w:t>
            </w:r>
          </w:p>
        </w:tc>
      </w:tr>
      <w:tr>
        <w:tc>
          <w:tcPr>
            <w:tcW w:type="dxa" w:w="1008"/>
            <w:shd w:val="clear" w:fill="F4F6F9"/>
          </w:tcPr>
          <w:p>
            <w:pPr>
              <w:spacing w:after="40"/>
            </w:pPr>
            <w:r/>
            <w:r>
              <w:rPr>
                <w:rFonts w:ascii="Consolas" w:hAnsi="Consolas"/>
                <w:sz w:val="17"/>
              </w:rPr>
              <w:t>500</w:t>
            </w:r>
          </w:p>
        </w:tc>
        <w:tc>
          <w:tcPr>
            <w:tcW w:type="dxa" w:w="4320"/>
            <w:shd w:val="clear" w:fill="F4F6F9"/>
          </w:tcPr>
          <w:p>
            <w:pPr>
              <w:spacing w:after="40"/>
            </w:pPr>
            <w:r/>
            <w:r>
              <w:rPr>
                <w:sz w:val="18"/>
              </w:rPr>
              <w:t>Unexpected failure during scoring.</w:t>
            </w:r>
          </w:p>
        </w:tc>
        <w:tc>
          <w:tcPr>
            <w:tcW w:type="dxa" w:w="4608"/>
            <w:shd w:val="clear" w:fill="F4F6F9"/>
          </w:tcPr>
          <w:p>
            <w:pPr>
              <w:spacing w:after="40"/>
            </w:pPr>
            <w:r/>
            <w:r>
              <w:rPr>
                <w:sz w:val="18"/>
              </w:rPr>
              <w:t>Generic error, log the detail, retry once.</w:t>
            </w:r>
          </w:p>
        </w:tc>
      </w:tr>
    </w:tbl>
    <w:p>
      <w:pPr>
        <w:spacing w:after="40"/>
      </w:pPr>
    </w:p>
    <w:p>
      <w:r>
        <w:rPr>
          <w:b w:val="0"/>
          <w:i w:val="0"/>
        </w:rPr>
        <w:t xml:space="preserve">Every error body has the same shape: </w:t>
      </w:r>
      <w:r>
        <w:rPr>
          <w:rFonts w:ascii="Consolas" w:hAnsi="Consolas"/>
          <w:b w:val="0"/>
          <w:i w:val="0"/>
          <w:sz w:val="19"/>
        </w:rPr>
        <w:t>{ "detail": "human-readable message" }</w:t>
      </w:r>
      <w:r>
        <w:rPr>
          <w:b w:val="0"/>
          <w:i w:val="0"/>
        </w:rPr>
        <w:t>. The messages are written to be shown to a person.</w:t>
      </w:r>
    </w:p>
    <w:p>
      <w:pPr>
        <w:spacing w:before="160" w:after="160"/>
        <w:ind w:left="144"/>
        <w:shd w:val="clear" w:fill="EAF5EE"/>
      </w:pPr>
      <w:r>
        <w:rPr>
          <w:b/>
          <w:color w:val="0E6B63"/>
        </w:rPr>
        <w:t xml:space="preserve">An unknown district is not an error.  </w:t>
      </w:r>
      <w:r>
        <w:t>Send any district name. If the model has not seen it, you still get a 200 with results, district_known: false, and a warning. Do not validate district names client-side into a hard block — use the districts list for a typeahead instead.</w:t>
      </w:r>
    </w:p>
    <w:p>
      <w:pPr>
        <w:pStyle w:val="Heading2"/>
      </w:pPr>
      <w:r>
        <w:t>3.7  A suggested screen flow</w:t>
      </w:r>
    </w:p>
    <w:p>
      <w:pPr>
        <w:pStyle w:val="ListNumber"/>
      </w:pPr>
      <w:r>
        <w:rPr>
          <w:b/>
          <w:i w:val="0"/>
        </w:rPr>
        <w:t>Plot profile.</w:t>
      </w:r>
      <w:r>
        <w:rPr>
          <w:b w:val="0"/>
          <w:i w:val="0"/>
        </w:rPr>
        <w:t xml:space="preserve"> One form, built from /reference/input-schema. District typeahead required; everything else optional and clearly marked so. A completeness meter driven by how many fields are filled.</w:t>
      </w:r>
    </w:p>
    <w:p>
      <w:pPr>
        <w:pStyle w:val="ListNumber"/>
      </w:pPr>
      <w:r>
        <w:rPr>
          <w:b/>
          <w:i w:val="0"/>
        </w:rPr>
        <w:t>Result screen, two tabs.</w:t>
      </w:r>
      <w:r>
        <w:rPr>
          <w:b w:val="0"/>
          <w:i w:val="0"/>
        </w:rPr>
        <w:t xml:space="preserve"> </w:t>
      </w:r>
      <w:r>
        <w:rPr>
          <w:b w:val="0"/>
          <w:i/>
        </w:rPr>
        <w:t>Yield</w:t>
      </w:r>
      <w:r>
        <w:rPr>
          <w:b w:val="0"/>
          <w:i w:val="0"/>
        </w:rPr>
        <w:t xml:space="preserve"> (from /predict) and </w:t>
      </w:r>
      <w:r>
        <w:rPr>
          <w:b w:val="0"/>
          <w:i/>
        </w:rPr>
        <w:t>What to change</w:t>
      </w:r>
      <w:r>
        <w:rPr>
          <w:b w:val="0"/>
          <w:i w:val="0"/>
        </w:rPr>
        <w:t xml:space="preserve"> (from /recommend). Most field agents will live in the second.</w:t>
      </w:r>
    </w:p>
    <w:p>
      <w:pPr>
        <w:pStyle w:val="ListNumber"/>
      </w:pPr>
      <w:r>
        <w:rPr>
          <w:b/>
          <w:i w:val="0"/>
        </w:rPr>
        <w:t>Lever and threshold controls</w:t>
      </w:r>
      <w:r>
        <w:rPr>
          <w:b w:val="0"/>
          <w:i w:val="0"/>
        </w:rPr>
        <w:t xml:space="preserve"> on the recommendation tab: which levers the agent can actually act on today, and a "only show me changes worth more than X" slider driven by min_lift_kg_ph. Re-request on change — the call is fast and needs no model.</w:t>
      </w:r>
    </w:p>
    <w:p>
      <w:pPr>
        <w:pStyle w:val="ListNumber"/>
      </w:pPr>
      <w:r>
        <w:rPr>
          <w:b/>
          <w:i w:val="0"/>
        </w:rPr>
        <w:t>Recommendation cards</w:t>
      </w:r>
      <w:r>
        <w:rPr>
          <w:b w:val="0"/>
          <w:i w:val="0"/>
        </w:rPr>
        <w:t xml:space="preserve"> in rank order: action headline, gain with range and percentage of district yield, confidence badge, and an expandable evidence panel.</w:t>
      </w:r>
    </w:p>
    <w:p>
      <w:pPr>
        <w:pStyle w:val="ListNumber"/>
      </w:pPr>
      <w:r>
        <w:rPr>
          <w:b/>
          <w:i w:val="0"/>
        </w:rPr>
        <w:t>An "already doing well" section</w:t>
      </w:r>
      <w:r>
        <w:rPr>
          <w:b w:val="0"/>
          <w:i w:val="0"/>
        </w:rPr>
        <w:t xml:space="preserve"> built from </w:t>
      </w:r>
      <w:r>
        <w:rPr>
          <w:rFonts w:ascii="Consolas" w:hAnsi="Consolas"/>
          <w:b w:val="0"/>
          <w:i w:val="0"/>
          <w:sz w:val="19"/>
        </w:rPr>
        <w:t>skipped</w:t>
      </w:r>
      <w:r>
        <w:rPr>
          <w:b w:val="0"/>
          <w:i w:val="0"/>
        </w:rPr>
        <w:t>. It is genuinely reassuring, and it stops the screen looking empty for a good farmer.</w:t>
      </w:r>
    </w:p>
    <w:p>
      <w:r>
        <w:br w:type="page"/>
      </w:r>
    </w:p>
    <w:p>
      <w:pPr>
        <w:pStyle w:val="Heading1"/>
      </w:pPr>
      <w:r>
        <w:t>Part 4 · Reference tables</w:t>
      </w:r>
    </w:p>
    <w:p>
      <w:pPr>
        <w:pStyle w:val="Heading2"/>
      </w:pPr>
      <w:r>
        <w:t>4.1  Every endpoint</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fill="1F4E79"/>
          </w:tcPr>
          <w:p>
            <w:r/>
            <w:r>
              <w:rPr>
                <w:b/>
                <w:color w:val="FFFFFF"/>
                <w:sz w:val="18"/>
              </w:rPr>
              <w:t>Method &amp; path</w:t>
            </w:r>
          </w:p>
        </w:tc>
        <w:tc>
          <w:tcPr>
            <w:tcW w:type="dxa" w:w="5328"/>
            <w:shd w:val="clear" w:fill="1F4E79"/>
          </w:tcPr>
          <w:p>
            <w:r/>
            <w:r>
              <w:rPr>
                <w:b/>
                <w:color w:val="FFFFFF"/>
                <w:sz w:val="18"/>
              </w:rPr>
              <w:t>Purpose</w:t>
            </w:r>
          </w:p>
        </w:tc>
        <w:tc>
          <w:tcPr>
            <w:tcW w:type="dxa" w:w="1296"/>
            <w:shd w:val="clear" w:fill="1F4E79"/>
          </w:tcPr>
          <w:p>
            <w:r/>
            <w:r>
              <w:rPr>
                <w:b/>
                <w:color w:val="FFFFFF"/>
                <w:sz w:val="18"/>
              </w:rPr>
              <w:t>Needs model?</w:t>
            </w:r>
          </w:p>
        </w:tc>
      </w:tr>
      <w:tr>
        <w:tc>
          <w:tcPr>
            <w:tcW w:type="dxa" w:w="3312"/>
          </w:tcPr>
          <w:p>
            <w:pPr>
              <w:spacing w:after="40"/>
            </w:pPr>
            <w:r/>
            <w:r>
              <w:rPr>
                <w:rFonts w:ascii="Consolas" w:hAnsi="Consolas"/>
                <w:sz w:val="17"/>
              </w:rPr>
              <w:t>GET /</w:t>
            </w:r>
          </w:p>
        </w:tc>
        <w:tc>
          <w:tcPr>
            <w:tcW w:type="dxa" w:w="5328"/>
          </w:tcPr>
          <w:p>
            <w:pPr>
              <w:spacing w:after="40"/>
            </w:pPr>
            <w:r/>
            <w:r>
              <w:rPr>
                <w:sz w:val="18"/>
              </w:rPr>
              <w:t>Service index — lists every endpoint. Good connectivity check.</w:t>
            </w:r>
          </w:p>
        </w:tc>
        <w:tc>
          <w:tcPr>
            <w:tcW w:type="dxa" w:w="1296"/>
          </w:tcPr>
          <w:p>
            <w:pPr>
              <w:spacing w:after="40"/>
            </w:pPr>
            <w:r/>
            <w:r>
              <w:rPr>
                <w:sz w:val="18"/>
              </w:rPr>
              <w:t>No</w:t>
            </w:r>
          </w:p>
        </w:tc>
      </w:tr>
      <w:tr>
        <w:tc>
          <w:tcPr>
            <w:tcW w:type="dxa" w:w="3312"/>
            <w:shd w:val="clear" w:fill="F4F6F9"/>
          </w:tcPr>
          <w:p>
            <w:pPr>
              <w:spacing w:after="40"/>
            </w:pPr>
            <w:r/>
            <w:r>
              <w:rPr>
                <w:rFonts w:ascii="Consolas" w:hAnsi="Consolas"/>
                <w:sz w:val="17"/>
              </w:rPr>
              <w:t>GET /health</w:t>
            </w:r>
          </w:p>
        </w:tc>
        <w:tc>
          <w:tcPr>
            <w:tcW w:type="dxa" w:w="5328"/>
            <w:shd w:val="clear" w:fill="F4F6F9"/>
          </w:tcPr>
          <w:p>
            <w:pPr>
              <w:spacing w:after="40"/>
            </w:pPr>
            <w:r/>
            <w:r>
              <w:rPr>
                <w:sz w:val="18"/>
              </w:rPr>
              <w:t>Liveness. Answers even with nothing configured.</w:t>
            </w:r>
          </w:p>
        </w:tc>
        <w:tc>
          <w:tcPr>
            <w:tcW w:type="dxa" w:w="1296"/>
            <w:shd w:val="clear" w:fill="F4F6F9"/>
          </w:tcPr>
          <w:p>
            <w:pPr>
              <w:spacing w:after="40"/>
            </w:pPr>
            <w:r/>
            <w:r>
              <w:rPr>
                <w:sz w:val="18"/>
              </w:rPr>
              <w:t>No</w:t>
            </w:r>
          </w:p>
        </w:tc>
      </w:tr>
      <w:tr>
        <w:tc>
          <w:tcPr>
            <w:tcW w:type="dxa" w:w="3312"/>
          </w:tcPr>
          <w:p>
            <w:pPr>
              <w:spacing w:after="40"/>
            </w:pPr>
            <w:r/>
            <w:r>
              <w:rPr>
                <w:rFonts w:ascii="Consolas" w:hAnsi="Consolas"/>
                <w:sz w:val="17"/>
              </w:rPr>
              <w:t>GET /ready</w:t>
            </w:r>
          </w:p>
        </w:tc>
        <w:tc>
          <w:tcPr>
            <w:tcW w:type="dxa" w:w="5328"/>
          </w:tcPr>
          <w:p>
            <w:pPr>
              <w:spacing w:after="40"/>
            </w:pPr>
            <w:r/>
            <w:r>
              <w:rPr>
                <w:sz w:val="18"/>
              </w:rPr>
              <w:t>Readiness — 200 only when defaults are present and the model loads.</w:t>
            </w:r>
          </w:p>
        </w:tc>
        <w:tc>
          <w:tcPr>
            <w:tcW w:type="dxa" w:w="1296"/>
          </w:tcPr>
          <w:p>
            <w:pPr>
              <w:spacing w:after="40"/>
            </w:pPr>
            <w:r/>
            <w:r>
              <w:rPr>
                <w:sz w:val="18"/>
              </w:rPr>
              <w:t>Yes</w:t>
            </w:r>
          </w:p>
        </w:tc>
      </w:tr>
      <w:tr>
        <w:tc>
          <w:tcPr>
            <w:tcW w:type="dxa" w:w="3312"/>
            <w:shd w:val="clear" w:fill="F4F6F9"/>
          </w:tcPr>
          <w:p>
            <w:pPr>
              <w:spacing w:after="40"/>
            </w:pPr>
            <w:r/>
            <w:r>
              <w:rPr>
                <w:rFonts w:ascii="Consolas" w:hAnsi="Consolas"/>
                <w:sz w:val="17"/>
              </w:rPr>
              <w:t>POST /api/v1/predict</w:t>
            </w:r>
          </w:p>
        </w:tc>
        <w:tc>
          <w:tcPr>
            <w:tcW w:type="dxa" w:w="5328"/>
            <w:shd w:val="clear" w:fill="F4F6F9"/>
          </w:tcPr>
          <w:p>
            <w:pPr>
              <w:spacing w:after="40"/>
            </w:pPr>
            <w:r/>
            <w:r>
              <w:rPr>
                <w:sz w:val="18"/>
              </w:rPr>
              <w:t>Predict yield for up to 500 plots and their district averages.</w:t>
            </w:r>
          </w:p>
        </w:tc>
        <w:tc>
          <w:tcPr>
            <w:tcW w:type="dxa" w:w="1296"/>
            <w:shd w:val="clear" w:fill="F4F6F9"/>
          </w:tcPr>
          <w:p>
            <w:pPr>
              <w:spacing w:after="40"/>
            </w:pPr>
            <w:r/>
            <w:r>
              <w:rPr>
                <w:sz w:val="18"/>
              </w:rPr>
              <w:t>Yes</w:t>
            </w:r>
          </w:p>
        </w:tc>
      </w:tr>
      <w:tr>
        <w:tc>
          <w:tcPr>
            <w:tcW w:type="dxa" w:w="3312"/>
          </w:tcPr>
          <w:p>
            <w:pPr>
              <w:spacing w:after="40"/>
            </w:pPr>
            <w:r/>
            <w:r>
              <w:rPr>
                <w:rFonts w:ascii="Consolas" w:hAnsi="Consolas"/>
                <w:sz w:val="17"/>
              </w:rPr>
              <w:t>POST /api/v1/recommend</w:t>
            </w:r>
          </w:p>
        </w:tc>
        <w:tc>
          <w:tcPr>
            <w:tcW w:type="dxa" w:w="5328"/>
          </w:tcPr>
          <w:p>
            <w:pPr>
              <w:spacing w:after="40"/>
            </w:pPr>
            <w:r/>
            <w:r>
              <w:rPr>
                <w:sz w:val="18"/>
              </w:rPr>
              <w:t>Ranked advice for one plot, in kg/ha.</w:t>
            </w:r>
          </w:p>
        </w:tc>
        <w:tc>
          <w:tcPr>
            <w:tcW w:type="dxa" w:w="1296"/>
          </w:tcPr>
          <w:p>
            <w:pPr>
              <w:spacing w:after="40"/>
            </w:pPr>
            <w:r/>
            <w:r>
              <w:rPr>
                <w:sz w:val="18"/>
              </w:rPr>
              <w:t>No</w:t>
            </w:r>
          </w:p>
        </w:tc>
      </w:tr>
      <w:tr>
        <w:tc>
          <w:tcPr>
            <w:tcW w:type="dxa" w:w="3312"/>
            <w:shd w:val="clear" w:fill="F4F6F9"/>
          </w:tcPr>
          <w:p>
            <w:pPr>
              <w:spacing w:after="40"/>
            </w:pPr>
            <w:r/>
            <w:r>
              <w:rPr>
                <w:rFonts w:ascii="Consolas" w:hAnsi="Consolas"/>
                <w:sz w:val="17"/>
              </w:rPr>
              <w:t>GET /api/v1/model/summary</w:t>
            </w:r>
          </w:p>
        </w:tc>
        <w:tc>
          <w:tcPr>
            <w:tcW w:type="dxa" w:w="5328"/>
            <w:shd w:val="clear" w:fill="F4F6F9"/>
          </w:tcPr>
          <w:p>
            <w:pPr>
              <w:spacing w:after="40"/>
            </w:pPr>
            <w:r/>
            <w:r>
              <w:rPr>
                <w:sz w:val="18"/>
              </w:rPr>
              <w:t>Model version, training seasons, measured accuracy, stated limits.</w:t>
            </w:r>
          </w:p>
        </w:tc>
        <w:tc>
          <w:tcPr>
            <w:tcW w:type="dxa" w:w="1296"/>
            <w:shd w:val="clear" w:fill="F4F6F9"/>
          </w:tcPr>
          <w:p>
            <w:pPr>
              <w:spacing w:after="40"/>
            </w:pPr>
            <w:r/>
            <w:r>
              <w:rPr>
                <w:sz w:val="18"/>
              </w:rPr>
              <w:t>No</w:t>
            </w:r>
          </w:p>
        </w:tc>
      </w:tr>
      <w:tr>
        <w:tc>
          <w:tcPr>
            <w:tcW w:type="dxa" w:w="3312"/>
          </w:tcPr>
          <w:p>
            <w:pPr>
              <w:spacing w:after="40"/>
            </w:pPr>
            <w:r/>
            <w:r>
              <w:rPr>
                <w:rFonts w:ascii="Consolas" w:hAnsi="Consolas"/>
                <w:sz w:val="17"/>
              </w:rPr>
              <w:t>GET /api/v1/reference/districts</w:t>
            </w:r>
          </w:p>
        </w:tc>
        <w:tc>
          <w:tcPr>
            <w:tcW w:type="dxa" w:w="5328"/>
          </w:tcPr>
          <w:p>
            <w:pPr>
              <w:spacing w:after="40"/>
            </w:pPr>
            <w:r/>
            <w:r>
              <w:rPr>
                <w:sz w:val="18"/>
              </w:rPr>
              <w:t>The 51 known districts and available seasons.</w:t>
            </w:r>
          </w:p>
        </w:tc>
        <w:tc>
          <w:tcPr>
            <w:tcW w:type="dxa" w:w="1296"/>
          </w:tcPr>
          <w:p>
            <w:pPr>
              <w:spacing w:after="40"/>
            </w:pPr>
            <w:r/>
            <w:r>
              <w:rPr>
                <w:sz w:val="18"/>
              </w:rPr>
              <w:t>No</w:t>
            </w:r>
          </w:p>
        </w:tc>
      </w:tr>
      <w:tr>
        <w:tc>
          <w:tcPr>
            <w:tcW w:type="dxa" w:w="3312"/>
            <w:shd w:val="clear" w:fill="F4F6F9"/>
          </w:tcPr>
          <w:p>
            <w:pPr>
              <w:spacing w:after="40"/>
            </w:pPr>
            <w:r/>
            <w:r>
              <w:rPr>
                <w:rFonts w:ascii="Consolas" w:hAnsi="Consolas"/>
                <w:sz w:val="17"/>
              </w:rPr>
              <w:t>GET /api/v1/reference/seed-types</w:t>
            </w:r>
          </w:p>
        </w:tc>
        <w:tc>
          <w:tcPr>
            <w:tcW w:type="dxa" w:w="5328"/>
            <w:shd w:val="clear" w:fill="F4F6F9"/>
          </w:tcPr>
          <w:p>
            <w:pPr>
              <w:spacing w:after="40"/>
            </w:pPr>
            <w:r/>
            <w:r>
              <w:rPr>
                <w:sz w:val="18"/>
              </w:rPr>
              <w:t>Seed categories, varieties, intercrop species.</w:t>
            </w:r>
          </w:p>
        </w:tc>
        <w:tc>
          <w:tcPr>
            <w:tcW w:type="dxa" w:w="1296"/>
            <w:shd w:val="clear" w:fill="F4F6F9"/>
          </w:tcPr>
          <w:p>
            <w:pPr>
              <w:spacing w:after="40"/>
            </w:pPr>
            <w:r/>
            <w:r>
              <w:rPr>
                <w:sz w:val="18"/>
              </w:rPr>
              <w:t>No</w:t>
            </w:r>
          </w:p>
        </w:tc>
      </w:tr>
      <w:tr>
        <w:tc>
          <w:tcPr>
            <w:tcW w:type="dxa" w:w="3312"/>
          </w:tcPr>
          <w:p>
            <w:pPr>
              <w:spacing w:after="40"/>
            </w:pPr>
            <w:r/>
            <w:r>
              <w:rPr>
                <w:rFonts w:ascii="Consolas" w:hAnsi="Consolas"/>
                <w:sz w:val="17"/>
              </w:rPr>
              <w:t>GET /api/v1/reference/input-schema</w:t>
            </w:r>
          </w:p>
        </w:tc>
        <w:tc>
          <w:tcPr>
            <w:tcW w:type="dxa" w:w="5328"/>
          </w:tcPr>
          <w:p>
            <w:pPr>
              <w:spacing w:after="40"/>
            </w:pPr>
            <w:r/>
            <w:r>
              <w:rPr>
                <w:sz w:val="18"/>
              </w:rPr>
              <w:t>Every input field with type, unit, allowed values, observed range.</w:t>
            </w:r>
          </w:p>
        </w:tc>
        <w:tc>
          <w:tcPr>
            <w:tcW w:type="dxa" w:w="1296"/>
          </w:tcPr>
          <w:p>
            <w:pPr>
              <w:spacing w:after="40"/>
            </w:pPr>
            <w:r/>
            <w:r>
              <w:rPr>
                <w:sz w:val="18"/>
              </w:rPr>
              <w:t>No</w:t>
            </w:r>
          </w:p>
        </w:tc>
      </w:tr>
      <w:tr>
        <w:tc>
          <w:tcPr>
            <w:tcW w:type="dxa" w:w="3312"/>
            <w:shd w:val="clear" w:fill="F4F6F9"/>
          </w:tcPr>
          <w:p>
            <w:pPr>
              <w:spacing w:after="40"/>
            </w:pPr>
            <w:r/>
            <w:r>
              <w:rPr>
                <w:rFonts w:ascii="Consolas" w:hAnsi="Consolas"/>
                <w:sz w:val="17"/>
              </w:rPr>
              <w:t>GET /api/v1/reference/levers</w:t>
            </w:r>
          </w:p>
        </w:tc>
        <w:tc>
          <w:tcPr>
            <w:tcW w:type="dxa" w:w="5328"/>
            <w:shd w:val="clear" w:fill="F4F6F9"/>
          </w:tcPr>
          <w:p>
            <w:pPr>
              <w:spacing w:after="40"/>
            </w:pPr>
            <w:r/>
            <w:r>
              <w:rPr>
                <w:sz w:val="18"/>
              </w:rPr>
              <w:t>The eight controllable levers advice can cover.</w:t>
            </w:r>
          </w:p>
        </w:tc>
        <w:tc>
          <w:tcPr>
            <w:tcW w:type="dxa" w:w="1296"/>
            <w:shd w:val="clear" w:fill="F4F6F9"/>
          </w:tcPr>
          <w:p>
            <w:pPr>
              <w:spacing w:after="40"/>
            </w:pPr>
            <w:r/>
            <w:r>
              <w:rPr>
                <w:sz w:val="18"/>
              </w:rPr>
              <w:t>No</w:t>
            </w:r>
          </w:p>
        </w:tc>
      </w:tr>
      <w:tr>
        <w:tc>
          <w:tcPr>
            <w:tcW w:type="dxa" w:w="3312"/>
          </w:tcPr>
          <w:p>
            <w:pPr>
              <w:spacing w:after="40"/>
            </w:pPr>
            <w:r/>
            <w:r>
              <w:rPr>
                <w:rFonts w:ascii="Consolas" w:hAnsi="Consolas"/>
                <w:sz w:val="17"/>
              </w:rPr>
              <w:t>GET /docs</w:t>
            </w:r>
          </w:p>
        </w:tc>
        <w:tc>
          <w:tcPr>
            <w:tcW w:type="dxa" w:w="5328"/>
          </w:tcPr>
          <w:p>
            <w:pPr>
              <w:spacing w:after="40"/>
            </w:pPr>
            <w:r/>
            <w:r>
              <w:rPr>
                <w:sz w:val="18"/>
              </w:rPr>
              <w:t>Interactive documentation.</w:t>
            </w:r>
          </w:p>
        </w:tc>
        <w:tc>
          <w:tcPr>
            <w:tcW w:type="dxa" w:w="1296"/>
          </w:tcPr>
          <w:p>
            <w:pPr>
              <w:spacing w:after="40"/>
            </w:pPr>
            <w:r/>
            <w:r>
              <w:rPr>
                <w:sz w:val="18"/>
              </w:rPr>
              <w:t>No</w:t>
            </w:r>
          </w:p>
        </w:tc>
      </w:tr>
      <w:tr>
        <w:tc>
          <w:tcPr>
            <w:tcW w:type="dxa" w:w="3312"/>
            <w:shd w:val="clear" w:fill="F4F6F9"/>
          </w:tcPr>
          <w:p>
            <w:pPr>
              <w:spacing w:after="40"/>
            </w:pPr>
            <w:r/>
            <w:r>
              <w:rPr>
                <w:rFonts w:ascii="Consolas" w:hAnsi="Consolas"/>
                <w:sz w:val="17"/>
              </w:rPr>
              <w:t>GET /openapi.json</w:t>
            </w:r>
          </w:p>
        </w:tc>
        <w:tc>
          <w:tcPr>
            <w:tcW w:type="dxa" w:w="5328"/>
            <w:shd w:val="clear" w:fill="F4F6F9"/>
          </w:tcPr>
          <w:p>
            <w:pPr>
              <w:spacing w:after="40"/>
            </w:pPr>
            <w:r/>
            <w:r>
              <w:rPr>
                <w:sz w:val="18"/>
              </w:rPr>
              <w:t>Machine-readable schema for client generation.</w:t>
            </w:r>
          </w:p>
        </w:tc>
        <w:tc>
          <w:tcPr>
            <w:tcW w:type="dxa" w:w="1296"/>
            <w:shd w:val="clear" w:fill="F4F6F9"/>
          </w:tcPr>
          <w:p>
            <w:pPr>
              <w:spacing w:after="40"/>
            </w:pPr>
            <w:r/>
            <w:r>
              <w:rPr>
                <w:sz w:val="18"/>
              </w:rPr>
              <w:t>No</w:t>
            </w:r>
          </w:p>
        </w:tc>
      </w:tr>
    </w:tbl>
    <w:p>
      <w:pPr>
        <w:spacing w:after="40"/>
      </w:pPr>
    </w:p>
    <w:p>
      <w:pPr>
        <w:pStyle w:val="Heading2"/>
      </w:pPr>
      <w:r>
        <w:t>4.2  The plot object — every accepted field</w:t>
      </w:r>
    </w:p>
    <w:p>
      <w:r>
        <w:rPr>
          <w:b w:val="0"/>
          <w:i w:val="0"/>
        </w:rPr>
        <w:t xml:space="preserve">Used identically by both endpoints. Only </w:t>
      </w:r>
      <w:r>
        <w:rPr>
          <w:rFonts w:ascii="Consolas" w:hAnsi="Consolas"/>
          <w:b w:val="0"/>
          <w:i w:val="0"/>
          <w:sz w:val="19"/>
        </w:rPr>
        <w:t>district</w:t>
      </w:r>
      <w:r>
        <w:rPr>
          <w:b w:val="0"/>
          <w:i w:val="0"/>
        </w:rPr>
        <w:t xml:space="preserve"> is required.</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fill="1F4E79"/>
          </w:tcPr>
          <w:p>
            <w:r/>
            <w:r>
              <w:rPr>
                <w:b/>
                <w:color w:val="FFFFFF"/>
                <w:sz w:val="18"/>
              </w:rPr>
              <w:t>Field</w:t>
            </w:r>
          </w:p>
        </w:tc>
        <w:tc>
          <w:tcPr>
            <w:tcW w:type="dxa" w:w="2016"/>
            <w:shd w:val="clear" w:fill="1F4E79"/>
          </w:tcPr>
          <w:p>
            <w:r/>
            <w:r>
              <w:rPr>
                <w:b/>
                <w:color w:val="FFFFFF"/>
                <w:sz w:val="18"/>
              </w:rPr>
              <w:t>Type</w:t>
            </w:r>
          </w:p>
        </w:tc>
        <w:tc>
          <w:tcPr>
            <w:tcW w:type="dxa" w:w="4752"/>
            <w:shd w:val="clear" w:fill="1F4E79"/>
          </w:tcPr>
          <w:p>
            <w:r/>
            <w:r>
              <w:rPr>
                <w:b/>
                <w:color w:val="FFFFFF"/>
                <w:sz w:val="18"/>
              </w:rPr>
              <w:t>Unit / values</w:t>
            </w:r>
          </w:p>
        </w:tc>
      </w:tr>
      <w:tr>
        <w:tc>
          <w:tcPr>
            <w:tcW w:type="dxa" w:w="3168"/>
          </w:tcPr>
          <w:p>
            <w:pPr>
              <w:spacing w:after="40"/>
            </w:pPr>
            <w:r/>
            <w:r>
              <w:rPr>
                <w:rFonts w:ascii="Consolas" w:hAnsi="Consolas"/>
                <w:sz w:val="17"/>
              </w:rPr>
              <w:t>plot_id</w:t>
            </w:r>
          </w:p>
        </w:tc>
        <w:tc>
          <w:tcPr>
            <w:tcW w:type="dxa" w:w="2016"/>
          </w:tcPr>
          <w:p>
            <w:pPr>
              <w:spacing w:after="40"/>
            </w:pPr>
            <w:r/>
            <w:r>
              <w:rPr>
                <w:sz w:val="18"/>
              </w:rPr>
              <w:t>string</w:t>
            </w:r>
          </w:p>
        </w:tc>
        <w:tc>
          <w:tcPr>
            <w:tcW w:type="dxa" w:w="4752"/>
          </w:tcPr>
          <w:p>
            <w:pPr>
              <w:spacing w:after="40"/>
            </w:pPr>
            <w:r/>
            <w:r>
              <w:rPr>
                <w:sz w:val="18"/>
              </w:rPr>
              <w:t>Your own identifier, echoed back on the matching result.</w:t>
            </w:r>
          </w:p>
        </w:tc>
      </w:tr>
      <w:tr>
        <w:tc>
          <w:tcPr>
            <w:tcW w:type="dxa" w:w="3168"/>
            <w:shd w:val="clear" w:fill="F4F6F9"/>
          </w:tcPr>
          <w:p>
            <w:pPr>
              <w:spacing w:after="40"/>
            </w:pPr>
            <w:r/>
            <w:r>
              <w:rPr>
                <w:rFonts w:ascii="Consolas" w:hAnsi="Consolas"/>
                <w:sz w:val="17"/>
              </w:rPr>
              <w:t>district</w:t>
            </w:r>
          </w:p>
        </w:tc>
        <w:tc>
          <w:tcPr>
            <w:tcW w:type="dxa" w:w="2016"/>
            <w:shd w:val="clear" w:fill="F4F6F9"/>
          </w:tcPr>
          <w:p>
            <w:pPr>
              <w:spacing w:after="40"/>
            </w:pPr>
            <w:r/>
            <w:r>
              <w:rPr>
                <w:sz w:val="18"/>
              </w:rPr>
              <w:t>string — REQUIRED</w:t>
            </w:r>
          </w:p>
        </w:tc>
        <w:tc>
          <w:tcPr>
            <w:tcW w:type="dxa" w:w="4752"/>
            <w:shd w:val="clear" w:fill="F4F6F9"/>
          </w:tcPr>
          <w:p>
            <w:pPr>
              <w:spacing w:after="40"/>
            </w:pPr>
            <w:r/>
            <w:r>
              <w:rPr>
                <w:sz w:val="18"/>
              </w:rPr>
              <w:t>Case-insensitive. 51 known values.</w:t>
            </w:r>
          </w:p>
        </w:tc>
      </w:tr>
      <w:tr>
        <w:tc>
          <w:tcPr>
            <w:tcW w:type="dxa" w:w="3168"/>
          </w:tcPr>
          <w:p>
            <w:pPr>
              <w:spacing w:after="40"/>
            </w:pPr>
            <w:r/>
            <w:r>
              <w:rPr>
                <w:rFonts w:ascii="Consolas" w:hAnsi="Consolas"/>
                <w:sz w:val="17"/>
              </w:rPr>
              <w:t>year</w:t>
            </w:r>
          </w:p>
        </w:tc>
        <w:tc>
          <w:tcPr>
            <w:tcW w:type="dxa" w:w="2016"/>
          </w:tcPr>
          <w:p>
            <w:pPr>
              <w:spacing w:after="40"/>
            </w:pPr>
            <w:r/>
            <w:r>
              <w:rPr>
                <w:sz w:val="18"/>
              </w:rPr>
              <w:t>integer</w:t>
            </w:r>
          </w:p>
        </w:tc>
        <w:tc>
          <w:tcPr>
            <w:tcW w:type="dxa" w:w="4752"/>
          </w:tcPr>
          <w:p>
            <w:pPr>
              <w:spacing w:after="40"/>
            </w:pPr>
            <w:r/>
            <w:r>
              <w:rPr>
                <w:sz w:val="18"/>
              </w:rPr>
              <w:t>Season. Defaults to the most recent in the training data.</w:t>
            </w:r>
          </w:p>
        </w:tc>
      </w:tr>
      <w:tr>
        <w:tc>
          <w:tcPr>
            <w:tcW w:type="dxa" w:w="3168"/>
            <w:shd w:val="clear" w:fill="F4F6F9"/>
          </w:tcPr>
          <w:p>
            <w:pPr>
              <w:spacing w:after="40"/>
            </w:pPr>
            <w:r/>
            <w:r>
              <w:rPr>
                <w:rFonts w:ascii="Consolas" w:hAnsi="Consolas"/>
                <w:sz w:val="17"/>
              </w:rPr>
              <w:t>plot_acres</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acres</w:t>
            </w:r>
          </w:p>
        </w:tc>
      </w:tr>
      <w:tr>
        <w:tc>
          <w:tcPr>
            <w:tcW w:type="dxa" w:w="3168"/>
          </w:tcPr>
          <w:p>
            <w:pPr>
              <w:spacing w:after="40"/>
            </w:pPr>
            <w:r/>
            <w:r>
              <w:rPr>
                <w:rFonts w:ascii="Consolas" w:hAnsi="Consolas"/>
                <w:sz w:val="17"/>
              </w:rPr>
              <w:t>seed_category</w:t>
            </w:r>
          </w:p>
        </w:tc>
        <w:tc>
          <w:tcPr>
            <w:tcW w:type="dxa" w:w="2016"/>
          </w:tcPr>
          <w:p>
            <w:pPr>
              <w:spacing w:after="40"/>
            </w:pPr>
            <w:r/>
            <w:r>
              <w:rPr>
                <w:sz w:val="18"/>
              </w:rPr>
              <w:t>string</w:t>
            </w:r>
          </w:p>
        </w:tc>
        <w:tc>
          <w:tcPr>
            <w:tcW w:type="dxa" w:w="4752"/>
          </w:tcPr>
          <w:p>
            <w:pPr>
              <w:spacing w:after="40"/>
            </w:pPr>
            <w:r/>
            <w:r>
              <w:rPr>
                <w:sz w:val="18"/>
              </w:rPr>
              <w:t>hybrid_branded / other_hybrid / local / mixed</w:t>
            </w:r>
          </w:p>
        </w:tc>
      </w:tr>
      <w:tr>
        <w:tc>
          <w:tcPr>
            <w:tcW w:type="dxa" w:w="3168"/>
            <w:shd w:val="clear" w:fill="F4F6F9"/>
          </w:tcPr>
          <w:p>
            <w:pPr>
              <w:spacing w:after="40"/>
            </w:pPr>
            <w:r/>
            <w:r>
              <w:rPr>
                <w:rFonts w:ascii="Consolas" w:hAnsi="Consolas"/>
                <w:sz w:val="17"/>
              </w:rPr>
              <w:t>seed_type</w:t>
            </w:r>
          </w:p>
        </w:tc>
        <w:tc>
          <w:tcPr>
            <w:tcW w:type="dxa" w:w="2016"/>
            <w:shd w:val="clear" w:fill="F4F6F9"/>
          </w:tcPr>
          <w:p>
            <w:pPr>
              <w:spacing w:after="40"/>
            </w:pPr>
            <w:r/>
            <w:r>
              <w:rPr>
                <w:sz w:val="18"/>
              </w:rPr>
              <w:t>string</w:t>
            </w:r>
          </w:p>
        </w:tc>
        <w:tc>
          <w:tcPr>
            <w:tcW w:type="dxa" w:w="4752"/>
            <w:shd w:val="clear" w:fill="F4F6F9"/>
          </w:tcPr>
          <w:p>
            <w:pPr>
              <w:spacing w:after="40"/>
            </w:pPr>
            <w:r/>
            <w:r>
              <w:rPr>
                <w:sz w:val="18"/>
              </w:rPr>
              <w:t>Exact variety, e.g. h_614d. See /reference/seed-types.</w:t>
            </w:r>
          </w:p>
        </w:tc>
      </w:tr>
      <w:tr>
        <w:tc>
          <w:tcPr>
            <w:tcW w:type="dxa" w:w="3168"/>
          </w:tcPr>
          <w:p>
            <w:pPr>
              <w:spacing w:after="40"/>
            </w:pPr>
            <w:r/>
            <w:r>
              <w:rPr>
                <w:rFonts w:ascii="Consolas" w:hAnsi="Consolas"/>
                <w:sz w:val="17"/>
              </w:rPr>
              <w:t>hybridseed_kg_ph</w:t>
            </w:r>
          </w:p>
        </w:tc>
        <w:tc>
          <w:tcPr>
            <w:tcW w:type="dxa" w:w="2016"/>
          </w:tcPr>
          <w:p>
            <w:pPr>
              <w:spacing w:after="40"/>
            </w:pPr>
            <w:r/>
            <w:r>
              <w:rPr>
                <w:sz w:val="18"/>
              </w:rPr>
              <w:t>number</w:t>
            </w:r>
          </w:p>
        </w:tc>
        <w:tc>
          <w:tcPr>
            <w:tcW w:type="dxa" w:w="4752"/>
          </w:tcPr>
          <w:p>
            <w:pPr>
              <w:spacing w:after="40"/>
            </w:pPr>
            <w:r/>
            <w:r>
              <w:rPr>
                <w:sz w:val="18"/>
              </w:rPr>
              <w:t>kg per hectare</w:t>
            </w:r>
          </w:p>
        </w:tc>
      </w:tr>
      <w:tr>
        <w:tc>
          <w:tcPr>
            <w:tcW w:type="dxa" w:w="3168"/>
            <w:shd w:val="clear" w:fill="F4F6F9"/>
          </w:tcPr>
          <w:p>
            <w:pPr>
              <w:spacing w:after="40"/>
            </w:pPr>
            <w:r/>
            <w:r>
              <w:rPr>
                <w:rFonts w:ascii="Consolas" w:hAnsi="Consolas"/>
                <w:sz w:val="17"/>
              </w:rPr>
              <w:t>localseed_kg_ph</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kg per hectare</w:t>
            </w:r>
          </w:p>
        </w:tc>
      </w:tr>
      <w:tr>
        <w:tc>
          <w:tcPr>
            <w:tcW w:type="dxa" w:w="3168"/>
          </w:tcPr>
          <w:p>
            <w:pPr>
              <w:spacing w:after="40"/>
            </w:pPr>
            <w:r/>
            <w:r>
              <w:rPr>
                <w:rFonts w:ascii="Consolas" w:hAnsi="Consolas"/>
                <w:sz w:val="17"/>
              </w:rPr>
              <w:t>dap_kg_ph</w:t>
            </w:r>
          </w:p>
        </w:tc>
        <w:tc>
          <w:tcPr>
            <w:tcW w:type="dxa" w:w="2016"/>
          </w:tcPr>
          <w:p>
            <w:pPr>
              <w:spacing w:after="40"/>
            </w:pPr>
            <w:r/>
            <w:r>
              <w:rPr>
                <w:sz w:val="18"/>
              </w:rPr>
              <w:t>number</w:t>
            </w:r>
          </w:p>
        </w:tc>
        <w:tc>
          <w:tcPr>
            <w:tcW w:type="dxa" w:w="4752"/>
          </w:tcPr>
          <w:p>
            <w:pPr>
              <w:spacing w:after="40"/>
            </w:pPr>
            <w:r/>
            <w:r>
              <w:rPr>
                <w:sz w:val="18"/>
              </w:rPr>
              <w:t>kg/ha of DAP (18-46-0)</w:t>
            </w:r>
          </w:p>
        </w:tc>
      </w:tr>
      <w:tr>
        <w:tc>
          <w:tcPr>
            <w:tcW w:type="dxa" w:w="3168"/>
            <w:shd w:val="clear" w:fill="F4F6F9"/>
          </w:tcPr>
          <w:p>
            <w:pPr>
              <w:spacing w:after="40"/>
            </w:pPr>
            <w:r/>
            <w:r>
              <w:rPr>
                <w:rFonts w:ascii="Consolas" w:hAnsi="Consolas"/>
                <w:sz w:val="17"/>
              </w:rPr>
              <w:t>urea_kg_ph</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kg/ha of urea (46-0-0)</w:t>
            </w:r>
          </w:p>
        </w:tc>
      </w:tr>
      <w:tr>
        <w:tc>
          <w:tcPr>
            <w:tcW w:type="dxa" w:w="3168"/>
          </w:tcPr>
          <w:p>
            <w:pPr>
              <w:spacing w:after="40"/>
            </w:pPr>
            <w:r/>
            <w:r>
              <w:rPr>
                <w:rFonts w:ascii="Consolas" w:hAnsi="Consolas"/>
                <w:sz w:val="17"/>
              </w:rPr>
              <w:t>can_kg_ph</w:t>
            </w:r>
          </w:p>
        </w:tc>
        <w:tc>
          <w:tcPr>
            <w:tcW w:type="dxa" w:w="2016"/>
          </w:tcPr>
          <w:p>
            <w:pPr>
              <w:spacing w:after="40"/>
            </w:pPr>
            <w:r/>
            <w:r>
              <w:rPr>
                <w:sz w:val="18"/>
              </w:rPr>
              <w:t>number</w:t>
            </w:r>
          </w:p>
        </w:tc>
        <w:tc>
          <w:tcPr>
            <w:tcW w:type="dxa" w:w="4752"/>
          </w:tcPr>
          <w:p>
            <w:pPr>
              <w:spacing w:after="40"/>
            </w:pPr>
            <w:r/>
            <w:r>
              <w:rPr>
                <w:sz w:val="18"/>
              </w:rPr>
              <w:t>kg/ha of CAN (26-0-0), the usual topdress</w:t>
            </w:r>
          </w:p>
        </w:tc>
      </w:tr>
      <w:tr>
        <w:tc>
          <w:tcPr>
            <w:tcW w:type="dxa" w:w="3168"/>
            <w:shd w:val="clear" w:fill="F4F6F9"/>
          </w:tcPr>
          <w:p>
            <w:pPr>
              <w:spacing w:after="40"/>
            </w:pPr>
            <w:r/>
            <w:r>
              <w:rPr>
                <w:rFonts w:ascii="Consolas" w:hAnsi="Consolas"/>
                <w:sz w:val="17"/>
              </w:rPr>
              <w:t>npk_kg_ph</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kg/ha of NPK blend, assumed 17-17-17</w:t>
            </w:r>
          </w:p>
        </w:tc>
      </w:tr>
      <w:tr>
        <w:tc>
          <w:tcPr>
            <w:tcW w:type="dxa" w:w="3168"/>
          </w:tcPr>
          <w:p>
            <w:pPr>
              <w:spacing w:after="40"/>
            </w:pPr>
            <w:r/>
            <w:r>
              <w:rPr>
                <w:rFonts w:ascii="Consolas" w:hAnsi="Consolas"/>
                <w:sz w:val="17"/>
              </w:rPr>
              <w:t>lime_kg_ph</w:t>
            </w:r>
          </w:p>
        </w:tc>
        <w:tc>
          <w:tcPr>
            <w:tcW w:type="dxa" w:w="2016"/>
          </w:tcPr>
          <w:p>
            <w:pPr>
              <w:spacing w:after="40"/>
            </w:pPr>
            <w:r/>
            <w:r>
              <w:rPr>
                <w:sz w:val="18"/>
              </w:rPr>
              <w:t>number</w:t>
            </w:r>
          </w:p>
        </w:tc>
        <w:tc>
          <w:tcPr>
            <w:tcW w:type="dxa" w:w="4752"/>
          </w:tcPr>
          <w:p>
            <w:pPr>
              <w:spacing w:after="40"/>
            </w:pPr>
            <w:r/>
            <w:r>
              <w:rPr>
                <w:sz w:val="18"/>
              </w:rPr>
              <w:t>kg/ha of agricultural lime</w:t>
            </w:r>
          </w:p>
        </w:tc>
      </w:tr>
      <w:tr>
        <w:tc>
          <w:tcPr>
            <w:tcW w:type="dxa" w:w="3168"/>
            <w:shd w:val="clear" w:fill="F4F6F9"/>
          </w:tcPr>
          <w:p>
            <w:pPr>
              <w:spacing w:after="40"/>
            </w:pPr>
            <w:r/>
            <w:r>
              <w:rPr>
                <w:rFonts w:ascii="Consolas" w:hAnsi="Consolas"/>
                <w:sz w:val="17"/>
              </w:rPr>
              <w:t>compost_wheelbarrows_per_acre</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wheelbarrows per acre</w:t>
            </w:r>
          </w:p>
        </w:tc>
      </w:tr>
      <w:tr>
        <w:tc>
          <w:tcPr>
            <w:tcW w:type="dxa" w:w="3168"/>
          </w:tcPr>
          <w:p>
            <w:pPr>
              <w:spacing w:after="40"/>
            </w:pPr>
            <w:r/>
            <w:r>
              <w:rPr>
                <w:rFonts w:ascii="Consolas" w:hAnsi="Consolas"/>
                <w:sz w:val="17"/>
              </w:rPr>
              <w:t>plant_date</w:t>
            </w:r>
          </w:p>
        </w:tc>
        <w:tc>
          <w:tcPr>
            <w:tcW w:type="dxa" w:w="2016"/>
          </w:tcPr>
          <w:p>
            <w:pPr>
              <w:spacing w:after="40"/>
            </w:pPr>
            <w:r/>
            <w:r>
              <w:rPr>
                <w:sz w:val="18"/>
              </w:rPr>
              <w:t>date (YYYY-MM-DD)</w:t>
            </w:r>
          </w:p>
        </w:tc>
        <w:tc>
          <w:tcPr>
            <w:tcW w:type="dxa" w:w="4752"/>
          </w:tcPr>
          <w:p>
            <w:pPr>
              <w:spacing w:after="40"/>
            </w:pPr>
            <w:r/>
            <w:r>
              <w:rPr>
                <w:sz w:val="18"/>
              </w:rPr>
              <w:t>Only the day of year is used.</w:t>
            </w:r>
          </w:p>
        </w:tc>
      </w:tr>
      <w:tr>
        <w:tc>
          <w:tcPr>
            <w:tcW w:type="dxa" w:w="3168"/>
            <w:shd w:val="clear" w:fill="F4F6F9"/>
          </w:tcPr>
          <w:p>
            <w:pPr>
              <w:spacing w:after="40"/>
            </w:pPr>
            <w:r/>
            <w:r>
              <w:rPr>
                <w:rFonts w:ascii="Consolas" w:hAnsi="Consolas"/>
                <w:sz w:val="17"/>
              </w:rPr>
              <w:t>plant_date_doy</w:t>
            </w:r>
          </w:p>
        </w:tc>
        <w:tc>
          <w:tcPr>
            <w:tcW w:type="dxa" w:w="2016"/>
            <w:shd w:val="clear" w:fill="F4F6F9"/>
          </w:tcPr>
          <w:p>
            <w:pPr>
              <w:spacing w:after="40"/>
            </w:pPr>
            <w:r/>
            <w:r>
              <w:rPr>
                <w:sz w:val="18"/>
              </w:rPr>
              <w:t>number 1–366</w:t>
            </w:r>
          </w:p>
        </w:tc>
        <w:tc>
          <w:tcPr>
            <w:tcW w:type="dxa" w:w="4752"/>
            <w:shd w:val="clear" w:fill="F4F6F9"/>
          </w:tcPr>
          <w:p>
            <w:pPr>
              <w:spacing w:after="40"/>
            </w:pPr>
            <w:r/>
            <w:r>
              <w:rPr>
                <w:sz w:val="18"/>
              </w:rPr>
              <w:t>Day of year, if the full date is unknown.</w:t>
            </w:r>
          </w:p>
        </w:tc>
      </w:tr>
      <w:tr>
        <w:tc>
          <w:tcPr>
            <w:tcW w:type="dxa" w:w="3168"/>
          </w:tcPr>
          <w:p>
            <w:pPr>
              <w:spacing w:after="40"/>
            </w:pPr>
            <w:r/>
            <w:r>
              <w:rPr>
                <w:rFonts w:ascii="Consolas" w:hAnsi="Consolas"/>
                <w:sz w:val="17"/>
              </w:rPr>
              <w:t>intercrop</w:t>
            </w:r>
          </w:p>
        </w:tc>
        <w:tc>
          <w:tcPr>
            <w:tcW w:type="dxa" w:w="2016"/>
          </w:tcPr>
          <w:p>
            <w:pPr>
              <w:spacing w:after="40"/>
            </w:pPr>
            <w:r/>
            <w:r>
              <w:rPr>
                <w:sz w:val="18"/>
              </w:rPr>
              <w:t>boolean</w:t>
            </w:r>
          </w:p>
        </w:tc>
        <w:tc>
          <w:tcPr>
            <w:tcW w:type="dxa" w:w="4752"/>
          </w:tcPr>
          <w:p>
            <w:pPr>
              <w:spacing w:after="40"/>
            </w:pPr>
            <w:r/>
            <w:r>
              <w:rPr>
                <w:sz w:val="18"/>
              </w:rPr>
            </w:r>
          </w:p>
        </w:tc>
      </w:tr>
      <w:tr>
        <w:tc>
          <w:tcPr>
            <w:tcW w:type="dxa" w:w="3168"/>
            <w:shd w:val="clear" w:fill="F4F6F9"/>
          </w:tcPr>
          <w:p>
            <w:pPr>
              <w:spacing w:after="40"/>
            </w:pPr>
            <w:r/>
            <w:r>
              <w:rPr>
                <w:rFonts w:ascii="Consolas" w:hAnsi="Consolas"/>
                <w:sz w:val="17"/>
              </w:rPr>
              <w:t>intercrop_type</w:t>
            </w:r>
          </w:p>
        </w:tc>
        <w:tc>
          <w:tcPr>
            <w:tcW w:type="dxa" w:w="2016"/>
            <w:shd w:val="clear" w:fill="F4F6F9"/>
          </w:tcPr>
          <w:p>
            <w:pPr>
              <w:spacing w:after="40"/>
            </w:pPr>
            <w:r/>
            <w:r>
              <w:rPr>
                <w:sz w:val="18"/>
              </w:rPr>
              <w:t>string</w:t>
            </w:r>
          </w:p>
        </w:tc>
        <w:tc>
          <w:tcPr>
            <w:tcW w:type="dxa" w:w="4752"/>
            <w:shd w:val="clear" w:fill="F4F6F9"/>
          </w:tcPr>
          <w:p>
            <w:pPr>
              <w:spacing w:after="40"/>
            </w:pPr>
            <w:r/>
            <w:r>
              <w:rPr>
                <w:sz w:val="18"/>
              </w:rPr>
              <w:t>e.g. beans. Legumes are treated distinctly.</w:t>
            </w:r>
          </w:p>
        </w:tc>
      </w:tr>
      <w:tr>
        <w:tc>
          <w:tcPr>
            <w:tcW w:type="dxa" w:w="3168"/>
          </w:tcPr>
          <w:p>
            <w:pPr>
              <w:spacing w:after="40"/>
            </w:pPr>
            <w:r/>
            <w:r>
              <w:rPr>
                <w:rFonts w:ascii="Consolas" w:hAnsi="Consolas"/>
                <w:sz w:val="17"/>
              </w:rPr>
              <w:t>hh_num</w:t>
            </w:r>
          </w:p>
        </w:tc>
        <w:tc>
          <w:tcPr>
            <w:tcW w:type="dxa" w:w="2016"/>
          </w:tcPr>
          <w:p>
            <w:pPr>
              <w:spacing w:after="40"/>
            </w:pPr>
            <w:r/>
            <w:r>
              <w:rPr>
                <w:sz w:val="18"/>
              </w:rPr>
              <w:t>number</w:t>
            </w:r>
          </w:p>
        </w:tc>
        <w:tc>
          <w:tcPr>
            <w:tcW w:type="dxa" w:w="4752"/>
          </w:tcPr>
          <w:p>
            <w:pPr>
              <w:spacing w:after="40"/>
            </w:pPr>
            <w:r/>
            <w:r>
              <w:rPr>
                <w:sz w:val="18"/>
              </w:rPr>
              <w:t>Household size.</w:t>
            </w:r>
          </w:p>
        </w:tc>
      </w:tr>
      <w:tr>
        <w:tc>
          <w:tcPr>
            <w:tcW w:type="dxa" w:w="3168"/>
            <w:shd w:val="clear" w:fill="F4F6F9"/>
          </w:tcPr>
          <w:p>
            <w:pPr>
              <w:spacing w:after="40"/>
            </w:pPr>
            <w:r/>
            <w:r>
              <w:rPr>
                <w:rFonts w:ascii="Consolas" w:hAnsi="Consolas"/>
                <w:sz w:val="17"/>
              </w:rPr>
              <w:t>hh_num_under18</w:t>
            </w:r>
          </w:p>
        </w:tc>
        <w:tc>
          <w:tcPr>
            <w:tcW w:type="dxa" w:w="2016"/>
            <w:shd w:val="clear" w:fill="F4F6F9"/>
          </w:tcPr>
          <w:p>
            <w:pPr>
              <w:spacing w:after="40"/>
            </w:pPr>
            <w:r/>
            <w:r>
              <w:rPr>
                <w:sz w:val="18"/>
              </w:rPr>
              <w:t>number</w:t>
            </w:r>
          </w:p>
        </w:tc>
        <w:tc>
          <w:tcPr>
            <w:tcW w:type="dxa" w:w="4752"/>
            <w:shd w:val="clear" w:fill="F4F6F9"/>
          </w:tcPr>
          <w:p>
            <w:pPr>
              <w:spacing w:after="40"/>
            </w:pPr>
            <w:r/>
            <w:r>
              <w:rPr>
                <w:sz w:val="18"/>
              </w:rPr>
              <w:t>Household members under 18.</w:t>
            </w:r>
          </w:p>
        </w:tc>
      </w:tr>
      <w:tr>
        <w:tc>
          <w:tcPr>
            <w:tcW w:type="dxa" w:w="3168"/>
          </w:tcPr>
          <w:p>
            <w:pPr>
              <w:spacing w:after="40"/>
            </w:pPr>
            <w:r/>
            <w:r>
              <w:rPr>
                <w:rFonts w:ascii="Consolas" w:hAnsi="Consolas"/>
                <w:sz w:val="17"/>
              </w:rPr>
              <w:t>cows</w:t>
            </w:r>
          </w:p>
        </w:tc>
        <w:tc>
          <w:tcPr>
            <w:tcW w:type="dxa" w:w="2016"/>
          </w:tcPr>
          <w:p>
            <w:pPr>
              <w:spacing w:after="40"/>
            </w:pPr>
            <w:r/>
            <w:r>
              <w:rPr>
                <w:sz w:val="18"/>
              </w:rPr>
              <w:t>number</w:t>
            </w:r>
          </w:p>
        </w:tc>
        <w:tc>
          <w:tcPr>
            <w:tcW w:type="dxa" w:w="4752"/>
          </w:tcPr>
          <w:p>
            <w:pPr>
              <w:spacing w:after="40"/>
            </w:pPr>
            <w:r/>
            <w:r>
              <w:rPr>
                <w:sz w:val="18"/>
              </w:rPr>
              <w:t>Cows owned.</w:t>
            </w:r>
          </w:p>
        </w:tc>
      </w:tr>
      <w:tr>
        <w:tc>
          <w:tcPr>
            <w:tcW w:type="dxa" w:w="3168"/>
            <w:shd w:val="clear" w:fill="F4F6F9"/>
          </w:tcPr>
          <w:p>
            <w:pPr>
              <w:spacing w:after="40"/>
            </w:pPr>
            <w:r/>
            <w:r>
              <w:rPr>
                <w:rFonts w:ascii="Consolas" w:hAnsi="Consolas"/>
                <w:sz w:val="17"/>
              </w:rPr>
              <w:t>owns_oxen</w:t>
            </w:r>
          </w:p>
        </w:tc>
        <w:tc>
          <w:tcPr>
            <w:tcW w:type="dxa" w:w="2016"/>
            <w:shd w:val="clear" w:fill="F4F6F9"/>
          </w:tcPr>
          <w:p>
            <w:pPr>
              <w:spacing w:after="40"/>
            </w:pPr>
            <w:r/>
            <w:r>
              <w:rPr>
                <w:sz w:val="18"/>
              </w:rPr>
              <w:t>boolean</w:t>
            </w:r>
          </w:p>
        </w:tc>
        <w:tc>
          <w:tcPr>
            <w:tcW w:type="dxa" w:w="4752"/>
            <w:shd w:val="clear" w:fill="F4F6F9"/>
          </w:tcPr>
          <w:p>
            <w:pPr>
              <w:spacing w:after="40"/>
            </w:pPr>
            <w:r/>
            <w:r>
              <w:rPr>
                <w:sz w:val="18"/>
              </w:rPr>
            </w:r>
          </w:p>
        </w:tc>
      </w:tr>
      <w:tr>
        <w:tc>
          <w:tcPr>
            <w:tcW w:type="dxa" w:w="3168"/>
          </w:tcPr>
          <w:p>
            <w:pPr>
              <w:spacing w:after="40"/>
            </w:pPr>
            <w:r/>
            <w:r>
              <w:rPr>
                <w:rFonts w:ascii="Consolas" w:hAnsi="Consolas"/>
                <w:sz w:val="17"/>
              </w:rPr>
              <w:t>owns_electricity</w:t>
            </w:r>
          </w:p>
        </w:tc>
        <w:tc>
          <w:tcPr>
            <w:tcW w:type="dxa" w:w="2016"/>
          </w:tcPr>
          <w:p>
            <w:pPr>
              <w:spacing w:after="40"/>
            </w:pPr>
            <w:r/>
            <w:r>
              <w:rPr>
                <w:sz w:val="18"/>
              </w:rPr>
              <w:t>boolean</w:t>
            </w:r>
          </w:p>
        </w:tc>
        <w:tc>
          <w:tcPr>
            <w:tcW w:type="dxa" w:w="4752"/>
          </w:tcPr>
          <w:p>
            <w:pPr>
              <w:spacing w:after="40"/>
            </w:pPr>
            <w:r/>
            <w:r>
              <w:rPr>
                <w:sz w:val="18"/>
              </w:rPr>
            </w:r>
          </w:p>
        </w:tc>
      </w:tr>
    </w:tbl>
    <w:p>
      <w:pPr>
        <w:spacing w:after="40"/>
      </w:pPr>
    </w:p>
    <w:p>
      <w:pPr>
        <w:spacing w:before="160" w:after="160"/>
        <w:ind w:left="144"/>
        <w:shd w:val="clear" w:fill="EAF5EE"/>
      </w:pPr>
      <w:r>
        <w:rPr>
          <w:b/>
          <w:color w:val="0E6B63"/>
        </w:rPr>
        <w:t xml:space="preserve">Out-of-range values are clipped, not rejected.  </w:t>
      </w:r>
      <w:r>
        <w:t>A fertiliser rate above the ceiling used during cleaning is capped to that ceiling and reported in warnings, exactly as the training data was treated. A real survey row must never fail validation. Do not pre-validate these ranges into a hard block.</w:t>
      </w:r>
    </w:p>
    <w:p>
      <w:pPr>
        <w:pStyle w:val="Heading2"/>
      </w:pPr>
      <w:r>
        <w:t>4.3  The eight levers</w:t>
      </w:r>
    </w:p>
    <w:p>
      <w:r>
        <w:rPr>
          <w:b w:val="0"/>
          <w:i w:val="0"/>
        </w:rPr>
        <w:t xml:space="preserve">What </w:t>
      </w:r>
      <w:r>
        <w:rPr>
          <w:rFonts w:ascii="Consolas" w:hAnsi="Consolas"/>
          <w:b w:val="0"/>
          <w:i w:val="0"/>
          <w:sz w:val="19"/>
        </w:rPr>
        <w:t>/api/v1/recommend</w:t>
      </w:r>
      <w:r>
        <w:rPr>
          <w:b w:val="0"/>
          <w:i w:val="0"/>
        </w:rPr>
        <w:t xml:space="preserve"> can advise on. "Full range" is the gain from the worst to the best value of that lever, in kg/ha, across all plots. There is no price column because the service does not price anything.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fill="1F4E79"/>
          </w:tcPr>
          <w:p>
            <w:r/>
            <w:r>
              <w:rPr>
                <w:b/>
                <w:color w:val="FFFFFF"/>
                <w:sz w:val="18"/>
              </w:rPr>
              <w:t>Lever</w:t>
            </w:r>
          </w:p>
        </w:tc>
        <w:tc>
          <w:tcPr>
            <w:tcW w:type="dxa" w:w="2160"/>
            <w:shd w:val="clear" w:fill="1F4E79"/>
          </w:tcPr>
          <w:p>
            <w:r/>
            <w:r>
              <w:rPr>
                <w:b/>
                <w:color w:val="FFFFFF"/>
                <w:sz w:val="18"/>
              </w:rPr>
              <w:t>Label</w:t>
            </w:r>
          </w:p>
        </w:tc>
        <w:tc>
          <w:tcPr>
            <w:tcW w:type="dxa" w:w="1152"/>
            <w:shd w:val="clear" w:fill="1F4E79"/>
          </w:tcPr>
          <w:p>
            <w:r/>
            <w:r>
              <w:rPr>
                <w:b/>
                <w:color w:val="FFFFFF"/>
                <w:sz w:val="18"/>
              </w:rPr>
              <w:t>Full range</w:t>
            </w:r>
          </w:p>
        </w:tc>
        <w:tc>
          <w:tcPr>
            <w:tcW w:type="dxa" w:w="4464"/>
            <w:shd w:val="clear" w:fill="1F4E79"/>
          </w:tcPr>
          <w:p>
            <w:r/>
            <w:r>
              <w:rPr>
                <w:b/>
                <w:color w:val="FFFFFF"/>
                <w:sz w:val="18"/>
              </w:rPr>
              <w:t>Notes</w:t>
            </w:r>
          </w:p>
        </w:tc>
      </w:tr>
      <w:tr>
        <w:tc>
          <w:tcPr>
            <w:tcW w:type="dxa" w:w="2160"/>
          </w:tcPr>
          <w:p>
            <w:pPr>
              <w:spacing w:after="40"/>
            </w:pPr>
            <w:r/>
            <w:r>
              <w:rPr>
                <w:rFonts w:ascii="Consolas" w:hAnsi="Consolas"/>
                <w:sz w:val="17"/>
              </w:rPr>
              <w:t>planting_date</w:t>
            </w:r>
          </w:p>
        </w:tc>
        <w:tc>
          <w:tcPr>
            <w:tcW w:type="dxa" w:w="2160"/>
          </w:tcPr>
          <w:p>
            <w:pPr>
              <w:spacing w:after="40"/>
            </w:pPr>
            <w:r/>
            <w:r>
              <w:rPr>
                <w:sz w:val="18"/>
              </w:rPr>
              <w:t>Planting date</w:t>
            </w:r>
          </w:p>
        </w:tc>
        <w:tc>
          <w:tcPr>
            <w:tcW w:type="dxa" w:w="1152"/>
          </w:tcPr>
          <w:p>
            <w:pPr>
              <w:spacing w:after="40"/>
            </w:pPr>
            <w:r/>
            <w:r>
              <w:rPr>
                <w:sz w:val="18"/>
              </w:rPr>
              <w:t>−351</w:t>
            </w:r>
          </w:p>
        </w:tc>
        <w:tc>
          <w:tcPr>
            <w:tcW w:type="dxa" w:w="4464"/>
          </w:tcPr>
          <w:p>
            <w:pPr>
              <w:spacing w:after="40"/>
            </w:pPr>
            <w:r/>
            <w:r>
              <w:rPr>
                <w:sz w:val="18"/>
              </w:rPr>
              <w:t>Flat until roughly early March, then falls steadily. Needs nothing bought, so it is usually the most defensible advice on the list.</w:t>
            </w:r>
          </w:p>
        </w:tc>
      </w:tr>
      <w:tr>
        <w:tc>
          <w:tcPr>
            <w:tcW w:type="dxa" w:w="2160"/>
            <w:shd w:val="clear" w:fill="F4F6F9"/>
          </w:tcPr>
          <w:p>
            <w:pPr>
              <w:spacing w:after="40"/>
            </w:pPr>
            <w:r/>
            <w:r>
              <w:rPr>
                <w:rFonts w:ascii="Consolas" w:hAnsi="Consolas"/>
                <w:sz w:val="17"/>
              </w:rPr>
              <w:t>hybrid_seed</w:t>
            </w:r>
          </w:p>
        </w:tc>
        <w:tc>
          <w:tcPr>
            <w:tcW w:type="dxa" w:w="2160"/>
            <w:shd w:val="clear" w:fill="F4F6F9"/>
          </w:tcPr>
          <w:p>
            <w:pPr>
              <w:spacing w:after="40"/>
            </w:pPr>
            <w:r/>
            <w:r>
              <w:rPr>
                <w:sz w:val="18"/>
              </w:rPr>
              <w:t>Share of seed that is hybrid</w:t>
            </w:r>
          </w:p>
        </w:tc>
        <w:tc>
          <w:tcPr>
            <w:tcW w:type="dxa" w:w="1152"/>
            <w:shd w:val="clear" w:fill="F4F6F9"/>
          </w:tcPr>
          <w:p>
            <w:pPr>
              <w:spacing w:after="40"/>
            </w:pPr>
            <w:r/>
            <w:r>
              <w:rPr>
                <w:sz w:val="18"/>
              </w:rPr>
              <w:t>+617</w:t>
            </w:r>
          </w:p>
        </w:tc>
        <w:tc>
          <w:tcPr>
            <w:tcW w:type="dxa" w:w="4464"/>
            <w:shd w:val="clear" w:fill="F4F6F9"/>
          </w:tcPr>
          <w:p>
            <w:pPr>
              <w:spacing w:after="40"/>
            </w:pPr>
            <w:r/>
            <w:r>
              <w:rPr>
                <w:sz w:val="18"/>
              </w:rPr>
              <w:t>The largest single lever. 76% of plots are already fully hybrid, so it only fires for those who are not.</w:t>
            </w:r>
          </w:p>
        </w:tc>
      </w:tr>
      <w:tr>
        <w:tc>
          <w:tcPr>
            <w:tcW w:type="dxa" w:w="2160"/>
          </w:tcPr>
          <w:p>
            <w:pPr>
              <w:spacing w:after="40"/>
            </w:pPr>
            <w:r/>
            <w:r>
              <w:rPr>
                <w:rFonts w:ascii="Consolas" w:hAnsi="Consolas"/>
                <w:sz w:val="17"/>
              </w:rPr>
              <w:t>seed_variety</w:t>
            </w:r>
          </w:p>
        </w:tc>
        <w:tc>
          <w:tcPr>
            <w:tcW w:type="dxa" w:w="2160"/>
          </w:tcPr>
          <w:p>
            <w:pPr>
              <w:spacing w:after="40"/>
            </w:pPr>
            <w:r/>
            <w:r>
              <w:rPr>
                <w:sz w:val="18"/>
              </w:rPr>
              <w:t>Seed variety</w:t>
            </w:r>
          </w:p>
        </w:tc>
        <w:tc>
          <w:tcPr>
            <w:tcW w:type="dxa" w:w="1152"/>
          </w:tcPr>
          <w:p>
            <w:pPr>
              <w:spacing w:after="40"/>
            </w:pPr>
            <w:r/>
            <w:r>
              <w:rPr>
                <w:sz w:val="18"/>
              </w:rPr>
              <w:t>+634</w:t>
            </w:r>
          </w:p>
        </w:tc>
        <w:tc>
          <w:tcPr>
            <w:tcW w:type="dxa" w:w="4464"/>
          </w:tcPr>
          <w:p>
            <w:pPr>
              <w:spacing w:after="40"/>
            </w:pPr>
            <w:r/>
            <w:r>
              <w:rPr>
                <w:sz w:val="18"/>
              </w:rPr>
              <w:t>Which variety within a genetics class. Estimated holding hybrid share fixed.</w:t>
            </w:r>
          </w:p>
        </w:tc>
      </w:tr>
      <w:tr>
        <w:tc>
          <w:tcPr>
            <w:tcW w:type="dxa" w:w="2160"/>
            <w:shd w:val="clear" w:fill="F4F6F9"/>
          </w:tcPr>
          <w:p>
            <w:pPr>
              <w:spacing w:after="40"/>
            </w:pPr>
            <w:r/>
            <w:r>
              <w:rPr>
                <w:rFonts w:ascii="Consolas" w:hAnsi="Consolas"/>
                <w:sz w:val="17"/>
              </w:rPr>
              <w:t>topdress_fertiliser</w:t>
            </w:r>
          </w:p>
        </w:tc>
        <w:tc>
          <w:tcPr>
            <w:tcW w:type="dxa" w:w="2160"/>
            <w:shd w:val="clear" w:fill="F4F6F9"/>
          </w:tcPr>
          <w:p>
            <w:pPr>
              <w:spacing w:after="40"/>
            </w:pPr>
            <w:r/>
            <w:r>
              <w:rPr>
                <w:sz w:val="18"/>
              </w:rPr>
              <w:t>CAN topdress</w:t>
            </w:r>
          </w:p>
        </w:tc>
        <w:tc>
          <w:tcPr>
            <w:tcW w:type="dxa" w:w="1152"/>
            <w:shd w:val="clear" w:fill="F4F6F9"/>
          </w:tcPr>
          <w:p>
            <w:pPr>
              <w:spacing w:after="40"/>
            </w:pPr>
            <w:r/>
            <w:r>
              <w:rPr>
                <w:sz w:val="18"/>
              </w:rPr>
              <w:t>+530</w:t>
            </w:r>
          </w:p>
        </w:tc>
        <w:tc>
          <w:tcPr>
            <w:tcW w:type="dxa" w:w="4464"/>
            <w:shd w:val="clear" w:fill="F4F6F9"/>
          </w:tcPr>
          <w:p>
            <w:pPr>
              <w:spacing w:after="40"/>
            </w:pPr>
            <w:r/>
            <w:r>
              <w:rPr>
                <w:sz w:val="18"/>
              </w:rPr>
              <w:t>Biggest single step is from none to some. Flattens around 120–150 kg/ha.</w:t>
            </w:r>
          </w:p>
        </w:tc>
      </w:tr>
      <w:tr>
        <w:tc>
          <w:tcPr>
            <w:tcW w:type="dxa" w:w="2160"/>
          </w:tcPr>
          <w:p>
            <w:pPr>
              <w:spacing w:after="40"/>
            </w:pPr>
            <w:r/>
            <w:r>
              <w:rPr>
                <w:rFonts w:ascii="Consolas" w:hAnsi="Consolas"/>
                <w:sz w:val="17"/>
              </w:rPr>
              <w:t>basal_fertiliser</w:t>
            </w:r>
          </w:p>
        </w:tc>
        <w:tc>
          <w:tcPr>
            <w:tcW w:type="dxa" w:w="2160"/>
          </w:tcPr>
          <w:p>
            <w:pPr>
              <w:spacing w:after="40"/>
            </w:pPr>
            <w:r/>
            <w:r>
              <w:rPr>
                <w:sz w:val="18"/>
              </w:rPr>
              <w:t>DAP at planting</w:t>
            </w:r>
          </w:p>
        </w:tc>
        <w:tc>
          <w:tcPr>
            <w:tcW w:type="dxa" w:w="1152"/>
          </w:tcPr>
          <w:p>
            <w:pPr>
              <w:spacing w:after="40"/>
            </w:pPr>
            <w:r/>
            <w:r>
              <w:rPr>
                <w:sz w:val="18"/>
              </w:rPr>
              <w:t>+454</w:t>
            </w:r>
          </w:p>
        </w:tc>
        <w:tc>
          <w:tcPr>
            <w:tcW w:type="dxa" w:w="4464"/>
          </w:tcPr>
          <w:p>
            <w:pPr>
              <w:spacing w:after="40"/>
            </w:pPr>
            <w:r/>
            <w:r>
              <w:rPr>
                <w:sz w:val="18"/>
              </w:rPr>
              <w:t>Same shape. Diminishing returns are fitted, not assumed.</w:t>
            </w:r>
          </w:p>
        </w:tc>
      </w:tr>
      <w:tr>
        <w:tc>
          <w:tcPr>
            <w:tcW w:type="dxa" w:w="2160"/>
            <w:shd w:val="clear" w:fill="F4F6F9"/>
          </w:tcPr>
          <w:p>
            <w:pPr>
              <w:spacing w:after="40"/>
            </w:pPr>
            <w:r/>
            <w:r>
              <w:rPr>
                <w:rFonts w:ascii="Consolas" w:hAnsi="Consolas"/>
                <w:sz w:val="17"/>
              </w:rPr>
              <w:t>compost</w:t>
            </w:r>
          </w:p>
        </w:tc>
        <w:tc>
          <w:tcPr>
            <w:tcW w:type="dxa" w:w="2160"/>
            <w:shd w:val="clear" w:fill="F4F6F9"/>
          </w:tcPr>
          <w:p>
            <w:pPr>
              <w:spacing w:after="40"/>
            </w:pPr>
            <w:r/>
            <w:r>
              <w:rPr>
                <w:sz w:val="18"/>
              </w:rPr>
              <w:t>Compost</w:t>
            </w:r>
          </w:p>
        </w:tc>
        <w:tc>
          <w:tcPr>
            <w:tcW w:type="dxa" w:w="1152"/>
            <w:shd w:val="clear" w:fill="F4F6F9"/>
          </w:tcPr>
          <w:p>
            <w:pPr>
              <w:spacing w:after="40"/>
            </w:pPr>
            <w:r/>
            <w:r>
              <w:rPr>
                <w:sz w:val="18"/>
              </w:rPr>
              <w:t>+379</w:t>
            </w:r>
          </w:p>
        </w:tc>
        <w:tc>
          <w:tcPr>
            <w:tcW w:type="dxa" w:w="4464"/>
            <w:shd w:val="clear" w:fill="F4F6F9"/>
          </w:tcPr>
          <w:p>
            <w:pPr>
              <w:spacing w:after="40"/>
            </w:pPr>
            <w:r/>
            <w:r>
              <w:rPr>
                <w:sz w:val="18"/>
              </w:rPr>
              <w:t>84% of plots use none, so support thins out quickly at higher rates.</w:t>
            </w:r>
          </w:p>
        </w:tc>
      </w:tr>
      <w:tr>
        <w:tc>
          <w:tcPr>
            <w:tcW w:type="dxa" w:w="2160"/>
          </w:tcPr>
          <w:p>
            <w:pPr>
              <w:spacing w:after="40"/>
            </w:pPr>
            <w:r/>
            <w:r>
              <w:rPr>
                <w:rFonts w:ascii="Consolas" w:hAnsi="Consolas"/>
                <w:sz w:val="17"/>
              </w:rPr>
              <w:t>lime</w:t>
            </w:r>
          </w:p>
        </w:tc>
        <w:tc>
          <w:tcPr>
            <w:tcW w:type="dxa" w:w="2160"/>
          </w:tcPr>
          <w:p>
            <w:pPr>
              <w:spacing w:after="40"/>
            </w:pPr>
            <w:r/>
            <w:r>
              <w:rPr>
                <w:sz w:val="18"/>
              </w:rPr>
              <w:t>Agricultural lime</w:t>
            </w:r>
          </w:p>
        </w:tc>
        <w:tc>
          <w:tcPr>
            <w:tcW w:type="dxa" w:w="1152"/>
          </w:tcPr>
          <w:p>
            <w:pPr>
              <w:spacing w:after="40"/>
            </w:pPr>
            <w:r/>
            <w:r>
              <w:rPr>
                <w:sz w:val="18"/>
              </w:rPr>
              <w:t>+673</w:t>
            </w:r>
          </w:p>
        </w:tc>
        <w:tc>
          <w:tcPr>
            <w:tcW w:type="dxa" w:w="4464"/>
          </w:tcPr>
          <w:p>
            <w:pPr>
              <w:spacing w:after="40"/>
            </w:pPr>
            <w:r/>
            <w:r>
              <w:rPr>
                <w:sz w:val="18"/>
              </w:rPr>
              <w:t>Only 4% of plots apply any, so its estimate rests on a thin slice. Flagged low confidence and easily retired by raising min_support.</w:t>
            </w:r>
          </w:p>
        </w:tc>
      </w:tr>
      <w:tr>
        <w:tc>
          <w:tcPr>
            <w:tcW w:type="dxa" w:w="2160"/>
            <w:shd w:val="clear" w:fill="F4F6F9"/>
          </w:tcPr>
          <w:p>
            <w:pPr>
              <w:spacing w:after="40"/>
            </w:pPr>
            <w:r/>
            <w:r>
              <w:rPr>
                <w:rFonts w:ascii="Consolas" w:hAnsi="Consolas"/>
                <w:sz w:val="17"/>
              </w:rPr>
              <w:t>intercropping</w:t>
            </w:r>
          </w:p>
        </w:tc>
        <w:tc>
          <w:tcPr>
            <w:tcW w:type="dxa" w:w="2160"/>
            <w:shd w:val="clear" w:fill="F4F6F9"/>
          </w:tcPr>
          <w:p>
            <w:pPr>
              <w:spacing w:after="40"/>
            </w:pPr>
            <w:r/>
            <w:r>
              <w:rPr>
                <w:sz w:val="18"/>
              </w:rPr>
              <w:t>Intercropping</w:t>
            </w:r>
          </w:p>
        </w:tc>
        <w:tc>
          <w:tcPr>
            <w:tcW w:type="dxa" w:w="1152"/>
            <w:shd w:val="clear" w:fill="F4F6F9"/>
          </w:tcPr>
          <w:p>
            <w:pPr>
              <w:spacing w:after="40"/>
            </w:pPr>
            <w:r/>
            <w:r>
              <w:rPr>
                <w:sz w:val="18"/>
              </w:rPr>
              <w:t>+6</w:t>
            </w:r>
          </w:p>
        </w:tc>
        <w:tc>
          <w:tcPr>
            <w:tcW w:type="dxa" w:w="4464"/>
            <w:shd w:val="clear" w:fill="F4F6F9"/>
          </w:tcPr>
          <w:p>
            <w:pPr>
              <w:spacing w:after="40"/>
            </w:pPr>
            <w:r/>
            <w:r>
              <w:rPr>
                <w:sz w:val="18"/>
              </w:rPr>
              <w:t>Never recommended: the effect is indistinguishable from zero. That is a finding, not a gap.</w:t>
            </w:r>
          </w:p>
        </w:tc>
      </w:tr>
    </w:tbl>
    <w:p>
      <w:pPr>
        <w:spacing w:after="40"/>
      </w:pPr>
    </w:p>
    <w:p>
      <w:pPr>
        <w:pStyle w:val="Heading2"/>
      </w:pPr>
      <w:r>
        <w:t>4.4  Measured model accuracy</w:t>
      </w:r>
    </w:p>
    <w:p>
      <w:r>
        <w:rPr>
          <w:b w:val="0"/>
          <w:i w:val="0"/>
        </w:rPr>
        <w:t xml:space="preserve">Straight from </w:t>
      </w:r>
      <w:r>
        <w:rPr>
          <w:rFonts w:ascii="Consolas" w:hAnsi="Consolas"/>
          <w:b w:val="0"/>
          <w:i w:val="0"/>
          <w:sz w:val="19"/>
        </w:rPr>
        <w:t>data/models/district_v2/metadata.json</w:t>
      </w:r>
      <w:r>
        <w:rPr>
          <w:b w:val="0"/>
          <w:i w:val="0"/>
        </w:rPr>
        <w:t xml:space="preserve">, also served live at </w:t>
      </w:r>
      <w:r>
        <w:rPr>
          <w:rFonts w:ascii="Consolas" w:hAnsi="Consolas"/>
          <w:b w:val="0"/>
          <w:i w:val="0"/>
          <w:sz w:val="19"/>
        </w:rPr>
        <w:t>GET /api/v1/model/summary</w:t>
      </w:r>
      <w:r>
        <w:rPr>
          <w:b w:val="0"/>
          <w:i w:val="0"/>
        </w:rPr>
        <w:t>.</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440"/>
            <w:shd w:val="clear" w:fill="1F4E79"/>
          </w:tcPr>
          <w:p>
            <w:r/>
            <w:r>
              <w:rPr>
                <w:b/>
                <w:color w:val="FFFFFF"/>
                <w:sz w:val="18"/>
              </w:rPr>
              <w:t>Season</w:t>
            </w:r>
          </w:p>
        </w:tc>
        <w:tc>
          <w:tcPr>
            <w:tcW w:type="dxa" w:w="1440"/>
            <w:shd w:val="clear" w:fill="1F4E79"/>
          </w:tcPr>
          <w:p>
            <w:r/>
            <w:r>
              <w:rPr>
                <w:b/>
                <w:color w:val="FFFFFF"/>
                <w:sz w:val="18"/>
              </w:rPr>
              <w:t>Districts</w:t>
            </w:r>
          </w:p>
        </w:tc>
        <w:tc>
          <w:tcPr>
            <w:tcW w:type="dxa" w:w="1440"/>
            <w:shd w:val="clear" w:fill="1F4E79"/>
          </w:tcPr>
          <w:p>
            <w:r/>
            <w:r>
              <w:rPr>
                <w:b/>
                <w:color w:val="FFFFFF"/>
                <w:sz w:val="18"/>
              </w:rPr>
              <w:t>R²</w:t>
            </w:r>
          </w:p>
        </w:tc>
        <w:tc>
          <w:tcPr>
            <w:tcW w:type="dxa" w:w="1872"/>
            <w:shd w:val="clear" w:fill="1F4E79"/>
          </w:tcPr>
          <w:p>
            <w:r/>
            <w:r>
              <w:rPr>
                <w:b/>
                <w:color w:val="FFFFFF"/>
                <w:sz w:val="18"/>
              </w:rPr>
              <w:t>MAE (kg/ha)</w:t>
            </w:r>
          </w:p>
        </w:tc>
        <w:tc>
          <w:tcPr>
            <w:tcW w:type="dxa" w:w="1728"/>
            <w:shd w:val="clear" w:fill="1F4E79"/>
          </w:tcPr>
          <w:p>
            <w:r/>
            <w:r>
              <w:rPr>
                <w:b/>
                <w:color w:val="FFFFFF"/>
                <w:sz w:val="18"/>
              </w:rPr>
              <w:t>Correlation</w:t>
            </w:r>
          </w:p>
        </w:tc>
      </w:tr>
      <w:tr>
        <w:tc>
          <w:tcPr>
            <w:tcW w:type="dxa" w:w="1440"/>
          </w:tcPr>
          <w:p>
            <w:pPr>
              <w:spacing w:after="40"/>
            </w:pPr>
            <w:r/>
            <w:r>
              <w:rPr>
                <w:sz w:val="18"/>
              </w:rPr>
              <w:t>2019</w:t>
            </w:r>
          </w:p>
        </w:tc>
        <w:tc>
          <w:tcPr>
            <w:tcW w:type="dxa" w:w="1440"/>
          </w:tcPr>
          <w:p>
            <w:pPr>
              <w:spacing w:after="40"/>
            </w:pPr>
            <w:r/>
            <w:r>
              <w:rPr>
                <w:sz w:val="18"/>
              </w:rPr>
              <w:t>39</w:t>
            </w:r>
          </w:p>
        </w:tc>
        <w:tc>
          <w:tcPr>
            <w:tcW w:type="dxa" w:w="1440"/>
          </w:tcPr>
          <w:p>
            <w:pPr>
              <w:spacing w:after="40"/>
            </w:pPr>
            <w:r/>
            <w:r>
              <w:rPr>
                <w:sz w:val="18"/>
              </w:rPr>
              <w:t>0.380</w:t>
            </w:r>
          </w:p>
        </w:tc>
        <w:tc>
          <w:tcPr>
            <w:tcW w:type="dxa" w:w="1872"/>
          </w:tcPr>
          <w:p>
            <w:pPr>
              <w:spacing w:after="40"/>
            </w:pPr>
            <w:r/>
            <w:r>
              <w:rPr>
                <w:sz w:val="18"/>
              </w:rPr>
              <w:t>696</w:t>
            </w:r>
          </w:p>
        </w:tc>
        <w:tc>
          <w:tcPr>
            <w:tcW w:type="dxa" w:w="1728"/>
          </w:tcPr>
          <w:p>
            <w:pPr>
              <w:spacing w:after="40"/>
            </w:pPr>
            <w:r/>
            <w:r>
              <w:rPr>
                <w:sz w:val="18"/>
              </w:rPr>
              <w:t>0.653</w:t>
            </w:r>
          </w:p>
        </w:tc>
      </w:tr>
      <w:tr>
        <w:tc>
          <w:tcPr>
            <w:tcW w:type="dxa" w:w="1440"/>
            <w:shd w:val="clear" w:fill="F4F6F9"/>
          </w:tcPr>
          <w:p>
            <w:pPr>
              <w:spacing w:after="40"/>
            </w:pPr>
            <w:r/>
            <w:r>
              <w:rPr>
                <w:sz w:val="18"/>
              </w:rPr>
              <w:t>2020</w:t>
            </w:r>
          </w:p>
        </w:tc>
        <w:tc>
          <w:tcPr>
            <w:tcW w:type="dxa" w:w="1440"/>
            <w:shd w:val="clear" w:fill="F4F6F9"/>
          </w:tcPr>
          <w:p>
            <w:pPr>
              <w:spacing w:after="40"/>
            </w:pPr>
            <w:r/>
            <w:r>
              <w:rPr>
                <w:sz w:val="18"/>
              </w:rPr>
              <w:t>50</w:t>
            </w:r>
          </w:p>
        </w:tc>
        <w:tc>
          <w:tcPr>
            <w:tcW w:type="dxa" w:w="1440"/>
            <w:shd w:val="clear" w:fill="F4F6F9"/>
          </w:tcPr>
          <w:p>
            <w:pPr>
              <w:spacing w:after="40"/>
            </w:pPr>
            <w:r/>
            <w:r>
              <w:rPr>
                <w:sz w:val="18"/>
              </w:rPr>
              <w:t>0.586</w:t>
            </w:r>
          </w:p>
        </w:tc>
        <w:tc>
          <w:tcPr>
            <w:tcW w:type="dxa" w:w="1872"/>
            <w:shd w:val="clear" w:fill="F4F6F9"/>
          </w:tcPr>
          <w:p>
            <w:pPr>
              <w:spacing w:after="40"/>
            </w:pPr>
            <w:r/>
            <w:r>
              <w:rPr>
                <w:sz w:val="18"/>
              </w:rPr>
              <w:t>329</w:t>
            </w:r>
          </w:p>
        </w:tc>
        <w:tc>
          <w:tcPr>
            <w:tcW w:type="dxa" w:w="1728"/>
            <w:shd w:val="clear" w:fill="F4F6F9"/>
          </w:tcPr>
          <w:p>
            <w:pPr>
              <w:spacing w:after="40"/>
            </w:pPr>
            <w:r/>
            <w:r>
              <w:rPr>
                <w:sz w:val="18"/>
              </w:rPr>
              <w:t>0.765</w:t>
            </w:r>
          </w:p>
        </w:tc>
      </w:tr>
    </w:tbl>
    <w:p>
      <w:pPr>
        <w:spacing w:after="40"/>
      </w:pPr>
    </w:p>
    <w:p>
      <w:pPr>
        <w:pStyle w:val="ListBullet"/>
      </w:pPr>
      <w:r>
        <w:rPr>
          <w:b w:val="0"/>
          <w:i w:val="0"/>
        </w:rPr>
        <w:t>Trained on 23,674 plots across 2016–2020; validated out of time on 2019 and 2020.</w:t>
      </w:r>
    </w:p>
    <w:p>
      <w:pPr>
        <w:pStyle w:val="ListBullet"/>
      </w:pPr>
      <w:r>
        <w:rPr>
          <w:b w:val="0"/>
          <w:i w:val="0"/>
        </w:rPr>
        <w:t>Ensemble of five members: ExtraTrees, LightGBM, XGBoost, RandomForest, NeuralNet.</w:t>
      </w:r>
    </w:p>
    <w:p>
      <w:pPr>
        <w:pStyle w:val="ListBullet"/>
      </w:pPr>
      <w:r>
        <w:rPr>
          <w:b w:val="0"/>
          <w:i w:val="0"/>
        </w:rPr>
        <w:t>Prediction intervals target 80% coverage and are deliberately conservative — the nominal 80% band actually covered 92% of districts in 2020. Read them as a rarely-wrong bound.</w:t>
      </w:r>
    </w:p>
    <w:p>
      <w:pPr>
        <w:pStyle w:val="ListBullet"/>
      </w:pPr>
      <w:r>
        <w:rPr>
          <w:b w:val="0"/>
          <w:i w:val="0"/>
        </w:rPr>
        <w:t>A district average backed by fewer than 20 plots is flagged and is mostly sampling noise.</w:t>
      </w:r>
    </w:p>
    <w:p>
      <w:pPr>
        <w:pStyle w:val="ListBullet"/>
      </w:pPr>
      <w:r>
        <w:rPr>
          <w:b w:val="0"/>
          <w:i w:val="0"/>
        </w:rPr>
        <w:t>Districts never seen in training carry roughly double the error (MAE 543 vs 271 kg/ha in 2020).</w:t>
      </w:r>
    </w:p>
    <w:p>
      <w:r>
        <w:br w:type="page"/>
      </w:r>
    </w:p>
    <w:p>
      <w:pPr>
        <w:pStyle w:val="Heading1"/>
      </w:pPr>
      <w:r>
        <w:t>Part 5 · What is not built, and what comes next</w:t>
      </w:r>
    </w:p>
    <w:p>
      <w:r>
        <w:rPr>
          <w:b w:val="0"/>
          <w:i w:val="0"/>
        </w:rPr>
        <w:t>Stated plainly so nobody plans around something that does not exist.</w:t>
      </w:r>
    </w:p>
    <w:p>
      <w:pPr>
        <w:pStyle w:val="Heading2"/>
      </w:pPr>
      <w:r>
        <w:t>5.1  Not built</w:t>
      </w:r>
    </w:p>
    <w:p>
      <w:pPr>
        <w:pStyle w:val="ListBullet"/>
      </w:pPr>
      <w:r>
        <w:rPr>
          <w:b/>
          <w:i w:val="0"/>
        </w:rPr>
        <w:t>No authentication or rate limiting.</w:t>
      </w:r>
      <w:r>
        <w:rPr>
          <w:b w:val="0"/>
          <w:i w:val="0"/>
        </w:rPr>
        <w:t xml:space="preserve"> The service is open. Put it behind your API gateway and handle both there.</w:t>
      </w:r>
    </w:p>
    <w:p>
      <w:pPr>
        <w:pStyle w:val="ListBullet"/>
      </w:pPr>
      <w:r>
        <w:rPr>
          <w:b/>
          <w:i w:val="0"/>
        </w:rPr>
        <w:t>No credit or portfolio screen.</w:t>
      </w:r>
      <w:r>
        <w:rPr>
          <w:b w:val="0"/>
          <w:i w:val="0"/>
        </w:rPr>
        <w:t xml:space="preserve"> The project report describes a second audience — loan officers seeing repayment risk. It is not built, and the report itself says it should not ship until the risk flag has been validated against real repayment data, which nobody has supplied yet.</w:t>
      </w:r>
    </w:p>
    <w:p>
      <w:pPr>
        <w:pStyle w:val="ListBullet"/>
      </w:pPr>
      <w:r>
        <w:rPr>
          <w:b/>
          <w:i w:val="0"/>
        </w:rPr>
        <w:t>No costs, prices, budget or return-on-investment figures.</w:t>
      </w:r>
      <w:r>
        <w:rPr>
          <w:b w:val="0"/>
          <w:i w:val="0"/>
        </w:rPr>
        <w:t xml:space="preserve"> Everything is in kilograms per hectare. The survey carries no fertiliser or farm-gate price data, and the layer refuses to invent any — an assumed price would reorder the whole ranking. Affordability belongs in the client, where local prices are actually known.</w:t>
      </w:r>
    </w:p>
    <w:p>
      <w:pPr>
        <w:pStyle w:val="ListBullet"/>
      </w:pPr>
      <w:r>
        <w:rPr>
          <w:b/>
          <w:i w:val="0"/>
        </w:rPr>
        <w:t>Kenya and maize only.</w:t>
      </w:r>
      <w:r>
        <w:rPr>
          <w:b w:val="0"/>
          <w:i w:val="0"/>
        </w:rPr>
        <w:t xml:space="preserve"> The underlying survey covers seven countries, but maize is the only crop present in all of them, and this pipeline was scoped to Kenya.</w:t>
      </w:r>
    </w:p>
    <w:p>
      <w:pPr>
        <w:pStyle w:val="ListBullet"/>
      </w:pPr>
      <w:r>
        <w:rPr>
          <w:b/>
          <w:i w:val="0"/>
        </w:rPr>
        <w:t>Recommendation curves are national.</w:t>
      </w:r>
      <w:r>
        <w:rPr>
          <w:b w:val="0"/>
          <w:i w:val="0"/>
        </w:rPr>
        <w:t xml:space="preserve"> District and season effects are removed, but the shape of each curve is the same everywhere. The best planting date genuinely varies by district; a district-specific curve is the most valuable next improvement and is limited by sample size, not by method.</w:t>
      </w:r>
    </w:p>
    <w:p>
      <w:pPr>
        <w:pStyle w:val="Heading2"/>
      </w:pPr>
      <w:r>
        <w:t>5.2  Sensible next steps</w:t>
      </w:r>
    </w:p>
    <w:p>
      <w:pPr>
        <w:pStyle w:val="ListNumber"/>
      </w:pPr>
      <w:r>
        <w:rPr>
          <w:b/>
          <w:i w:val="0"/>
        </w:rPr>
        <w:t>Ship the recommendation screen first.</w:t>
      </w:r>
      <w:r>
        <w:rPr>
          <w:b w:val="0"/>
          <w:i w:val="0"/>
        </w:rPr>
        <w:t xml:space="preserve"> It needs no model file, so it can go live while the deployment of the large artefact is still being arranged.</w:t>
      </w:r>
    </w:p>
    <w:p>
      <w:pPr>
        <w:pStyle w:val="ListNumber"/>
      </w:pPr>
      <w:r>
        <w:rPr>
          <w:b/>
          <w:i w:val="0"/>
        </w:rPr>
        <w:t>If you need affordability, build it client-side.</w:t>
      </w:r>
      <w:r>
        <w:rPr>
          <w:b w:val="0"/>
          <w:i w:val="0"/>
        </w:rPr>
        <w:t xml:space="preserve"> Hold a regional price table in the app, multiply it against the recommended quantities, and keep that arithmetic visibly separate from the service's yield figures.</w:t>
      </w:r>
    </w:p>
    <w:p>
      <w:pPr>
        <w:pStyle w:val="ListNumber"/>
      </w:pPr>
      <w:r>
        <w:rPr>
          <w:b/>
          <w:i w:val="0"/>
        </w:rPr>
        <w:t>Log model_version and curves_version</w:t>
      </w:r>
      <w:r>
        <w:rPr>
          <w:b w:val="0"/>
          <w:i w:val="0"/>
        </w:rPr>
        <w:t xml:space="preserve"> with every request from day one. When a retrained model changes an answer, you will want to know exactly when it changed.</w:t>
      </w:r>
    </w:p>
    <w:p>
      <w:pPr>
        <w:pStyle w:val="ListNumber"/>
      </w:pPr>
      <w:r>
        <w:rPr>
          <w:b/>
          <w:i w:val="0"/>
        </w:rPr>
        <w:t>Agree a retraining cadence with the MEL team.</w:t>
      </w:r>
      <w:r>
        <w:rPr>
          <w:b w:val="0"/>
          <w:i w:val="0"/>
        </w:rPr>
        <w:t xml:space="preserve"> The survey questionnaire changes between rounds, so this is a coordination problem before it is a technical one.</w:t>
      </w:r>
    </w:p>
    <w:p>
      <w:pPr>
        <w:spacing w:before="40" w:after="40"/>
        <w:pBdr>
          <w:bottom w:val="single" w:sz="6" w:color="C9D2DD"/>
        </w:pBdr>
      </w:pPr>
    </w:p>
    <w:p>
      <w:r>
        <w:rPr>
          <w:b w:val="0"/>
          <w:i w:val="0"/>
        </w:rPr>
      </w:r>
    </w:p>
    <w:p>
      <w:r>
        <w:rPr>
          <w:b/>
          <w:i w:val="0"/>
        </w:rPr>
        <w:t>Questions about the HTTP contract</w:t>
      </w:r>
      <w:r>
        <w:rPr>
          <w:b w:val="0"/>
          <w:i w:val="0"/>
        </w:rPr>
        <w:t xml:space="preserve"> → Documentation/api_reference.md. </w:t>
      </w:r>
      <w:r>
        <w:rPr>
          <w:b/>
          <w:i w:val="0"/>
        </w:rPr>
        <w:t>About what the model can and cannot do</w:t>
      </w:r>
      <w:r>
        <w:rPr>
          <w:b w:val="0"/>
          <w:i w:val="0"/>
        </w:rPr>
        <w:t xml:space="preserve"> → kenya_maize_district_model_deployment.md. </w:t>
      </w:r>
      <w:r>
        <w:rPr>
          <w:b/>
          <w:i w:val="0"/>
        </w:rPr>
        <w:t>About how the advice is estimated</w:t>
      </w:r>
      <w:r>
        <w:rPr>
          <w:b w:val="0"/>
          <w:i w:val="0"/>
        </w:rPr>
        <w:t xml:space="preserve"> → kenya_maize_recommendation_layer.md. All three are in the repository, and all three are kept in step with the code.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6B63"/>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