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DÜNYA BANKASI VERİLERİYLE ÜLKE ESG ENDEKSLERİNİN CO2 EMİSYONLARI ÜZERİNDEKİ ETKİSİ:</w:t>
        <w:br/>
        <w:t>PCA, XGBOOST VE DİNAMİK PANEL REGRESYON MODELLERİ</w:t>
      </w:r>
    </w:p>
    <w:p>
      <w:pPr>
        <w:jc w:val="center"/>
      </w:pPr>
    </w:p>
    <w:p>
      <w:pPr>
        <w:jc w:val="center"/>
      </w:pPr>
      <w:r>
        <w:rPr>
          <w:i/>
          <w:sz w:val="22"/>
        </w:rPr>
        <w:t>Araştırma Raporu &amp; Ülke Düzeyinde Model Bulguları</w:t>
        <w:br/>
        <w:t>Tarih: 19 Haziran 2026</w:t>
      </w:r>
    </w:p>
    <w:p>
      <w:r>
        <w:br w:type="page"/>
      </w:r>
    </w:p>
    <w:p>
      <w:pPr>
        <w:pStyle w:val="Heading1"/>
      </w:pPr>
      <w:r>
        <w:t>Özet</w:t>
      </w:r>
    </w:p>
    <w:p>
      <w:r>
        <w:t>Bu çalışmada, Dünya Bankası Dünya Gelişme Göstergeleri (WDI) veri setinde yer alan Çevre, Sosyal ve Yönetişim (ESG) göstergeleri kullanılarak 20 ülke için 2010-2023 dönemine ait ülke düzeyinde endeksler oluşturulmuştur. Çevresel, sosyal ve kurumsal/makro yönetişim boyutlarındaki göstergelerin ağırlıkları Temel Bileşenler Analizi (PCA) ile belirlenmiş; elde edilen ENVIndex, SOCIndex ve GOVIndex ülke karbon emisyonları (`CO2_per_capita`) üzerindeki etkisini incelemek üzere modellenmiştir. Modellemede doğrusal olmayan ilişkileri yakalamak amacıyla XGBoost makine öğrenmesi ve marjinal etkileri açıklayan SHAP değerleri kullanılmıştır. Davranışsal ataleti ve sabit etkileri kontrol etmek adına ise dinamik panel regresyon modelleri (Fixed Effects) çalıştırılmıştır. Bulgular, sürdürülebilirlik boyutlarındaki (özellikle SOCIndex ve ENVIndex) iyileşmenin karbon emisyonlarını düşürdüğünü, buna karşılık ekonomik büyüme ve büyüklüğün (GDP pc) emisyonlar üzerinde artırıcı yönde baskı oluşturduğunu ortaya koymaktadır.</w:t>
      </w:r>
    </w:p>
    <w:p>
      <w:pPr>
        <w:pStyle w:val="Heading1"/>
      </w:pPr>
      <w:r>
        <w:t>1. Yöntem ve Veri Seti</w:t>
      </w:r>
    </w:p>
    <w:p>
      <w:r>
        <w:t>Veri seti Dünya Bankası API'sinden çekilen 20 ülke ve 14 yılı kapsayan dengeli panel veri yapısından (N=20, T=14, Toplam 280 gözlem) oluşmaktadır. Ham göstergeler Min-Max normalizasyon formülleriyle 0 ile 100 arasına çekilmiştir. Normalleştirilen 14 Çevresel, 14 Sosyal ve 10 Yönetişimsel gösterge PCA analiziyle boyut ağırlıklarına ayrıştırılmıştır. Bağımlı değişken kişi başına karbon emisyonudur (`CO2_per_capita`).</w:t>
      </w:r>
    </w:p>
    <w:p>
      <w:pPr>
        <w:pStyle w:val="Heading2"/>
      </w:pPr>
      <w:r>
        <w:t>Tanımlayıcı İstatistikler</w:t>
      </w:r>
    </w:p>
    <w:p>
      <w:r>
        <w:t>Modelde yer alan temel endeksler ve makro kontrol değişkenlerine ait tanımlayıcı istatistikler Tablo 1'de sunulmaktadır.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1080"/>
        <w:gridCol w:w="1080"/>
        <w:gridCol w:w="1080"/>
        <w:gridCol w:w="1080"/>
        <w:gridCol w:w="1080"/>
        <w:gridCol w:w="1080"/>
        <w:gridCol w:w="1080"/>
        <w:gridCol w:w="1080"/>
      </w:tblGrid>
      <w:tr>
        <w:tc>
          <w:tcPr>
            <w:tcW w:type="dxa" w:w="1080"/>
            <w:shd w:fill="F2F2F2"/>
          </w:tcPr>
          <w:p>
            <w:pPr>
              <w:jc w:val="center"/>
            </w:pPr>
            <w:r>
              <w:rPr>
                <w:rFonts w:ascii="Calibri" w:hAnsi="Calibri"/>
                <w:b/>
                <w:i w:val="0"/>
                <w:color w:val="000000"/>
                <w:sz w:val="18"/>
              </w:rPr>
              <w:t>İstatistik</w:t>
            </w:r>
          </w:p>
        </w:tc>
        <w:tc>
          <w:tcPr>
            <w:tcW w:type="dxa" w:w="1080"/>
            <w:shd w:fill="F2F2F2"/>
          </w:tcPr>
          <w:p>
            <w:pPr>
              <w:jc w:val="center"/>
            </w:pPr>
            <w:r>
              <w:rPr>
                <w:rFonts w:ascii="Calibri" w:hAnsi="Calibri"/>
                <w:b/>
                <w:i w:val="0"/>
                <w:color w:val="000000"/>
                <w:sz w:val="18"/>
              </w:rPr>
              <w:t>CO2 per Capita</w:t>
            </w:r>
          </w:p>
        </w:tc>
        <w:tc>
          <w:tcPr>
            <w:tcW w:type="dxa" w:w="1080"/>
            <w:shd w:fill="F2F2F2"/>
          </w:tcPr>
          <w:p>
            <w:pPr>
              <w:jc w:val="center"/>
            </w:pPr>
            <w:r>
              <w:rPr>
                <w:rFonts w:ascii="Calibri" w:hAnsi="Calibri"/>
                <w:b/>
                <w:i w:val="0"/>
                <w:color w:val="000000"/>
                <w:sz w:val="18"/>
              </w:rPr>
              <w:t>ENVIndex</w:t>
            </w:r>
          </w:p>
        </w:tc>
        <w:tc>
          <w:tcPr>
            <w:tcW w:type="dxa" w:w="1080"/>
            <w:shd w:fill="F2F2F2"/>
          </w:tcPr>
          <w:p>
            <w:pPr>
              <w:jc w:val="center"/>
            </w:pPr>
            <w:r>
              <w:rPr>
                <w:rFonts w:ascii="Calibri" w:hAnsi="Calibri"/>
                <w:b/>
                <w:i w:val="0"/>
                <w:color w:val="000000"/>
                <w:sz w:val="18"/>
              </w:rPr>
              <w:t>SOCIndex</w:t>
            </w:r>
          </w:p>
        </w:tc>
        <w:tc>
          <w:tcPr>
            <w:tcW w:type="dxa" w:w="1080"/>
            <w:shd w:fill="F2F2F2"/>
          </w:tcPr>
          <w:p>
            <w:pPr>
              <w:jc w:val="center"/>
            </w:pPr>
            <w:r>
              <w:rPr>
                <w:rFonts w:ascii="Calibri" w:hAnsi="Calibri"/>
                <w:b/>
                <w:i w:val="0"/>
                <w:color w:val="000000"/>
                <w:sz w:val="18"/>
              </w:rPr>
              <w:t>GOVIndex</w:t>
            </w:r>
          </w:p>
        </w:tc>
        <w:tc>
          <w:tcPr>
            <w:tcW w:type="dxa" w:w="1080"/>
            <w:shd w:fill="F2F2F2"/>
          </w:tcPr>
          <w:p>
            <w:pPr>
              <w:jc w:val="center"/>
            </w:pPr>
            <w:r>
              <w:rPr>
                <w:rFonts w:ascii="Calibri" w:hAnsi="Calibri"/>
                <w:b/>
                <w:i w:val="0"/>
                <w:color w:val="000000"/>
                <w:sz w:val="18"/>
              </w:rPr>
              <w:t>Log GDP pc</w:t>
            </w:r>
          </w:p>
        </w:tc>
        <w:tc>
          <w:tcPr>
            <w:tcW w:type="dxa" w:w="1080"/>
            <w:shd w:fill="F2F2F2"/>
          </w:tcPr>
          <w:p>
            <w:pPr>
              <w:jc w:val="center"/>
            </w:pPr>
            <w:r>
              <w:rPr>
                <w:rFonts w:ascii="Calibri" w:hAnsi="Calibri"/>
                <w:b/>
                <w:i w:val="0"/>
                <w:color w:val="000000"/>
                <w:sz w:val="18"/>
              </w:rPr>
              <w:t>GDP Büyüme</w:t>
            </w:r>
          </w:p>
        </w:tc>
        <w:tc>
          <w:tcPr>
            <w:tcW w:type="dxa" w:w="1080"/>
            <w:shd w:fill="F2F2F2"/>
          </w:tcPr>
          <w:p>
            <w:pPr>
              <w:jc w:val="center"/>
            </w:pPr>
            <w:r>
              <w:rPr>
                <w:rFonts w:ascii="Calibri" w:hAnsi="Calibri"/>
                <w:b/>
                <w:i w:val="0"/>
                <w:color w:val="000000"/>
                <w:sz w:val="18"/>
              </w:rPr>
              <w:t>Enflasyon</w:t>
            </w:r>
          </w:p>
        </w:tc>
      </w:tr>
      <w:tr>
        <w:tc>
          <w:tcPr>
            <w:tcW w:type="dxa" w:w="1080"/>
          </w:tcPr>
          <w:p>
            <w:pPr>
              <w:jc w:val="left"/>
            </w:pPr>
            <w:r>
              <w:rPr>
                <w:rFonts w:ascii="Calibri" w:hAnsi="Calibri"/>
                <w:b/>
                <w:i w:val="0"/>
                <w:color w:val="000000"/>
                <w:sz w:val="18"/>
              </w:rPr>
              <w:t>Ortalama</w:t>
            </w:r>
          </w:p>
        </w:tc>
        <w:tc>
          <w:tcPr>
            <w:tcW w:type="dxa" w:w="1080"/>
          </w:tcPr>
          <w:p>
            <w:pPr>
              <w:jc w:val="right"/>
            </w:pPr>
            <w:r>
              <w:rPr>
                <w:rFonts w:ascii="Calibri" w:hAnsi="Calibri"/>
                <w:b w:val="0"/>
                <w:i w:val="0"/>
                <w:color w:val="000000"/>
                <w:sz w:val="18"/>
              </w:rPr>
              <w:t>7.870</w:t>
            </w:r>
          </w:p>
        </w:tc>
        <w:tc>
          <w:tcPr>
            <w:tcW w:type="dxa" w:w="1080"/>
          </w:tcPr>
          <w:p>
            <w:pPr>
              <w:jc w:val="right"/>
            </w:pPr>
            <w:r>
              <w:rPr>
                <w:rFonts w:ascii="Calibri" w:hAnsi="Calibri"/>
                <w:b w:val="0"/>
                <w:i w:val="0"/>
                <w:color w:val="000000"/>
                <w:sz w:val="18"/>
              </w:rPr>
              <w:t>72.719</w:t>
            </w:r>
          </w:p>
        </w:tc>
        <w:tc>
          <w:tcPr>
            <w:tcW w:type="dxa" w:w="1080"/>
          </w:tcPr>
          <w:p>
            <w:pPr>
              <w:jc w:val="right"/>
            </w:pPr>
            <w:r>
              <w:rPr>
                <w:rFonts w:ascii="Calibri" w:hAnsi="Calibri"/>
                <w:b w:val="0"/>
                <w:i w:val="0"/>
                <w:color w:val="000000"/>
                <w:sz w:val="18"/>
              </w:rPr>
              <w:t>70.583</w:t>
            </w:r>
          </w:p>
        </w:tc>
        <w:tc>
          <w:tcPr>
            <w:tcW w:type="dxa" w:w="1080"/>
          </w:tcPr>
          <w:p>
            <w:pPr>
              <w:jc w:val="right"/>
            </w:pPr>
            <w:r>
              <w:rPr>
                <w:rFonts w:ascii="Calibri" w:hAnsi="Calibri"/>
                <w:b w:val="0"/>
                <w:i w:val="0"/>
                <w:color w:val="000000"/>
                <w:sz w:val="18"/>
              </w:rPr>
              <w:t>55.197</w:t>
            </w:r>
          </w:p>
        </w:tc>
        <w:tc>
          <w:tcPr>
            <w:tcW w:type="dxa" w:w="1080"/>
          </w:tcPr>
          <w:p>
            <w:pPr>
              <w:jc w:val="right"/>
            </w:pPr>
            <w:r>
              <w:rPr>
                <w:rFonts w:ascii="Calibri" w:hAnsi="Calibri"/>
                <w:b w:val="0"/>
                <w:i w:val="0"/>
                <w:color w:val="000000"/>
                <w:sz w:val="18"/>
              </w:rPr>
              <w:t>10.145</w:t>
            </w:r>
          </w:p>
        </w:tc>
        <w:tc>
          <w:tcPr>
            <w:tcW w:type="dxa" w:w="1080"/>
          </w:tcPr>
          <w:p>
            <w:pPr>
              <w:jc w:val="right"/>
            </w:pPr>
            <w:r>
              <w:rPr>
                <w:rFonts w:ascii="Calibri" w:hAnsi="Calibri"/>
                <w:b w:val="0"/>
                <w:i w:val="0"/>
                <w:color w:val="000000"/>
                <w:sz w:val="18"/>
              </w:rPr>
              <w:t>2.408</w:t>
            </w:r>
          </w:p>
        </w:tc>
        <w:tc>
          <w:tcPr>
            <w:tcW w:type="dxa" w:w="1080"/>
          </w:tcPr>
          <w:p>
            <w:pPr>
              <w:jc w:val="right"/>
            </w:pPr>
            <w:r>
              <w:rPr>
                <w:rFonts w:ascii="Calibri" w:hAnsi="Calibri"/>
                <w:b w:val="0"/>
                <w:i w:val="0"/>
                <w:color w:val="000000"/>
                <w:sz w:val="18"/>
              </w:rPr>
              <w:t>3.555</w:t>
            </w:r>
          </w:p>
        </w:tc>
      </w:tr>
      <w:tr>
        <w:tc>
          <w:tcPr>
            <w:tcW w:type="dxa" w:w="1080"/>
          </w:tcPr>
          <w:p>
            <w:pPr>
              <w:jc w:val="left"/>
            </w:pPr>
            <w:r>
              <w:rPr>
                <w:rFonts w:ascii="Calibri" w:hAnsi="Calibri"/>
                <w:b/>
                <w:i w:val="0"/>
                <w:color w:val="000000"/>
                <w:sz w:val="18"/>
              </w:rPr>
              <w:t>Std. Sapma</w:t>
            </w:r>
          </w:p>
        </w:tc>
        <w:tc>
          <w:tcPr>
            <w:tcW w:type="dxa" w:w="1080"/>
          </w:tcPr>
          <w:p>
            <w:pPr>
              <w:jc w:val="right"/>
            </w:pPr>
            <w:r>
              <w:rPr>
                <w:rFonts w:ascii="Calibri" w:hAnsi="Calibri"/>
                <w:b w:val="0"/>
                <w:i w:val="0"/>
                <w:color w:val="000000"/>
                <w:sz w:val="18"/>
              </w:rPr>
              <w:t>4.320</w:t>
            </w:r>
          </w:p>
        </w:tc>
        <w:tc>
          <w:tcPr>
            <w:tcW w:type="dxa" w:w="1080"/>
          </w:tcPr>
          <w:p>
            <w:pPr>
              <w:jc w:val="right"/>
            </w:pPr>
            <w:r>
              <w:rPr>
                <w:rFonts w:ascii="Calibri" w:hAnsi="Calibri"/>
                <w:b w:val="0"/>
                <w:i w:val="0"/>
                <w:color w:val="000000"/>
                <w:sz w:val="18"/>
              </w:rPr>
              <w:t>14.247</w:t>
            </w:r>
          </w:p>
        </w:tc>
        <w:tc>
          <w:tcPr>
            <w:tcW w:type="dxa" w:w="1080"/>
          </w:tcPr>
          <w:p>
            <w:pPr>
              <w:jc w:val="right"/>
            </w:pPr>
            <w:r>
              <w:rPr>
                <w:rFonts w:ascii="Calibri" w:hAnsi="Calibri"/>
                <w:b w:val="0"/>
                <w:i w:val="0"/>
                <w:color w:val="000000"/>
                <w:sz w:val="18"/>
              </w:rPr>
              <w:t>15.613</w:t>
            </w:r>
          </w:p>
        </w:tc>
        <w:tc>
          <w:tcPr>
            <w:tcW w:type="dxa" w:w="1080"/>
          </w:tcPr>
          <w:p>
            <w:pPr>
              <w:jc w:val="right"/>
            </w:pPr>
            <w:r>
              <w:rPr>
                <w:rFonts w:ascii="Calibri" w:hAnsi="Calibri"/>
                <w:b w:val="0"/>
                <w:i w:val="0"/>
                <w:color w:val="000000"/>
                <w:sz w:val="18"/>
              </w:rPr>
              <w:t>9.845</w:t>
            </w:r>
          </w:p>
        </w:tc>
        <w:tc>
          <w:tcPr>
            <w:tcW w:type="dxa" w:w="1080"/>
          </w:tcPr>
          <w:p>
            <w:pPr>
              <w:jc w:val="right"/>
            </w:pPr>
            <w:r>
              <w:rPr>
                <w:rFonts w:ascii="Calibri" w:hAnsi="Calibri"/>
                <w:b w:val="0"/>
                <w:i w:val="0"/>
                <w:color w:val="000000"/>
                <w:sz w:val="18"/>
              </w:rPr>
              <w:t>0.989</w:t>
            </w:r>
          </w:p>
        </w:tc>
        <w:tc>
          <w:tcPr>
            <w:tcW w:type="dxa" w:w="1080"/>
          </w:tcPr>
          <w:p>
            <w:pPr>
              <w:jc w:val="right"/>
            </w:pPr>
            <w:r>
              <w:rPr>
                <w:rFonts w:ascii="Calibri" w:hAnsi="Calibri"/>
                <w:b w:val="0"/>
                <w:i w:val="0"/>
                <w:color w:val="000000"/>
                <w:sz w:val="18"/>
              </w:rPr>
              <w:t>3.191</w:t>
            </w:r>
          </w:p>
        </w:tc>
        <w:tc>
          <w:tcPr>
            <w:tcW w:type="dxa" w:w="1080"/>
          </w:tcPr>
          <w:p>
            <w:pPr>
              <w:jc w:val="right"/>
            </w:pPr>
            <w:r>
              <w:rPr>
                <w:rFonts w:ascii="Calibri" w:hAnsi="Calibri"/>
                <w:b w:val="0"/>
                <w:i w:val="0"/>
                <w:color w:val="000000"/>
                <w:sz w:val="18"/>
              </w:rPr>
              <w:t>5.926</w:t>
            </w:r>
          </w:p>
        </w:tc>
      </w:tr>
      <w:tr>
        <w:tc>
          <w:tcPr>
            <w:tcW w:type="dxa" w:w="1080"/>
          </w:tcPr>
          <w:p>
            <w:pPr>
              <w:jc w:val="left"/>
            </w:pPr>
            <w:r>
              <w:rPr>
                <w:rFonts w:ascii="Calibri" w:hAnsi="Calibri"/>
                <w:b/>
                <w:i w:val="0"/>
                <w:color w:val="000000"/>
                <w:sz w:val="18"/>
              </w:rPr>
              <w:t>Minimum</w:t>
            </w:r>
          </w:p>
        </w:tc>
        <w:tc>
          <w:tcPr>
            <w:tcW w:type="dxa" w:w="1080"/>
          </w:tcPr>
          <w:p>
            <w:pPr>
              <w:jc w:val="right"/>
            </w:pPr>
            <w:r>
              <w:rPr>
                <w:rFonts w:ascii="Calibri" w:hAnsi="Calibri"/>
                <w:b w:val="0"/>
                <w:i w:val="0"/>
                <w:color w:val="000000"/>
                <w:sz w:val="18"/>
              </w:rPr>
              <w:t>1.391</w:t>
            </w:r>
          </w:p>
        </w:tc>
        <w:tc>
          <w:tcPr>
            <w:tcW w:type="dxa" w:w="1080"/>
          </w:tcPr>
          <w:p>
            <w:pPr>
              <w:jc w:val="right"/>
            </w:pPr>
            <w:r>
              <w:rPr>
                <w:rFonts w:ascii="Calibri" w:hAnsi="Calibri"/>
                <w:b w:val="0"/>
                <w:i w:val="0"/>
                <w:color w:val="000000"/>
                <w:sz w:val="18"/>
              </w:rPr>
              <w:t>23.878</w:t>
            </w:r>
          </w:p>
        </w:tc>
        <w:tc>
          <w:tcPr>
            <w:tcW w:type="dxa" w:w="1080"/>
          </w:tcPr>
          <w:p>
            <w:pPr>
              <w:jc w:val="right"/>
            </w:pPr>
            <w:r>
              <w:rPr>
                <w:rFonts w:ascii="Calibri" w:hAnsi="Calibri"/>
                <w:b w:val="0"/>
                <w:i w:val="0"/>
                <w:color w:val="000000"/>
                <w:sz w:val="18"/>
              </w:rPr>
              <w:t>22.132</w:t>
            </w:r>
          </w:p>
        </w:tc>
        <w:tc>
          <w:tcPr>
            <w:tcW w:type="dxa" w:w="1080"/>
          </w:tcPr>
          <w:p>
            <w:pPr>
              <w:jc w:val="right"/>
            </w:pPr>
            <w:r>
              <w:rPr>
                <w:rFonts w:ascii="Calibri" w:hAnsi="Calibri"/>
                <w:b w:val="0"/>
                <w:i w:val="0"/>
                <w:color w:val="000000"/>
                <w:sz w:val="18"/>
              </w:rPr>
              <w:t>22.881</w:t>
            </w:r>
          </w:p>
        </w:tc>
        <w:tc>
          <w:tcPr>
            <w:tcW w:type="dxa" w:w="1080"/>
          </w:tcPr>
          <w:p>
            <w:pPr>
              <w:jc w:val="right"/>
            </w:pPr>
            <w:r>
              <w:rPr>
                <w:rFonts w:ascii="Calibri" w:hAnsi="Calibri"/>
                <w:b w:val="0"/>
                <w:i w:val="0"/>
                <w:color w:val="000000"/>
                <w:sz w:val="18"/>
              </w:rPr>
              <w:t>7.120</w:t>
            </w:r>
          </w:p>
        </w:tc>
        <w:tc>
          <w:tcPr>
            <w:tcW w:type="dxa" w:w="1080"/>
          </w:tcPr>
          <w:p>
            <w:pPr>
              <w:jc w:val="right"/>
            </w:pPr>
            <w:r>
              <w:rPr>
                <w:rFonts w:ascii="Calibri" w:hAnsi="Calibri"/>
                <w:b w:val="0"/>
                <w:i w:val="0"/>
                <w:color w:val="000000"/>
                <w:sz w:val="18"/>
              </w:rPr>
              <w:t>-10.940</w:t>
            </w:r>
          </w:p>
        </w:tc>
        <w:tc>
          <w:tcPr>
            <w:tcW w:type="dxa" w:w="1080"/>
          </w:tcPr>
          <w:p>
            <w:pPr>
              <w:jc w:val="right"/>
            </w:pPr>
            <w:r>
              <w:rPr>
                <w:rFonts w:ascii="Calibri" w:hAnsi="Calibri"/>
                <w:b w:val="0"/>
                <w:i w:val="0"/>
                <w:color w:val="000000"/>
                <w:sz w:val="18"/>
              </w:rPr>
              <w:t>-1.144</w:t>
            </w:r>
          </w:p>
        </w:tc>
      </w:tr>
      <w:tr>
        <w:tc>
          <w:tcPr>
            <w:tcW w:type="dxa" w:w="1080"/>
          </w:tcPr>
          <w:p>
            <w:pPr>
              <w:jc w:val="left"/>
            </w:pPr>
            <w:r>
              <w:rPr>
                <w:rFonts w:ascii="Calibri" w:hAnsi="Calibri"/>
                <w:b/>
                <w:i w:val="0"/>
                <w:color w:val="000000"/>
                <w:sz w:val="18"/>
              </w:rPr>
              <w:t>Maximum</w:t>
            </w:r>
          </w:p>
        </w:tc>
        <w:tc>
          <w:tcPr>
            <w:tcW w:type="dxa" w:w="1080"/>
          </w:tcPr>
          <w:p>
            <w:pPr>
              <w:jc w:val="right"/>
            </w:pPr>
            <w:r>
              <w:rPr>
                <w:rFonts w:ascii="Calibri" w:hAnsi="Calibri"/>
                <w:b w:val="0"/>
                <w:i w:val="0"/>
                <w:color w:val="000000"/>
                <w:sz w:val="18"/>
              </w:rPr>
              <w:t>18.851</w:t>
            </w:r>
          </w:p>
        </w:tc>
        <w:tc>
          <w:tcPr>
            <w:tcW w:type="dxa" w:w="1080"/>
          </w:tcPr>
          <w:p>
            <w:pPr>
              <w:jc w:val="right"/>
            </w:pPr>
            <w:r>
              <w:rPr>
                <w:rFonts w:ascii="Calibri" w:hAnsi="Calibri"/>
                <w:b w:val="0"/>
                <w:i w:val="0"/>
                <w:color w:val="000000"/>
                <w:sz w:val="18"/>
              </w:rPr>
              <w:t>88.378</w:t>
            </w:r>
          </w:p>
        </w:tc>
        <w:tc>
          <w:tcPr>
            <w:tcW w:type="dxa" w:w="1080"/>
          </w:tcPr>
          <w:p>
            <w:pPr>
              <w:jc w:val="right"/>
            </w:pPr>
            <w:r>
              <w:rPr>
                <w:rFonts w:ascii="Calibri" w:hAnsi="Calibri"/>
                <w:b w:val="0"/>
                <w:i w:val="0"/>
                <w:color w:val="000000"/>
                <w:sz w:val="18"/>
              </w:rPr>
              <w:t>86.647</w:t>
            </w:r>
          </w:p>
        </w:tc>
        <w:tc>
          <w:tcPr>
            <w:tcW w:type="dxa" w:w="1080"/>
          </w:tcPr>
          <w:p>
            <w:pPr>
              <w:jc w:val="right"/>
            </w:pPr>
            <w:r>
              <w:rPr>
                <w:rFonts w:ascii="Calibri" w:hAnsi="Calibri"/>
                <w:b w:val="0"/>
                <w:i w:val="0"/>
                <w:color w:val="000000"/>
                <w:sz w:val="18"/>
              </w:rPr>
              <w:t>68.549</w:t>
            </w:r>
          </w:p>
        </w:tc>
        <w:tc>
          <w:tcPr>
            <w:tcW w:type="dxa" w:w="1080"/>
          </w:tcPr>
          <w:p>
            <w:pPr>
              <w:jc w:val="right"/>
            </w:pPr>
            <w:r>
              <w:rPr>
                <w:rFonts w:ascii="Calibri" w:hAnsi="Calibri"/>
                <w:b w:val="0"/>
                <w:i w:val="0"/>
                <w:color w:val="000000"/>
                <w:sz w:val="18"/>
              </w:rPr>
              <w:t>11.414</w:t>
            </w:r>
          </w:p>
        </w:tc>
        <w:tc>
          <w:tcPr>
            <w:tcW w:type="dxa" w:w="1080"/>
          </w:tcPr>
          <w:p>
            <w:pPr>
              <w:jc w:val="right"/>
            </w:pPr>
            <w:r>
              <w:rPr>
                <w:rFonts w:ascii="Calibri" w:hAnsi="Calibri"/>
                <w:b w:val="0"/>
                <w:i w:val="0"/>
                <w:color w:val="000000"/>
                <w:sz w:val="18"/>
              </w:rPr>
              <w:t>11.811</w:t>
            </w:r>
          </w:p>
        </w:tc>
        <w:tc>
          <w:tcPr>
            <w:tcW w:type="dxa" w:w="1080"/>
          </w:tcPr>
          <w:p>
            <w:pPr>
              <w:jc w:val="right"/>
            </w:pPr>
            <w:r>
              <w:rPr>
                <w:rFonts w:ascii="Calibri" w:hAnsi="Calibri"/>
                <w:b w:val="0"/>
                <w:i w:val="0"/>
                <w:color w:val="000000"/>
                <w:sz w:val="18"/>
              </w:rPr>
              <w:t>72.309</w:t>
            </w:r>
          </w:p>
        </w:tc>
      </w:tr>
    </w:tbl>
    <w:p>
      <w:pPr>
        <w:jc w:val="left"/>
      </w:pPr>
    </w:p>
    <w:p>
      <w:pPr>
        <w:pStyle w:val="Heading1"/>
      </w:pPr>
      <w:r>
        <w:t>2. PCA Tabanlı Değişken Ağırlıkları</w:t>
      </w:r>
    </w:p>
    <w:p>
      <w:r>
        <w:t>WDI değişkenlerinin ilk temel bileşen yük değerlerine göre türetilen ağırlık listesi Tablo 2'de sunulmuştur.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2160"/>
        <w:gridCol w:w="2160"/>
        <w:gridCol w:w="2160"/>
        <w:gridCol w:w="2160"/>
      </w:tblGrid>
      <w:tr>
        <w:tc>
          <w:tcPr>
            <w:tcW w:type="dxa" w:w="2160"/>
            <w:shd w:fill="F2F2F2"/>
          </w:tcPr>
          <w:p>
            <w:pPr>
              <w:jc w:val="center"/>
            </w:pPr>
            <w:r>
              <w:rPr>
                <w:rFonts w:ascii="Calibri" w:hAnsi="Calibri"/>
                <w:b/>
                <w:i w:val="0"/>
                <w:color w:val="000000"/>
                <w:sz w:val="18"/>
              </w:rPr>
              <w:t>Boyut</w:t>
            </w:r>
          </w:p>
        </w:tc>
        <w:tc>
          <w:tcPr>
            <w:tcW w:type="dxa" w:w="2160"/>
            <w:shd w:fill="F2F2F2"/>
          </w:tcPr>
          <w:p>
            <w:pPr>
              <w:jc w:val="center"/>
            </w:pPr>
            <w:r>
              <w:rPr>
                <w:rFonts w:ascii="Calibri" w:hAnsi="Calibri"/>
                <w:b/>
                <w:i w:val="0"/>
                <w:color w:val="000000"/>
                <w:sz w:val="18"/>
              </w:rPr>
              <w:t>Değişken Adı</w:t>
            </w:r>
          </w:p>
        </w:tc>
        <w:tc>
          <w:tcPr>
            <w:tcW w:type="dxa" w:w="2160"/>
            <w:shd w:fill="F2F2F2"/>
          </w:tcPr>
          <w:p>
            <w:pPr>
              <w:jc w:val="center"/>
            </w:pPr>
            <w:r>
              <w:rPr>
                <w:rFonts w:ascii="Calibri" w:hAnsi="Calibri"/>
                <w:b/>
                <w:i w:val="0"/>
                <w:color w:val="000000"/>
                <w:sz w:val="18"/>
              </w:rPr>
              <w:t>PCA Ağırlığı</w:t>
            </w:r>
          </w:p>
        </w:tc>
        <w:tc>
          <w:tcPr>
            <w:tcW w:type="dxa" w:w="2160"/>
            <w:shd w:fill="F2F2F2"/>
          </w:tcPr>
          <w:p>
            <w:pPr>
              <w:jc w:val="center"/>
            </w:pPr>
            <w:r>
              <w:rPr>
                <w:rFonts w:ascii="Calibri" w:hAnsi="Calibri"/>
                <w:b/>
                <w:i w:val="0"/>
                <w:color w:val="000000"/>
                <w:sz w:val="18"/>
              </w:rPr>
              <w:t>Açıklanan Varyans (PC1)</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CO2_kt</w:t>
            </w:r>
          </w:p>
        </w:tc>
        <w:tc>
          <w:tcPr>
            <w:tcW w:type="dxa" w:w="2160"/>
          </w:tcPr>
          <w:p>
            <w:pPr>
              <w:jc w:val="right"/>
            </w:pPr>
            <w:r>
              <w:rPr>
                <w:rFonts w:ascii="Calibri" w:hAnsi="Calibri"/>
                <w:b w:val="0"/>
                <w:i w:val="0"/>
                <w:color w:val="000000"/>
                <w:sz w:val="18"/>
              </w:rPr>
              <w:t>0.1046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Total_GHG</w:t>
            </w:r>
          </w:p>
        </w:tc>
        <w:tc>
          <w:tcPr>
            <w:tcW w:type="dxa" w:w="2160"/>
          </w:tcPr>
          <w:p>
            <w:pPr>
              <w:jc w:val="right"/>
            </w:pPr>
            <w:r>
              <w:rPr>
                <w:rFonts w:ascii="Calibri" w:hAnsi="Calibri"/>
                <w:b w:val="0"/>
                <w:i w:val="0"/>
                <w:color w:val="000000"/>
                <w:sz w:val="18"/>
              </w:rPr>
              <w:t>0.1060</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Methane_emissions</w:t>
            </w:r>
          </w:p>
        </w:tc>
        <w:tc>
          <w:tcPr>
            <w:tcW w:type="dxa" w:w="2160"/>
          </w:tcPr>
          <w:p>
            <w:pPr>
              <w:jc w:val="right"/>
            </w:pPr>
            <w:r>
              <w:rPr>
                <w:rFonts w:ascii="Calibri" w:hAnsi="Calibri"/>
                <w:b w:val="0"/>
                <w:i w:val="0"/>
                <w:color w:val="000000"/>
                <w:sz w:val="18"/>
              </w:rPr>
              <w:t>0.1065</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Nitrous_oxide_emissions</w:t>
            </w:r>
          </w:p>
        </w:tc>
        <w:tc>
          <w:tcPr>
            <w:tcW w:type="dxa" w:w="2160"/>
          </w:tcPr>
          <w:p>
            <w:pPr>
              <w:jc w:val="right"/>
            </w:pPr>
            <w:r>
              <w:rPr>
                <w:rFonts w:ascii="Calibri" w:hAnsi="Calibri"/>
                <w:b w:val="0"/>
                <w:i w:val="0"/>
                <w:color w:val="000000"/>
                <w:sz w:val="18"/>
              </w:rPr>
              <w:t>0.1073</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Renewable_energy_consumption_pct</w:t>
            </w:r>
          </w:p>
        </w:tc>
        <w:tc>
          <w:tcPr>
            <w:tcW w:type="dxa" w:w="2160"/>
          </w:tcPr>
          <w:p>
            <w:pPr>
              <w:jc w:val="right"/>
            </w:pPr>
            <w:r>
              <w:rPr>
                <w:rFonts w:ascii="Calibri" w:hAnsi="Calibri"/>
                <w:b w:val="0"/>
                <w:i w:val="0"/>
                <w:color w:val="000000"/>
                <w:sz w:val="18"/>
              </w:rPr>
              <w:t>0.0412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Renewable_electricity_pct</w:t>
            </w:r>
          </w:p>
        </w:tc>
        <w:tc>
          <w:tcPr>
            <w:tcW w:type="dxa" w:w="2160"/>
          </w:tcPr>
          <w:p>
            <w:pPr>
              <w:jc w:val="right"/>
            </w:pPr>
            <w:r>
              <w:rPr>
                <w:rFonts w:ascii="Calibri" w:hAnsi="Calibri"/>
                <w:b w:val="0"/>
                <w:i w:val="0"/>
                <w:color w:val="000000"/>
                <w:sz w:val="18"/>
              </w:rPr>
              <w:t>0.0667</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Forest_area_pct</w:t>
            </w:r>
          </w:p>
        </w:tc>
        <w:tc>
          <w:tcPr>
            <w:tcW w:type="dxa" w:w="2160"/>
          </w:tcPr>
          <w:p>
            <w:pPr>
              <w:jc w:val="right"/>
            </w:pPr>
            <w:r>
              <w:rPr>
                <w:rFonts w:ascii="Calibri" w:hAnsi="Calibri"/>
                <w:b w:val="0"/>
                <w:i w:val="0"/>
                <w:color w:val="000000"/>
                <w:sz w:val="18"/>
              </w:rPr>
              <w:t>0.0478</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PM25_pollution</w:t>
            </w:r>
          </w:p>
        </w:tc>
        <w:tc>
          <w:tcPr>
            <w:tcW w:type="dxa" w:w="2160"/>
          </w:tcPr>
          <w:p>
            <w:pPr>
              <w:jc w:val="right"/>
            </w:pPr>
            <w:r>
              <w:rPr>
                <w:rFonts w:ascii="Calibri" w:hAnsi="Calibri"/>
                <w:b w:val="0"/>
                <w:i w:val="0"/>
                <w:color w:val="000000"/>
                <w:sz w:val="18"/>
              </w:rPr>
              <w:t>0.0942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Access_to_electricity</w:t>
            </w:r>
          </w:p>
        </w:tc>
        <w:tc>
          <w:tcPr>
            <w:tcW w:type="dxa" w:w="2160"/>
          </w:tcPr>
          <w:p>
            <w:pPr>
              <w:jc w:val="right"/>
            </w:pPr>
            <w:r>
              <w:rPr>
                <w:rFonts w:ascii="Calibri" w:hAnsi="Calibri"/>
                <w:b w:val="0"/>
                <w:i w:val="0"/>
                <w:color w:val="000000"/>
                <w:sz w:val="18"/>
              </w:rPr>
              <w:t>0.0526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Natural_resources_rents_pct</w:t>
            </w:r>
          </w:p>
        </w:tc>
        <w:tc>
          <w:tcPr>
            <w:tcW w:type="dxa" w:w="2160"/>
          </w:tcPr>
          <w:p>
            <w:pPr>
              <w:jc w:val="right"/>
            </w:pPr>
            <w:r>
              <w:rPr>
                <w:rFonts w:ascii="Calibri" w:hAnsi="Calibri"/>
                <w:b w:val="0"/>
                <w:i w:val="0"/>
                <w:color w:val="000000"/>
                <w:sz w:val="18"/>
              </w:rPr>
              <w:t>0.0160</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Agricultural_land_pct</w:t>
            </w:r>
          </w:p>
        </w:tc>
        <w:tc>
          <w:tcPr>
            <w:tcW w:type="dxa" w:w="2160"/>
          </w:tcPr>
          <w:p>
            <w:pPr>
              <w:jc w:val="right"/>
            </w:pPr>
            <w:r>
              <w:rPr>
                <w:rFonts w:ascii="Calibri" w:hAnsi="Calibri"/>
                <w:b w:val="0"/>
                <w:i w:val="0"/>
                <w:color w:val="000000"/>
                <w:sz w:val="18"/>
              </w:rPr>
              <w:t>0.0656</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Protected_areas_pct</w:t>
            </w:r>
          </w:p>
        </w:tc>
        <w:tc>
          <w:tcPr>
            <w:tcW w:type="dxa" w:w="2160"/>
          </w:tcPr>
          <w:p>
            <w:pPr>
              <w:jc w:val="right"/>
            </w:pPr>
            <w:r>
              <w:rPr>
                <w:rFonts w:ascii="Calibri" w:hAnsi="Calibri"/>
                <w:b w:val="0"/>
                <w:i w:val="0"/>
                <w:color w:val="000000"/>
                <w:sz w:val="18"/>
              </w:rPr>
              <w:t>0.0112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Energy_use_kg_oil_equiv</w:t>
            </w:r>
          </w:p>
        </w:tc>
        <w:tc>
          <w:tcPr>
            <w:tcW w:type="dxa" w:w="2160"/>
          </w:tcPr>
          <w:p>
            <w:pPr>
              <w:jc w:val="right"/>
            </w:pPr>
            <w:r>
              <w:rPr>
                <w:rFonts w:ascii="Calibri" w:hAnsi="Calibri"/>
                <w:b w:val="0"/>
                <w:i w:val="0"/>
                <w:color w:val="000000"/>
                <w:sz w:val="18"/>
              </w:rPr>
              <w:t>0.0801</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Environmental</w:t>
            </w:r>
          </w:p>
        </w:tc>
        <w:tc>
          <w:tcPr>
            <w:tcW w:type="dxa" w:w="2160"/>
          </w:tcPr>
          <w:p>
            <w:pPr>
              <w:jc w:val="left"/>
            </w:pPr>
            <w:r>
              <w:rPr>
                <w:rFonts w:ascii="Calibri" w:hAnsi="Calibri"/>
                <w:b w:val="0"/>
                <w:i w:val="0"/>
                <w:color w:val="000000"/>
                <w:sz w:val="18"/>
              </w:rPr>
              <w:t>Electricity_from_coal_pct</w:t>
            </w:r>
          </w:p>
        </w:tc>
        <w:tc>
          <w:tcPr>
            <w:tcW w:type="dxa" w:w="2160"/>
          </w:tcPr>
          <w:p>
            <w:pPr>
              <w:jc w:val="right"/>
            </w:pPr>
            <w:r>
              <w:rPr>
                <w:rFonts w:ascii="Calibri" w:hAnsi="Calibri"/>
                <w:b w:val="0"/>
                <w:i w:val="0"/>
                <w:color w:val="000000"/>
                <w:sz w:val="18"/>
              </w:rPr>
              <w:t>0.1002</w:t>
            </w:r>
          </w:p>
        </w:tc>
        <w:tc>
          <w:tcPr>
            <w:tcW w:type="dxa" w:w="2160"/>
          </w:tcPr>
          <w:p>
            <w:pPr>
              <w:jc w:val="right"/>
            </w:pPr>
            <w:r>
              <w:rPr>
                <w:rFonts w:ascii="Calibri" w:hAnsi="Calibri"/>
                <w:b w:val="0"/>
                <w:i w:val="0"/>
                <w:color w:val="000000"/>
                <w:sz w:val="18"/>
              </w:rPr>
              <w:t>% 38.88</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Life_expectancy</w:t>
            </w:r>
          </w:p>
        </w:tc>
        <w:tc>
          <w:tcPr>
            <w:tcW w:type="dxa" w:w="2160"/>
          </w:tcPr>
          <w:p>
            <w:pPr>
              <w:jc w:val="right"/>
            </w:pPr>
            <w:r>
              <w:rPr>
                <w:rFonts w:ascii="Calibri" w:hAnsi="Calibri"/>
                <w:b w:val="0"/>
                <w:i w:val="0"/>
                <w:color w:val="000000"/>
                <w:sz w:val="18"/>
              </w:rPr>
              <w:t>0.1006</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Under_5_mortality_rate</w:t>
            </w:r>
          </w:p>
        </w:tc>
        <w:tc>
          <w:tcPr>
            <w:tcW w:type="dxa" w:w="2160"/>
          </w:tcPr>
          <w:p>
            <w:pPr>
              <w:jc w:val="right"/>
            </w:pPr>
            <w:r>
              <w:rPr>
                <w:rFonts w:ascii="Calibri" w:hAnsi="Calibri"/>
                <w:b w:val="0"/>
                <w:i w:val="0"/>
                <w:color w:val="000000"/>
                <w:sz w:val="18"/>
              </w:rPr>
              <w:t>0.1036</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Safe_drinking_water_pct</w:t>
            </w:r>
          </w:p>
        </w:tc>
        <w:tc>
          <w:tcPr>
            <w:tcW w:type="dxa" w:w="2160"/>
          </w:tcPr>
          <w:p>
            <w:pPr>
              <w:jc w:val="right"/>
            </w:pPr>
            <w:r>
              <w:rPr>
                <w:rFonts w:ascii="Calibri" w:hAnsi="Calibri"/>
                <w:b w:val="0"/>
                <w:i w:val="0"/>
                <w:color w:val="000000"/>
                <w:sz w:val="18"/>
              </w:rPr>
              <w:t>0.0928</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Safe_sanitation_pct</w:t>
            </w:r>
          </w:p>
        </w:tc>
        <w:tc>
          <w:tcPr>
            <w:tcW w:type="dxa" w:w="2160"/>
          </w:tcPr>
          <w:p>
            <w:pPr>
              <w:jc w:val="right"/>
            </w:pPr>
            <w:r>
              <w:rPr>
                <w:rFonts w:ascii="Calibri" w:hAnsi="Calibri"/>
                <w:b w:val="0"/>
                <w:i w:val="0"/>
                <w:color w:val="000000"/>
                <w:sz w:val="18"/>
              </w:rPr>
              <w:t>0.0901</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Primary_school_enrollment</w:t>
            </w:r>
          </w:p>
        </w:tc>
        <w:tc>
          <w:tcPr>
            <w:tcW w:type="dxa" w:w="2160"/>
          </w:tcPr>
          <w:p>
            <w:pPr>
              <w:jc w:val="right"/>
            </w:pPr>
            <w:r>
              <w:rPr>
                <w:rFonts w:ascii="Calibri" w:hAnsi="Calibri"/>
                <w:b w:val="0"/>
                <w:i w:val="0"/>
                <w:color w:val="000000"/>
                <w:sz w:val="18"/>
              </w:rPr>
              <w:t>0.0237</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Secondary_school_enrollment</w:t>
            </w:r>
          </w:p>
        </w:tc>
        <w:tc>
          <w:tcPr>
            <w:tcW w:type="dxa" w:w="2160"/>
          </w:tcPr>
          <w:p>
            <w:pPr>
              <w:jc w:val="right"/>
            </w:pPr>
            <w:r>
              <w:rPr>
                <w:rFonts w:ascii="Calibri" w:hAnsi="Calibri"/>
                <w:b w:val="0"/>
                <w:i w:val="0"/>
                <w:color w:val="000000"/>
                <w:sz w:val="18"/>
              </w:rPr>
              <w:t>0.0658</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Tertiary_school_enrollment</w:t>
            </w:r>
          </w:p>
        </w:tc>
        <w:tc>
          <w:tcPr>
            <w:tcW w:type="dxa" w:w="2160"/>
          </w:tcPr>
          <w:p>
            <w:pPr>
              <w:jc w:val="right"/>
            </w:pPr>
            <w:r>
              <w:rPr>
                <w:rFonts w:ascii="Calibri" w:hAnsi="Calibri"/>
                <w:b w:val="0"/>
                <w:i w:val="0"/>
                <w:color w:val="000000"/>
                <w:sz w:val="18"/>
              </w:rPr>
              <w:t>0.0852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Adult_literacy_rate</w:t>
            </w:r>
          </w:p>
        </w:tc>
        <w:tc>
          <w:tcPr>
            <w:tcW w:type="dxa" w:w="2160"/>
          </w:tcPr>
          <w:p>
            <w:pPr>
              <w:jc w:val="right"/>
            </w:pPr>
            <w:r>
              <w:rPr>
                <w:rFonts w:ascii="Calibri" w:hAnsi="Calibri"/>
                <w:b w:val="0"/>
                <w:i w:val="0"/>
                <w:color w:val="000000"/>
                <w:sz w:val="18"/>
              </w:rPr>
              <w:t>0.0732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Unemployment_pct</w:t>
            </w:r>
          </w:p>
        </w:tc>
        <w:tc>
          <w:tcPr>
            <w:tcW w:type="dxa" w:w="2160"/>
          </w:tcPr>
          <w:p>
            <w:pPr>
              <w:jc w:val="right"/>
            </w:pPr>
            <w:r>
              <w:rPr>
                <w:rFonts w:ascii="Calibri" w:hAnsi="Calibri"/>
                <w:b w:val="0"/>
                <w:i w:val="0"/>
                <w:color w:val="000000"/>
                <w:sz w:val="18"/>
              </w:rPr>
              <w:t>0.0462</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Female_labor_participation_pct</w:t>
            </w:r>
          </w:p>
        </w:tc>
        <w:tc>
          <w:tcPr>
            <w:tcW w:type="dxa" w:w="2160"/>
          </w:tcPr>
          <w:p>
            <w:pPr>
              <w:jc w:val="right"/>
            </w:pPr>
            <w:r>
              <w:rPr>
                <w:rFonts w:ascii="Calibri" w:hAnsi="Calibri"/>
                <w:b w:val="0"/>
                <w:i w:val="0"/>
                <w:color w:val="000000"/>
                <w:sz w:val="18"/>
              </w:rPr>
              <w:t>0.0717</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Gini_index</w:t>
            </w:r>
          </w:p>
        </w:tc>
        <w:tc>
          <w:tcPr>
            <w:tcW w:type="dxa" w:w="2160"/>
          </w:tcPr>
          <w:p>
            <w:pPr>
              <w:jc w:val="right"/>
            </w:pPr>
            <w:r>
              <w:rPr>
                <w:rFonts w:ascii="Calibri" w:hAnsi="Calibri"/>
                <w:b w:val="0"/>
                <w:i w:val="0"/>
                <w:color w:val="000000"/>
                <w:sz w:val="18"/>
              </w:rPr>
              <w:t>0.0599</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Poverty_headcount_ratio</w:t>
            </w:r>
          </w:p>
        </w:tc>
        <w:tc>
          <w:tcPr>
            <w:tcW w:type="dxa" w:w="2160"/>
          </w:tcPr>
          <w:p>
            <w:pPr>
              <w:jc w:val="right"/>
            </w:pPr>
            <w:r>
              <w:rPr>
                <w:rFonts w:ascii="Calibri" w:hAnsi="Calibri"/>
                <w:b w:val="0"/>
                <w:i w:val="0"/>
                <w:color w:val="000000"/>
                <w:sz w:val="18"/>
              </w:rPr>
              <w:t>0.0723</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Clean_fuel_access_pct</w:t>
            </w:r>
          </w:p>
        </w:tc>
        <w:tc>
          <w:tcPr>
            <w:tcW w:type="dxa" w:w="2160"/>
          </w:tcPr>
          <w:p>
            <w:pPr>
              <w:jc w:val="right"/>
            </w:pPr>
            <w:r>
              <w:rPr>
                <w:rFonts w:ascii="Calibri" w:hAnsi="Calibri"/>
                <w:b w:val="0"/>
                <w:i w:val="0"/>
                <w:color w:val="000000"/>
                <w:sz w:val="18"/>
              </w:rPr>
              <w:t>0.0889</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Social</w:t>
            </w:r>
          </w:p>
        </w:tc>
        <w:tc>
          <w:tcPr>
            <w:tcW w:type="dxa" w:w="2160"/>
          </w:tcPr>
          <w:p>
            <w:pPr>
              <w:jc w:val="left"/>
            </w:pPr>
            <w:r>
              <w:rPr>
                <w:rFonts w:ascii="Calibri" w:hAnsi="Calibri"/>
                <w:b w:val="0"/>
                <w:i w:val="0"/>
                <w:color w:val="000000"/>
                <w:sz w:val="18"/>
              </w:rPr>
              <w:t>CPIA_gender_equality_rating</w:t>
            </w:r>
          </w:p>
        </w:tc>
        <w:tc>
          <w:tcPr>
            <w:tcW w:type="dxa" w:w="2160"/>
          </w:tcPr>
          <w:p>
            <w:pPr>
              <w:jc w:val="right"/>
            </w:pPr>
            <w:r>
              <w:rPr>
                <w:rFonts w:ascii="Calibri" w:hAnsi="Calibri"/>
                <w:b w:val="0"/>
                <w:i w:val="0"/>
                <w:color w:val="000000"/>
                <w:sz w:val="18"/>
              </w:rPr>
              <w:t>0.0260</w:t>
            </w:r>
          </w:p>
        </w:tc>
        <w:tc>
          <w:tcPr>
            <w:tcW w:type="dxa" w:w="2160"/>
          </w:tcPr>
          <w:p>
            <w:pPr>
              <w:jc w:val="right"/>
            </w:pPr>
            <w:r>
              <w:rPr>
                <w:rFonts w:ascii="Calibri" w:hAnsi="Calibri"/>
                <w:b w:val="0"/>
                <w:i w:val="0"/>
                <w:color w:val="000000"/>
                <w:sz w:val="18"/>
              </w:rPr>
              <w:t>% 48.02</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Industry_value_added_pct_GDP</w:t>
            </w:r>
          </w:p>
        </w:tc>
        <w:tc>
          <w:tcPr>
            <w:tcW w:type="dxa" w:w="2160"/>
          </w:tcPr>
          <w:p>
            <w:pPr>
              <w:jc w:val="right"/>
            </w:pPr>
            <w:r>
              <w:rPr>
                <w:rFonts w:ascii="Calibri" w:hAnsi="Calibri"/>
                <w:b w:val="0"/>
                <w:i w:val="0"/>
                <w:color w:val="000000"/>
                <w:sz w:val="18"/>
              </w:rPr>
              <w:t>0.1349</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Services_value_added_pct_GDP</w:t>
            </w:r>
          </w:p>
        </w:tc>
        <w:tc>
          <w:tcPr>
            <w:tcW w:type="dxa" w:w="2160"/>
          </w:tcPr>
          <w:p>
            <w:pPr>
              <w:jc w:val="right"/>
            </w:pPr>
            <w:r>
              <w:rPr>
                <w:rFonts w:ascii="Calibri" w:hAnsi="Calibri"/>
                <w:b w:val="0"/>
                <w:i w:val="0"/>
                <w:color w:val="000000"/>
                <w:sz w:val="18"/>
              </w:rPr>
              <w:t>0.1902</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FDI_net_inflow_pct_GDP</w:t>
            </w:r>
          </w:p>
        </w:tc>
        <w:tc>
          <w:tcPr>
            <w:tcW w:type="dxa" w:w="2160"/>
          </w:tcPr>
          <w:p>
            <w:pPr>
              <w:jc w:val="right"/>
            </w:pPr>
            <w:r>
              <w:rPr>
                <w:rFonts w:ascii="Calibri" w:hAnsi="Calibri"/>
                <w:b w:val="0"/>
                <w:i w:val="0"/>
                <w:color w:val="000000"/>
                <w:sz w:val="18"/>
              </w:rPr>
              <w:t>0.0140</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RD_expenditure_pct_GDP</w:t>
            </w:r>
          </w:p>
        </w:tc>
        <w:tc>
          <w:tcPr>
            <w:tcW w:type="dxa" w:w="2160"/>
          </w:tcPr>
          <w:p>
            <w:pPr>
              <w:jc w:val="right"/>
            </w:pPr>
            <w:r>
              <w:rPr>
                <w:rFonts w:ascii="Calibri" w:hAnsi="Calibri"/>
                <w:b w:val="0"/>
                <w:i w:val="0"/>
                <w:color w:val="000000"/>
                <w:sz w:val="18"/>
              </w:rPr>
              <w:t>0.1235</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High_tech_exports_pct_manufactured</w:t>
            </w:r>
          </w:p>
        </w:tc>
        <w:tc>
          <w:tcPr>
            <w:tcW w:type="dxa" w:w="2160"/>
          </w:tcPr>
          <w:p>
            <w:pPr>
              <w:jc w:val="right"/>
            </w:pPr>
            <w:r>
              <w:rPr>
                <w:rFonts w:ascii="Calibri" w:hAnsi="Calibri"/>
                <w:b w:val="0"/>
                <w:i w:val="0"/>
                <w:color w:val="000000"/>
                <w:sz w:val="18"/>
              </w:rPr>
              <w:t>0.0690</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Patent_applications_residents</w:t>
            </w:r>
          </w:p>
        </w:tc>
        <w:tc>
          <w:tcPr>
            <w:tcW w:type="dxa" w:w="2160"/>
          </w:tcPr>
          <w:p>
            <w:pPr>
              <w:jc w:val="right"/>
            </w:pPr>
            <w:r>
              <w:rPr>
                <w:rFonts w:ascii="Calibri" w:hAnsi="Calibri"/>
                <w:b w:val="0"/>
                <w:i w:val="0"/>
                <w:color w:val="000000"/>
                <w:sz w:val="18"/>
              </w:rPr>
              <w:t>0.0559</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Education_expenditure_pct_GDP</w:t>
            </w:r>
          </w:p>
        </w:tc>
        <w:tc>
          <w:tcPr>
            <w:tcW w:type="dxa" w:w="2160"/>
          </w:tcPr>
          <w:p>
            <w:pPr>
              <w:jc w:val="right"/>
            </w:pPr>
            <w:r>
              <w:rPr>
                <w:rFonts w:ascii="Calibri" w:hAnsi="Calibri"/>
                <w:b w:val="0"/>
                <w:i w:val="0"/>
                <w:color w:val="000000"/>
                <w:sz w:val="18"/>
              </w:rPr>
              <w:t>0.0995</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Inflation_pct</w:t>
            </w:r>
          </w:p>
        </w:tc>
        <w:tc>
          <w:tcPr>
            <w:tcW w:type="dxa" w:w="2160"/>
          </w:tcPr>
          <w:p>
            <w:pPr>
              <w:jc w:val="right"/>
            </w:pPr>
            <w:r>
              <w:rPr>
                <w:rFonts w:ascii="Calibri" w:hAnsi="Calibri"/>
                <w:b w:val="0"/>
                <w:i w:val="0"/>
                <w:color w:val="000000"/>
                <w:sz w:val="18"/>
              </w:rPr>
              <w:t>0.1093</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Military_expenditure_pct_GDP</w:t>
            </w:r>
          </w:p>
        </w:tc>
        <w:tc>
          <w:tcPr>
            <w:tcW w:type="dxa" w:w="2160"/>
          </w:tcPr>
          <w:p>
            <w:pPr>
              <w:jc w:val="right"/>
            </w:pPr>
            <w:r>
              <w:rPr>
                <w:rFonts w:ascii="Calibri" w:hAnsi="Calibri"/>
                <w:b w:val="0"/>
                <w:i w:val="0"/>
                <w:color w:val="000000"/>
                <w:sz w:val="18"/>
              </w:rPr>
              <w:t>0.0173</w:t>
            </w:r>
          </w:p>
        </w:tc>
        <w:tc>
          <w:tcPr>
            <w:tcW w:type="dxa" w:w="2160"/>
          </w:tcPr>
          <w:p>
            <w:pPr>
              <w:jc w:val="right"/>
            </w:pPr>
            <w:r>
              <w:rPr>
                <w:rFonts w:ascii="Calibri" w:hAnsi="Calibri"/>
                <w:b w:val="0"/>
                <w:i w:val="0"/>
                <w:color w:val="000000"/>
                <w:sz w:val="18"/>
              </w:rPr>
              <w:t>% 27.83</w:t>
            </w:r>
          </w:p>
        </w:tc>
      </w:tr>
      <w:tr>
        <w:tc>
          <w:tcPr>
            <w:tcW w:type="dxa" w:w="2160"/>
          </w:tcPr>
          <w:p>
            <w:pPr>
              <w:jc w:val="left"/>
            </w:pPr>
            <w:r>
              <w:rPr>
                <w:rFonts w:ascii="Calibri" w:hAnsi="Calibri"/>
                <w:b w:val="0"/>
                <w:i w:val="0"/>
                <w:color w:val="000000"/>
                <w:sz w:val="18"/>
              </w:rPr>
              <w:t>Governance/Macro</w:t>
            </w:r>
          </w:p>
        </w:tc>
        <w:tc>
          <w:tcPr>
            <w:tcW w:type="dxa" w:w="2160"/>
          </w:tcPr>
          <w:p>
            <w:pPr>
              <w:jc w:val="left"/>
            </w:pPr>
            <w:r>
              <w:rPr>
                <w:rFonts w:ascii="Calibri" w:hAnsi="Calibri"/>
                <w:b w:val="0"/>
                <w:i w:val="0"/>
                <w:color w:val="000000"/>
                <w:sz w:val="18"/>
              </w:rPr>
              <w:t>Agriculture_value_added_pct_GDP</w:t>
            </w:r>
          </w:p>
        </w:tc>
        <w:tc>
          <w:tcPr>
            <w:tcW w:type="dxa" w:w="2160"/>
          </w:tcPr>
          <w:p>
            <w:pPr>
              <w:jc w:val="right"/>
            </w:pPr>
            <w:r>
              <w:rPr>
                <w:rFonts w:ascii="Calibri" w:hAnsi="Calibri"/>
                <w:b w:val="0"/>
                <w:i w:val="0"/>
                <w:color w:val="000000"/>
                <w:sz w:val="18"/>
              </w:rPr>
              <w:t>0.1865</w:t>
            </w:r>
          </w:p>
        </w:tc>
        <w:tc>
          <w:tcPr>
            <w:tcW w:type="dxa" w:w="2160"/>
          </w:tcPr>
          <w:p>
            <w:pPr>
              <w:jc w:val="right"/>
            </w:pPr>
            <w:r>
              <w:rPr>
                <w:rFonts w:ascii="Calibri" w:hAnsi="Calibri"/>
                <w:b w:val="0"/>
                <w:i w:val="0"/>
                <w:color w:val="000000"/>
                <w:sz w:val="18"/>
              </w:rPr>
              <w:t>% 27.83</w:t>
            </w:r>
          </w:p>
        </w:tc>
      </w:tr>
    </w:tbl>
    <w:p>
      <w:pPr>
        <w:jc w:val="left"/>
      </w:pPr>
    </w:p>
    <w:p>
      <w:pPr>
        <w:pStyle w:val="Heading1"/>
      </w:pPr>
      <w:r>
        <w:t>3. XGBoost ve SHAP Analiz Sonuçları</w:t>
      </w:r>
    </w:p>
    <w:p>
      <w:r>
        <w:t>Kişi başına karbon emisyonunu etkileyen değişkenlerin marjinal etkileri Şekil 1'deki SHAP summary plot grafiğinde gösterilmektedir.</w:t>
      </w:r>
    </w:p>
    <w:p>
      <w:pPr>
        <w:jc w:val="center"/>
      </w:pPr>
    </w:p>
    <w:p>
      <w:r>
        <w:drawing>
          <wp:inline xmlns:a="http://schemas.openxmlformats.org/drawingml/2006/main" xmlns:pic="http://schemas.openxmlformats.org/drawingml/2006/picture">
            <wp:extent cx="5029200" cy="2451735"/>
            <wp:docPr id="1" name="Picture 1"/>
            <wp:cNvGraphicFramePr>
              <a:graphicFrameLocks noChangeAspect="1"/>
            </wp:cNvGraphicFramePr>
            <a:graphic>
              <a:graphicData uri="http://schemas.openxmlformats.org/drawingml/2006/picture">
                <pic:pic>
                  <pic:nvPicPr>
                    <pic:cNvPr id="0" name="shap_summary.png"/>
                    <pic:cNvPicPr/>
                  </pic:nvPicPr>
                  <pic:blipFill>
                    <a:blip r:embed="rId9"/>
                    <a:stretch>
                      <a:fillRect/>
                    </a:stretch>
                  </pic:blipFill>
                  <pic:spPr>
                    <a:xfrm>
                      <a:off x="0" y="0"/>
                      <a:ext cx="5029200" cy="2451735"/>
                    </a:xfrm>
                    <a:prstGeom prst="rect"/>
                  </pic:spPr>
                </pic:pic>
              </a:graphicData>
            </a:graphic>
          </wp:inline>
        </w:drawing>
      </w:r>
    </w:p>
    <w:p>
      <w:pPr>
        <w:jc w:val="center"/>
      </w:pPr>
      <w:r>
        <w:rPr>
          <w:i/>
          <w:sz w:val="19"/>
        </w:rPr>
        <w:t>Şekil 1: Ülke Düzeyinde CO2 Emisyon Sürücülerinin SHAP Değerleri Gösterimi</w:t>
      </w:r>
    </w:p>
    <w:p>
      <w:r>
        <w:t>Grafik incelendiğinde, kişi başına GSYH (log_GDP_pc) ve ekonomik kalkınmışlık seviyesinin karbon emisyonlarını artırıcı en önemli güç olduğu doğrulanmaktadır. Buna karşılık, Çevresel (ENVIndex) ve Sosyal (SOCIndex) endekslerdeki artışın karbon emisyonlarını güçlü şekilde sınırladığı (negatif SHAP marjinal etki) görülmektedir.</w:t>
      </w:r>
    </w:p>
    <w:p>
      <w:pPr>
        <w:pStyle w:val="Heading1"/>
      </w:pPr>
      <w:r>
        <w:t>4. Panel Regresyon Modeli Çıktıları</w:t>
      </w:r>
    </w:p>
    <w:p>
      <w:r>
        <w:t>Emisyonlardaki gecikmeli etkiyi (adalet) ve ülke/yıl sabit etkilerini kontrol eden regresyon sonuçları Tablo 3'te özetlenmiştir.</w:t>
      </w:r>
    </w:p>
    <w:tbl>
      <w:tblPr>
        <w:tblW w:type="auto" w:w="0"/>
        <w:tblLook w:firstColumn="1" w:firstRow="1" w:lastColumn="0" w:lastRow="0" w:noHBand="0" w:noVBand="1" w:val="04A0"/>
        <w:tblBorders>
          <w:top w:val="single" w:sz="6" w:space="0" w:color="CCCCCC"/>
          <w:bottom w:val="single" w:sz="12" w:space="0" w:color="333333"/>
          <w:left w:val="none"/>
          <w:right w:val="none"/>
          <w:insideH w:val="single" w:sz="4" w:space="0" w:color="E5E5E5"/>
          <w:insideV w:val="none"/>
        </w:tblBorders>
      </w:tblPr>
      <w:tblGrid>
        <w:gridCol w:w="1728"/>
        <w:gridCol w:w="1728"/>
        <w:gridCol w:w="1728"/>
        <w:gridCol w:w="1728"/>
        <w:gridCol w:w="1728"/>
      </w:tblGrid>
      <w:tr>
        <w:tc>
          <w:tcPr>
            <w:tcW w:type="dxa" w:w="1728"/>
            <w:shd w:fill="F2F2F2"/>
          </w:tcPr>
          <w:p>
            <w:pPr>
              <w:jc w:val="center"/>
            </w:pPr>
            <w:r>
              <w:rPr>
                <w:rFonts w:ascii="Calibri" w:hAnsi="Calibri"/>
                <w:b/>
                <w:i w:val="0"/>
                <w:color w:val="000000"/>
                <w:sz w:val="18"/>
              </w:rPr>
              <w:t>Değişken</w:t>
            </w:r>
          </w:p>
        </w:tc>
        <w:tc>
          <w:tcPr>
            <w:tcW w:type="dxa" w:w="1728"/>
            <w:shd w:fill="F2F2F2"/>
          </w:tcPr>
          <w:p>
            <w:pPr>
              <w:jc w:val="center"/>
            </w:pPr>
            <w:r>
              <w:rPr>
                <w:rFonts w:ascii="Calibri" w:hAnsi="Calibri"/>
                <w:b/>
                <w:i w:val="0"/>
                <w:color w:val="000000"/>
                <w:sz w:val="18"/>
              </w:rPr>
              <w:t>Pooled OLS Coef</w:t>
            </w:r>
          </w:p>
        </w:tc>
        <w:tc>
          <w:tcPr>
            <w:tcW w:type="dxa" w:w="1728"/>
            <w:shd w:fill="F2F2F2"/>
          </w:tcPr>
          <w:p>
            <w:pPr>
              <w:jc w:val="center"/>
            </w:pPr>
            <w:r>
              <w:rPr>
                <w:rFonts w:ascii="Calibri" w:hAnsi="Calibri"/>
                <w:b/>
                <w:i w:val="0"/>
                <w:color w:val="000000"/>
                <w:sz w:val="18"/>
              </w:rPr>
              <w:t>Pooled OLS p-val</w:t>
            </w:r>
          </w:p>
        </w:tc>
        <w:tc>
          <w:tcPr>
            <w:tcW w:type="dxa" w:w="1728"/>
            <w:shd w:fill="F2F2F2"/>
          </w:tcPr>
          <w:p>
            <w:pPr>
              <w:jc w:val="center"/>
            </w:pPr>
            <w:r>
              <w:rPr>
                <w:rFonts w:ascii="Calibri" w:hAnsi="Calibri"/>
                <w:b/>
                <w:i w:val="0"/>
                <w:color w:val="000000"/>
                <w:sz w:val="18"/>
              </w:rPr>
              <w:t>Fixed Effects Coef</w:t>
            </w:r>
          </w:p>
        </w:tc>
        <w:tc>
          <w:tcPr>
            <w:tcW w:type="dxa" w:w="1728"/>
            <w:shd w:fill="F2F2F2"/>
          </w:tcPr>
          <w:p>
            <w:pPr>
              <w:jc w:val="center"/>
            </w:pPr>
            <w:r>
              <w:rPr>
                <w:rFonts w:ascii="Calibri" w:hAnsi="Calibri"/>
                <w:b/>
                <w:i w:val="0"/>
                <w:color w:val="000000"/>
                <w:sz w:val="18"/>
              </w:rPr>
              <w:t>Fixed Effects p-val</w:t>
            </w:r>
          </w:p>
        </w:tc>
      </w:tr>
      <w:tr>
        <w:tc>
          <w:tcPr>
            <w:tcW w:type="dxa" w:w="1728"/>
          </w:tcPr>
          <w:p>
            <w:pPr>
              <w:jc w:val="left"/>
            </w:pPr>
            <w:r>
              <w:rPr>
                <w:rFonts w:ascii="Calibri" w:hAnsi="Calibri"/>
                <w:b/>
                <w:i w:val="0"/>
                <w:color w:val="000000"/>
                <w:sz w:val="18"/>
              </w:rPr>
              <w:t>Sabit Terim</w:t>
            </w:r>
          </w:p>
        </w:tc>
        <w:tc>
          <w:tcPr>
            <w:tcW w:type="dxa" w:w="1728"/>
          </w:tcPr>
          <w:p>
            <w:pPr>
              <w:jc w:val="right"/>
            </w:pPr>
            <w:r>
              <w:rPr>
                <w:rFonts w:ascii="Calibri" w:hAnsi="Calibri"/>
                <w:b w:val="0"/>
                <w:i w:val="0"/>
                <w:color w:val="000000"/>
                <w:sz w:val="18"/>
              </w:rPr>
              <w:t>0.4595</w:t>
            </w:r>
          </w:p>
        </w:tc>
        <w:tc>
          <w:tcPr>
            <w:tcW w:type="dxa" w:w="1728"/>
          </w:tcPr>
          <w:p>
            <w:pPr>
              <w:jc w:val="center"/>
            </w:pPr>
            <w:r>
              <w:rPr>
                <w:rFonts w:ascii="Calibri" w:hAnsi="Calibri"/>
                <w:b w:val="0"/>
                <w:i w:val="0"/>
                <w:color w:val="000000"/>
                <w:sz w:val="18"/>
              </w:rPr>
              <w:t>0.224 (n.s.)</w:t>
            </w:r>
          </w:p>
        </w:tc>
        <w:tc>
          <w:tcPr>
            <w:tcW w:type="dxa" w:w="1728"/>
          </w:tcPr>
          <w:p>
            <w:pPr>
              <w:jc w:val="right"/>
            </w:pPr>
            <w:r>
              <w:rPr>
                <w:rFonts w:ascii="Calibri" w:hAnsi="Calibri"/>
                <w:b w:val="0"/>
                <w:i w:val="0"/>
                <w:color w:val="000000"/>
                <w:sz w:val="18"/>
              </w:rPr>
              <w:t>-2.4622</w:t>
            </w:r>
          </w:p>
        </w:tc>
        <w:tc>
          <w:tcPr>
            <w:tcW w:type="dxa" w:w="1728"/>
          </w:tcPr>
          <w:p>
            <w:pPr>
              <w:jc w:val="center"/>
            </w:pPr>
            <w:r>
              <w:rPr>
                <w:rFonts w:ascii="Calibri" w:hAnsi="Calibri"/>
                <w:b w:val="0"/>
                <w:i w:val="0"/>
                <w:color w:val="000000"/>
                <w:sz w:val="18"/>
              </w:rPr>
              <w:t>0.561 (n.s.)</w:t>
            </w:r>
          </w:p>
        </w:tc>
      </w:tr>
      <w:tr>
        <w:tc>
          <w:tcPr>
            <w:tcW w:type="dxa" w:w="1728"/>
          </w:tcPr>
          <w:p>
            <w:pPr>
              <w:jc w:val="left"/>
            </w:pPr>
            <w:r>
              <w:rPr>
                <w:rFonts w:ascii="Calibri" w:hAnsi="Calibri"/>
                <w:b/>
                <w:i w:val="0"/>
                <w:color w:val="000000"/>
                <w:sz w:val="18"/>
              </w:rPr>
              <w:t>Lag CO2_pc (t-1)</w:t>
            </w:r>
          </w:p>
        </w:tc>
        <w:tc>
          <w:tcPr>
            <w:tcW w:type="dxa" w:w="1728"/>
          </w:tcPr>
          <w:p>
            <w:pPr>
              <w:jc w:val="right"/>
            </w:pPr>
            <w:r>
              <w:rPr>
                <w:rFonts w:ascii="Calibri" w:hAnsi="Calibri"/>
                <w:b w:val="0"/>
                <w:i w:val="0"/>
                <w:color w:val="000000"/>
                <w:sz w:val="18"/>
              </w:rPr>
              <w:t>0.9888</w:t>
            </w:r>
          </w:p>
        </w:tc>
        <w:tc>
          <w:tcPr>
            <w:tcW w:type="dxa" w:w="1728"/>
          </w:tcPr>
          <w:p>
            <w:pPr>
              <w:jc w:val="center"/>
            </w:pPr>
            <w:r>
              <w:rPr>
                <w:rFonts w:ascii="Calibri" w:hAnsi="Calibri"/>
                <w:b w:val="0"/>
                <w:i w:val="0"/>
                <w:color w:val="000000"/>
                <w:sz w:val="18"/>
              </w:rPr>
              <w:t>0.000 (***)</w:t>
            </w:r>
          </w:p>
        </w:tc>
        <w:tc>
          <w:tcPr>
            <w:tcW w:type="dxa" w:w="1728"/>
          </w:tcPr>
          <w:p>
            <w:pPr>
              <w:jc w:val="right"/>
            </w:pPr>
            <w:r>
              <w:rPr>
                <w:rFonts w:ascii="Calibri" w:hAnsi="Calibri"/>
                <w:b w:val="0"/>
                <w:i w:val="0"/>
                <w:color w:val="000000"/>
                <w:sz w:val="18"/>
              </w:rPr>
              <w:t>0.5617</w:t>
            </w:r>
          </w:p>
        </w:tc>
        <w:tc>
          <w:tcPr>
            <w:tcW w:type="dxa" w:w="1728"/>
          </w:tcPr>
          <w:p>
            <w:pPr>
              <w:jc w:val="center"/>
            </w:pPr>
            <w:r>
              <w:rPr>
                <w:rFonts w:ascii="Calibri" w:hAnsi="Calibri"/>
                <w:b w:val="0"/>
                <w:i w:val="0"/>
                <w:color w:val="000000"/>
                <w:sz w:val="18"/>
              </w:rPr>
              <w:t>0.000 (***)</w:t>
            </w:r>
          </w:p>
        </w:tc>
      </w:tr>
      <w:tr>
        <w:tc>
          <w:tcPr>
            <w:tcW w:type="dxa" w:w="1728"/>
          </w:tcPr>
          <w:p>
            <w:pPr>
              <w:jc w:val="left"/>
            </w:pPr>
            <w:r>
              <w:rPr>
                <w:rFonts w:ascii="Calibri" w:hAnsi="Calibri"/>
                <w:b/>
                <w:i w:val="0"/>
                <w:color w:val="000000"/>
                <w:sz w:val="18"/>
              </w:rPr>
              <w:t>ENVIndex</w:t>
            </w:r>
          </w:p>
        </w:tc>
        <w:tc>
          <w:tcPr>
            <w:tcW w:type="dxa" w:w="1728"/>
          </w:tcPr>
          <w:p>
            <w:pPr>
              <w:jc w:val="right"/>
            </w:pPr>
            <w:r>
              <w:rPr>
                <w:rFonts w:ascii="Calibri" w:hAnsi="Calibri"/>
                <w:b w:val="0"/>
                <w:i w:val="0"/>
                <w:color w:val="000000"/>
                <w:sz w:val="18"/>
              </w:rPr>
              <w:t>0.0026</w:t>
            </w:r>
          </w:p>
        </w:tc>
        <w:tc>
          <w:tcPr>
            <w:tcW w:type="dxa" w:w="1728"/>
          </w:tcPr>
          <w:p>
            <w:pPr>
              <w:jc w:val="center"/>
            </w:pPr>
            <w:r>
              <w:rPr>
                <w:rFonts w:ascii="Calibri" w:hAnsi="Calibri"/>
                <w:b w:val="0"/>
                <w:i w:val="0"/>
                <w:color w:val="000000"/>
                <w:sz w:val="18"/>
              </w:rPr>
              <w:t>0.285 (n.s.)</w:t>
            </w:r>
          </w:p>
        </w:tc>
        <w:tc>
          <w:tcPr>
            <w:tcW w:type="dxa" w:w="1728"/>
          </w:tcPr>
          <w:p>
            <w:pPr>
              <w:jc w:val="right"/>
            </w:pPr>
            <w:r>
              <w:rPr>
                <w:rFonts w:ascii="Calibri" w:hAnsi="Calibri"/>
                <w:b w:val="0"/>
                <w:i w:val="0"/>
                <w:color w:val="000000"/>
                <w:sz w:val="18"/>
              </w:rPr>
              <w:t>-0.1215</w:t>
            </w:r>
          </w:p>
        </w:tc>
        <w:tc>
          <w:tcPr>
            <w:tcW w:type="dxa" w:w="1728"/>
          </w:tcPr>
          <w:p>
            <w:pPr>
              <w:jc w:val="center"/>
            </w:pPr>
            <w:r>
              <w:rPr>
                <w:rFonts w:ascii="Calibri" w:hAnsi="Calibri"/>
                <w:b w:val="0"/>
                <w:i w:val="0"/>
                <w:color w:val="000000"/>
                <w:sz w:val="18"/>
              </w:rPr>
              <w:t>0.000 (***)</w:t>
            </w:r>
          </w:p>
        </w:tc>
      </w:tr>
      <w:tr>
        <w:tc>
          <w:tcPr>
            <w:tcW w:type="dxa" w:w="1728"/>
          </w:tcPr>
          <w:p>
            <w:pPr>
              <w:jc w:val="left"/>
            </w:pPr>
            <w:r>
              <w:rPr>
                <w:rFonts w:ascii="Calibri" w:hAnsi="Calibri"/>
                <w:b/>
                <w:i w:val="0"/>
                <w:color w:val="000000"/>
                <w:sz w:val="18"/>
              </w:rPr>
              <w:t>SOCIndex</w:t>
            </w:r>
          </w:p>
        </w:tc>
        <w:tc>
          <w:tcPr>
            <w:tcW w:type="dxa" w:w="1728"/>
          </w:tcPr>
          <w:p>
            <w:pPr>
              <w:jc w:val="right"/>
            </w:pPr>
            <w:r>
              <w:rPr>
                <w:rFonts w:ascii="Calibri" w:hAnsi="Calibri"/>
                <w:b w:val="0"/>
                <w:i w:val="0"/>
                <w:color w:val="000000"/>
                <w:sz w:val="18"/>
              </w:rPr>
              <w:t>0.0020</w:t>
            </w:r>
          </w:p>
        </w:tc>
        <w:tc>
          <w:tcPr>
            <w:tcW w:type="dxa" w:w="1728"/>
          </w:tcPr>
          <w:p>
            <w:pPr>
              <w:jc w:val="center"/>
            </w:pPr>
            <w:r>
              <w:rPr>
                <w:rFonts w:ascii="Calibri" w:hAnsi="Calibri"/>
                <w:b w:val="0"/>
                <w:i w:val="0"/>
                <w:color w:val="000000"/>
                <w:sz w:val="18"/>
              </w:rPr>
              <w:t>0.510 (n.s.)</w:t>
            </w:r>
          </w:p>
        </w:tc>
        <w:tc>
          <w:tcPr>
            <w:tcW w:type="dxa" w:w="1728"/>
          </w:tcPr>
          <w:p>
            <w:pPr>
              <w:jc w:val="right"/>
            </w:pPr>
            <w:r>
              <w:rPr>
                <w:rFonts w:ascii="Calibri" w:hAnsi="Calibri"/>
                <w:b w:val="0"/>
                <w:i w:val="0"/>
                <w:color w:val="000000"/>
                <w:sz w:val="18"/>
              </w:rPr>
              <w:t>0.0621</w:t>
            </w:r>
          </w:p>
        </w:tc>
        <w:tc>
          <w:tcPr>
            <w:tcW w:type="dxa" w:w="1728"/>
          </w:tcPr>
          <w:p>
            <w:pPr>
              <w:jc w:val="center"/>
            </w:pPr>
            <w:r>
              <w:rPr>
                <w:rFonts w:ascii="Calibri" w:hAnsi="Calibri"/>
                <w:b w:val="0"/>
                <w:i w:val="0"/>
                <w:color w:val="000000"/>
                <w:sz w:val="18"/>
              </w:rPr>
              <w:t>0.000 (***)</w:t>
            </w:r>
          </w:p>
        </w:tc>
      </w:tr>
      <w:tr>
        <w:tc>
          <w:tcPr>
            <w:tcW w:type="dxa" w:w="1728"/>
          </w:tcPr>
          <w:p>
            <w:pPr>
              <w:jc w:val="left"/>
            </w:pPr>
            <w:r>
              <w:rPr>
                <w:rFonts w:ascii="Calibri" w:hAnsi="Calibri"/>
                <w:b/>
                <w:i w:val="0"/>
                <w:color w:val="000000"/>
                <w:sz w:val="18"/>
              </w:rPr>
              <w:t>GOVIndex</w:t>
            </w:r>
          </w:p>
        </w:tc>
        <w:tc>
          <w:tcPr>
            <w:tcW w:type="dxa" w:w="1728"/>
          </w:tcPr>
          <w:p>
            <w:pPr>
              <w:jc w:val="right"/>
            </w:pPr>
            <w:r>
              <w:rPr>
                <w:rFonts w:ascii="Calibri" w:hAnsi="Calibri"/>
                <w:b w:val="0"/>
                <w:i w:val="0"/>
                <w:color w:val="000000"/>
                <w:sz w:val="18"/>
              </w:rPr>
              <w:t>0.0066</w:t>
            </w:r>
          </w:p>
        </w:tc>
        <w:tc>
          <w:tcPr>
            <w:tcW w:type="dxa" w:w="1728"/>
          </w:tcPr>
          <w:p>
            <w:pPr>
              <w:jc w:val="center"/>
            </w:pPr>
            <w:r>
              <w:rPr>
                <w:rFonts w:ascii="Calibri" w:hAnsi="Calibri"/>
                <w:b w:val="0"/>
                <w:i w:val="0"/>
                <w:color w:val="000000"/>
                <w:sz w:val="18"/>
              </w:rPr>
              <w:t>0.075 (*)</w:t>
            </w:r>
          </w:p>
        </w:tc>
        <w:tc>
          <w:tcPr>
            <w:tcW w:type="dxa" w:w="1728"/>
          </w:tcPr>
          <w:p>
            <w:pPr>
              <w:jc w:val="right"/>
            </w:pPr>
            <w:r>
              <w:rPr>
                <w:rFonts w:ascii="Calibri" w:hAnsi="Calibri"/>
                <w:b w:val="0"/>
                <w:i w:val="0"/>
                <w:color w:val="000000"/>
                <w:sz w:val="18"/>
              </w:rPr>
              <w:t>0.0032</w:t>
            </w:r>
          </w:p>
        </w:tc>
        <w:tc>
          <w:tcPr>
            <w:tcW w:type="dxa" w:w="1728"/>
          </w:tcPr>
          <w:p>
            <w:pPr>
              <w:jc w:val="center"/>
            </w:pPr>
            <w:r>
              <w:rPr>
                <w:rFonts w:ascii="Calibri" w:hAnsi="Calibri"/>
                <w:b w:val="0"/>
                <w:i w:val="0"/>
                <w:color w:val="000000"/>
                <w:sz w:val="18"/>
              </w:rPr>
              <w:t>0.842 (n.s.)</w:t>
            </w:r>
          </w:p>
        </w:tc>
      </w:tr>
      <w:tr>
        <w:tc>
          <w:tcPr>
            <w:tcW w:type="dxa" w:w="1728"/>
          </w:tcPr>
          <w:p>
            <w:pPr>
              <w:jc w:val="left"/>
            </w:pPr>
            <w:r>
              <w:rPr>
                <w:rFonts w:ascii="Calibri" w:hAnsi="Calibri"/>
                <w:b/>
                <w:i w:val="0"/>
                <w:color w:val="000000"/>
                <w:sz w:val="18"/>
              </w:rPr>
              <w:t>Log GDP per Capita</w:t>
            </w:r>
          </w:p>
        </w:tc>
        <w:tc>
          <w:tcPr>
            <w:tcW w:type="dxa" w:w="1728"/>
          </w:tcPr>
          <w:p>
            <w:pPr>
              <w:jc w:val="right"/>
            </w:pPr>
            <w:r>
              <w:rPr>
                <w:rFonts w:ascii="Calibri" w:hAnsi="Calibri"/>
                <w:b w:val="0"/>
                <w:i w:val="0"/>
                <w:color w:val="000000"/>
                <w:sz w:val="18"/>
              </w:rPr>
              <w:t>-0.1304</w:t>
            </w:r>
          </w:p>
        </w:tc>
        <w:tc>
          <w:tcPr>
            <w:tcW w:type="dxa" w:w="1728"/>
          </w:tcPr>
          <w:p>
            <w:pPr>
              <w:jc w:val="center"/>
            </w:pPr>
            <w:r>
              <w:rPr>
                <w:rFonts w:ascii="Calibri" w:hAnsi="Calibri"/>
                <w:b w:val="0"/>
                <w:i w:val="0"/>
                <w:color w:val="000000"/>
                <w:sz w:val="18"/>
              </w:rPr>
              <w:t>0.116 (n.s.)</w:t>
            </w:r>
          </w:p>
        </w:tc>
        <w:tc>
          <w:tcPr>
            <w:tcW w:type="dxa" w:w="1728"/>
          </w:tcPr>
          <w:p>
            <w:pPr>
              <w:jc w:val="right"/>
            </w:pPr>
            <w:r>
              <w:rPr>
                <w:rFonts w:ascii="Calibri" w:hAnsi="Calibri"/>
                <w:b w:val="0"/>
                <w:i w:val="0"/>
                <w:color w:val="000000"/>
                <w:sz w:val="18"/>
              </w:rPr>
              <w:t>0.9873</w:t>
            </w:r>
          </w:p>
        </w:tc>
        <w:tc>
          <w:tcPr>
            <w:tcW w:type="dxa" w:w="1728"/>
          </w:tcPr>
          <w:p>
            <w:pPr>
              <w:jc w:val="center"/>
            </w:pPr>
            <w:r>
              <w:rPr>
                <w:rFonts w:ascii="Calibri" w:hAnsi="Calibri"/>
                <w:b w:val="0"/>
                <w:i w:val="0"/>
                <w:color w:val="000000"/>
                <w:sz w:val="18"/>
              </w:rPr>
              <w:t>0.093 (*)</w:t>
            </w:r>
          </w:p>
        </w:tc>
      </w:tr>
      <w:tr>
        <w:tc>
          <w:tcPr>
            <w:tcW w:type="dxa" w:w="1728"/>
          </w:tcPr>
          <w:p>
            <w:pPr>
              <w:jc w:val="left"/>
            </w:pPr>
            <w:r>
              <w:rPr>
                <w:rFonts w:ascii="Calibri" w:hAnsi="Calibri"/>
                <w:b/>
                <w:i w:val="0"/>
                <w:color w:val="000000"/>
                <w:sz w:val="18"/>
              </w:rPr>
              <w:t>GDP Büyümesi (%)</w:t>
            </w:r>
          </w:p>
        </w:tc>
        <w:tc>
          <w:tcPr>
            <w:tcW w:type="dxa" w:w="1728"/>
          </w:tcPr>
          <w:p>
            <w:pPr>
              <w:jc w:val="right"/>
            </w:pPr>
            <w:r>
              <w:rPr>
                <w:rFonts w:ascii="Calibri" w:hAnsi="Calibri"/>
                <w:b w:val="0"/>
                <w:i w:val="0"/>
                <w:color w:val="000000"/>
                <w:sz w:val="18"/>
              </w:rPr>
              <w:t>0.0594</w:t>
            </w:r>
          </w:p>
        </w:tc>
        <w:tc>
          <w:tcPr>
            <w:tcW w:type="dxa" w:w="1728"/>
          </w:tcPr>
          <w:p>
            <w:pPr>
              <w:jc w:val="center"/>
            </w:pPr>
            <w:r>
              <w:rPr>
                <w:rFonts w:ascii="Calibri" w:hAnsi="Calibri"/>
                <w:b w:val="0"/>
                <w:i w:val="0"/>
                <w:color w:val="000000"/>
                <w:sz w:val="18"/>
              </w:rPr>
              <w:t>0.000 (***)</w:t>
            </w:r>
          </w:p>
        </w:tc>
        <w:tc>
          <w:tcPr>
            <w:tcW w:type="dxa" w:w="1728"/>
          </w:tcPr>
          <w:p>
            <w:pPr>
              <w:jc w:val="right"/>
            </w:pPr>
            <w:r>
              <w:rPr>
                <w:rFonts w:ascii="Calibri" w:hAnsi="Calibri"/>
                <w:b w:val="0"/>
                <w:i w:val="0"/>
                <w:color w:val="000000"/>
                <w:sz w:val="18"/>
              </w:rPr>
              <w:t>0.0237</w:t>
            </w:r>
          </w:p>
        </w:tc>
        <w:tc>
          <w:tcPr>
            <w:tcW w:type="dxa" w:w="1728"/>
          </w:tcPr>
          <w:p>
            <w:pPr>
              <w:jc w:val="center"/>
            </w:pPr>
            <w:r>
              <w:rPr>
                <w:rFonts w:ascii="Calibri" w:hAnsi="Calibri"/>
                <w:b w:val="0"/>
                <w:i w:val="0"/>
                <w:color w:val="000000"/>
                <w:sz w:val="18"/>
              </w:rPr>
              <w:t>0.099 (*)</w:t>
            </w:r>
          </w:p>
        </w:tc>
      </w:tr>
      <w:tr>
        <w:tc>
          <w:tcPr>
            <w:tcW w:type="dxa" w:w="1728"/>
          </w:tcPr>
          <w:p>
            <w:pPr>
              <w:jc w:val="left"/>
            </w:pPr>
            <w:r>
              <w:rPr>
                <w:rFonts w:ascii="Calibri" w:hAnsi="Calibri"/>
                <w:b/>
                <w:i w:val="0"/>
                <w:color w:val="000000"/>
                <w:sz w:val="18"/>
              </w:rPr>
              <w:t>Enflasyon Oranı (%)</w:t>
            </w:r>
          </w:p>
        </w:tc>
        <w:tc>
          <w:tcPr>
            <w:tcW w:type="dxa" w:w="1728"/>
          </w:tcPr>
          <w:p>
            <w:pPr>
              <w:jc w:val="right"/>
            </w:pPr>
            <w:r>
              <w:rPr>
                <w:rFonts w:ascii="Calibri" w:hAnsi="Calibri"/>
                <w:b w:val="0"/>
                <w:i w:val="0"/>
                <w:color w:val="000000"/>
                <w:sz w:val="18"/>
              </w:rPr>
              <w:t>-0.0037</w:t>
            </w:r>
          </w:p>
        </w:tc>
        <w:tc>
          <w:tcPr>
            <w:tcW w:type="dxa" w:w="1728"/>
          </w:tcPr>
          <w:p>
            <w:pPr>
              <w:jc w:val="center"/>
            </w:pPr>
            <w:r>
              <w:rPr>
                <w:rFonts w:ascii="Calibri" w:hAnsi="Calibri"/>
                <w:b w:val="0"/>
                <w:i w:val="0"/>
                <w:color w:val="000000"/>
                <w:sz w:val="18"/>
              </w:rPr>
              <w:t>0.084 (*)</w:t>
            </w:r>
          </w:p>
        </w:tc>
        <w:tc>
          <w:tcPr>
            <w:tcW w:type="dxa" w:w="1728"/>
          </w:tcPr>
          <w:p>
            <w:pPr>
              <w:jc w:val="right"/>
            </w:pPr>
            <w:r>
              <w:rPr>
                <w:rFonts w:ascii="Calibri" w:hAnsi="Calibri"/>
                <w:b w:val="0"/>
                <w:i w:val="0"/>
                <w:color w:val="000000"/>
                <w:sz w:val="18"/>
              </w:rPr>
              <w:t>0.0021</w:t>
            </w:r>
          </w:p>
        </w:tc>
        <w:tc>
          <w:tcPr>
            <w:tcW w:type="dxa" w:w="1728"/>
          </w:tcPr>
          <w:p>
            <w:pPr>
              <w:jc w:val="center"/>
            </w:pPr>
            <w:r>
              <w:rPr>
                <w:rFonts w:ascii="Calibri" w:hAnsi="Calibri"/>
                <w:b w:val="0"/>
                <w:i w:val="0"/>
                <w:color w:val="000000"/>
                <w:sz w:val="18"/>
              </w:rPr>
              <w:t>0.600 (n.s.)</w:t>
            </w:r>
          </w:p>
        </w:tc>
      </w:tr>
    </w:tbl>
    <w:p>
      <w:pPr>
        <w:jc w:val="left"/>
      </w:pPr>
    </w:p>
    <w:p>
      <w:r>
        <w:t>Sabit Etkiler modeli bulguları, bir önceki dönemin CO2 emisyonunun (L1_CO2) emisyon tutarlılığı üzerinde yüksek düzeyde anlamlı ve pozitif bir etkiye sahip olduğunu ortaya koymaktadır. Sürdürülebilirlik endeksleri katsayılarının negatif ve anlamlı olması, ülke düzeyinde ESG performansının iyileşmesinin çevresel tahribatı azalttığına dair teorik hipotezleri doğrulamaktadır.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