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DÜNYA BANKASI VERİLERİYLE ULUSAL GREENWASHING ENDEKSİNİN BELİRLEYİCİLERİ:</w:t>
        <w:br/>
        <w:t>PCA, XGBOOST VE DİNAMİK PANEL AYRIŞMA MODELLERİ</w:t>
      </w:r>
    </w:p>
    <w:p>
      <w:pPr>
        <w:jc w:val="center"/>
      </w:pPr>
    </w:p>
    <w:p>
      <w:pPr>
        <w:jc w:val="center"/>
      </w:pPr>
      <w:r>
        <w:rPr>
          <w:i/>
          <w:sz w:val="22"/>
        </w:rPr>
        <w:t>Araştırma Raporu &amp; Ülke Düzeyinde Model Bulguları</w:t>
        <w:br/>
        <w:t>Tarih: 19 Haziran 2026</w:t>
      </w:r>
    </w:p>
    <w:p>
      <w:r>
        <w:br w:type="page"/>
      </w:r>
    </w:p>
    <w:p>
      <w:pPr>
        <w:pStyle w:val="Heading1"/>
      </w:pPr>
      <w:r>
        <w:t>Özet</w:t>
      </w:r>
    </w:p>
    <w:p>
      <w:r>
        <w:t>Bu çalışmada, Dünya Bankası Dünya Gelişme Göstergeleri (WDI) veri setinde yer alan Çevre, Sosyal ve Yönetişim (ESG) göstergeleri kullanılarak 20 ülke için 2010-2023 dönemine ait ülke düzeyinde endeksler oluşturulmuştur. Ülkelerin yönetsel/kurumsal kapasiteleri ile gerçek çevresel çıktıları arasındaki sapmayı ölçmek amacıyla Ulusal Greenwashing Endeksi (NGI) veya Politika-Uygulama Ayrışması (Policy-Practice Decoupling) bağımlı değişken olarak tanımlanmıştır. PCA ile çevresel (ENVIndex), sosyal (SOCIndex) ve kurumsal/makro yönetişim (GOVIndex) boyut ağırlıkları hesaplanmış; yönetsel gelişmişlik (GOVIndex) ile çevresel performans (ENVIndex) arasındaki fark NGI olarak formüle edilmiştir. Modellemede circularity (döngüsellik) önlenerek, sosyal gelişmişlik ve ekonomik göstergelerin yeşil aklama riski üzerindeki etkileri XGBoost makine öğrenmesi (SHAP marjinal etkileriyle) ve Dinamik Panel Regresyon (Fixed Effects LSDV) modelleriyle incelenmiştir. Bulgular, ekonomik büyüme ve büyüklüğün (GDP pc) yeşil aklama ayrışma riskini artırdığını, sosyal yapının (SOCIndex) ise bu ayrışmayı azaltıcı bir fren mekanizması görevi gördüğünü ortaya koymaktadır.</w:t>
      </w:r>
    </w:p>
    <w:p>
      <w:pPr>
        <w:pStyle w:val="Heading1"/>
      </w:pPr>
      <w:r>
        <w:t>1. Yöntem ve Veri Seti</w:t>
      </w:r>
    </w:p>
    <w:p>
      <w:r>
        <w:t>Veri seti Dünya Bankası API'sinden çekilen 20 ülke ve 14 yılı kapsayan dengeli panel veri yapısından (N=20, T=14, Toplam 280 gözlem) oluşmaktadır. Ham göstergeler Min-Max normalizasyon formülleriyle 0 ile 100 arasına çekilmiştir. Normalleştirilen 14 Çevresel, 14 Sosyal ve 10 Yönetişimsel gösterge PCA analiziyle boyut ağırlıklarına ayrıştırılmıştır. Bağımlı değişken, yönetsel kapasite (GOVIndex) ile çevresel eylem (ENVIndex) farkından türetilen ve 0-100 aralığına ölçeklenen Ulusal Greenwashing Endeksidir (NGI).</w:t>
      </w:r>
    </w:p>
    <w:p>
      <w:pPr>
        <w:pStyle w:val="Heading2"/>
      </w:pPr>
      <w:r>
        <w:t>Tanımlayıcı İstatistikler</w:t>
      </w:r>
    </w:p>
    <w:p>
      <w:r>
        <w:t>Modelde yer alan temel endeksler ve makro kontrol değişkenlerine ait tanımlayıcı istatistikler Tablo 1'de sunulmaktadır.</w:t>
      </w:r>
    </w:p>
    <w:tbl>
      <w:tblPr>
        <w:tblW w:type="auto" w:w="0"/>
        <w:tblLook w:firstColumn="1" w:firstRow="1" w:lastColumn="0" w:lastRow="0" w:noHBand="0" w:noVBand="1" w:val="04A0"/>
        <w:tblBorders>
          <w:top w:val="single" w:sz="6" w:space="0" w:color="CCCCCC"/>
          <w:bottom w:val="single" w:sz="12" w:space="0" w:color="333333"/>
          <w:left w:val="none"/>
          <w:right w:val="none"/>
          <w:insideH w:val="single" w:sz="4" w:space="0" w:color="E5E5E5"/>
          <w:insideV w:val="none"/>
        </w:tblBorders>
      </w:tblPr>
      <w:tblGrid>
        <w:gridCol w:w="1080"/>
        <w:gridCol w:w="1080"/>
        <w:gridCol w:w="1080"/>
        <w:gridCol w:w="1080"/>
        <w:gridCol w:w="1080"/>
        <w:gridCol w:w="1080"/>
        <w:gridCol w:w="1080"/>
        <w:gridCol w:w="1080"/>
      </w:tblGrid>
      <w:tr>
        <w:tc>
          <w:tcPr>
            <w:tcW w:type="dxa" w:w="1080"/>
            <w:shd w:fill="F2F2F2"/>
          </w:tcPr>
          <w:p>
            <w:pPr>
              <w:jc w:val="center"/>
            </w:pPr>
            <w:r>
              <w:rPr>
                <w:rFonts w:ascii="Calibri" w:hAnsi="Calibri"/>
                <w:b/>
                <w:i w:val="0"/>
                <w:color w:val="000000"/>
                <w:sz w:val="18"/>
              </w:rPr>
              <w:t>İstatistik</w:t>
            </w:r>
          </w:p>
        </w:tc>
        <w:tc>
          <w:tcPr>
            <w:tcW w:type="dxa" w:w="1080"/>
            <w:shd w:fill="F2F2F2"/>
          </w:tcPr>
          <w:p>
            <w:pPr>
              <w:jc w:val="center"/>
            </w:pPr>
            <w:r>
              <w:rPr>
                <w:rFonts w:ascii="Calibri" w:hAnsi="Calibri"/>
                <w:b/>
                <w:i w:val="0"/>
                <w:color w:val="000000"/>
                <w:sz w:val="18"/>
              </w:rPr>
              <w:t>Greenwashing Ind.</w:t>
            </w:r>
          </w:p>
        </w:tc>
        <w:tc>
          <w:tcPr>
            <w:tcW w:type="dxa" w:w="1080"/>
            <w:shd w:fill="F2F2F2"/>
          </w:tcPr>
          <w:p>
            <w:pPr>
              <w:jc w:val="center"/>
            </w:pPr>
            <w:r>
              <w:rPr>
                <w:rFonts w:ascii="Calibri" w:hAnsi="Calibri"/>
                <w:b/>
                <w:i w:val="0"/>
                <w:color w:val="000000"/>
                <w:sz w:val="18"/>
              </w:rPr>
              <w:t>ENVIndex</w:t>
            </w:r>
          </w:p>
        </w:tc>
        <w:tc>
          <w:tcPr>
            <w:tcW w:type="dxa" w:w="1080"/>
            <w:shd w:fill="F2F2F2"/>
          </w:tcPr>
          <w:p>
            <w:pPr>
              <w:jc w:val="center"/>
            </w:pPr>
            <w:r>
              <w:rPr>
                <w:rFonts w:ascii="Calibri" w:hAnsi="Calibri"/>
                <w:b/>
                <w:i w:val="0"/>
                <w:color w:val="000000"/>
                <w:sz w:val="18"/>
              </w:rPr>
              <w:t>SOCIndex</w:t>
            </w:r>
          </w:p>
        </w:tc>
        <w:tc>
          <w:tcPr>
            <w:tcW w:type="dxa" w:w="1080"/>
            <w:shd w:fill="F2F2F2"/>
          </w:tcPr>
          <w:p>
            <w:pPr>
              <w:jc w:val="center"/>
            </w:pPr>
            <w:r>
              <w:rPr>
                <w:rFonts w:ascii="Calibri" w:hAnsi="Calibri"/>
                <w:b/>
                <w:i w:val="0"/>
                <w:color w:val="000000"/>
                <w:sz w:val="18"/>
              </w:rPr>
              <w:t>GOVIndex</w:t>
            </w:r>
          </w:p>
        </w:tc>
        <w:tc>
          <w:tcPr>
            <w:tcW w:type="dxa" w:w="1080"/>
            <w:shd w:fill="F2F2F2"/>
          </w:tcPr>
          <w:p>
            <w:pPr>
              <w:jc w:val="center"/>
            </w:pPr>
            <w:r>
              <w:rPr>
                <w:rFonts w:ascii="Calibri" w:hAnsi="Calibri"/>
                <w:b/>
                <w:i w:val="0"/>
                <w:color w:val="000000"/>
                <w:sz w:val="18"/>
              </w:rPr>
              <w:t>Log GDP pc</w:t>
            </w:r>
          </w:p>
        </w:tc>
        <w:tc>
          <w:tcPr>
            <w:tcW w:type="dxa" w:w="1080"/>
            <w:shd w:fill="F2F2F2"/>
          </w:tcPr>
          <w:p>
            <w:pPr>
              <w:jc w:val="center"/>
            </w:pPr>
            <w:r>
              <w:rPr>
                <w:rFonts w:ascii="Calibri" w:hAnsi="Calibri"/>
                <w:b/>
                <w:i w:val="0"/>
                <w:color w:val="000000"/>
                <w:sz w:val="18"/>
              </w:rPr>
              <w:t>GDP Büyüme</w:t>
            </w:r>
          </w:p>
        </w:tc>
        <w:tc>
          <w:tcPr>
            <w:tcW w:type="dxa" w:w="1080"/>
            <w:shd w:fill="F2F2F2"/>
          </w:tcPr>
          <w:p>
            <w:pPr>
              <w:jc w:val="center"/>
            </w:pPr>
            <w:r>
              <w:rPr>
                <w:rFonts w:ascii="Calibri" w:hAnsi="Calibri"/>
                <w:b/>
                <w:i w:val="0"/>
                <w:color w:val="000000"/>
                <w:sz w:val="18"/>
              </w:rPr>
              <w:t>Enflasyon</w:t>
            </w:r>
          </w:p>
        </w:tc>
      </w:tr>
      <w:tr>
        <w:tc>
          <w:tcPr>
            <w:tcW w:type="dxa" w:w="1080"/>
          </w:tcPr>
          <w:p>
            <w:pPr>
              <w:jc w:val="left"/>
            </w:pPr>
            <w:r>
              <w:rPr>
                <w:rFonts w:ascii="Calibri" w:hAnsi="Calibri"/>
                <w:b/>
                <w:i w:val="0"/>
                <w:color w:val="000000"/>
                <w:sz w:val="18"/>
              </w:rPr>
              <w:t>Ortalama</w:t>
            </w:r>
          </w:p>
        </w:tc>
        <w:tc>
          <w:tcPr>
            <w:tcW w:type="dxa" w:w="1080"/>
          </w:tcPr>
          <w:p>
            <w:pPr>
              <w:jc w:val="right"/>
            </w:pPr>
            <w:r>
              <w:rPr>
                <w:rFonts w:ascii="Calibri" w:hAnsi="Calibri"/>
                <w:b w:val="0"/>
                <w:i w:val="0"/>
                <w:color w:val="000000"/>
                <w:sz w:val="18"/>
              </w:rPr>
              <w:t>37.920</w:t>
            </w:r>
          </w:p>
        </w:tc>
        <w:tc>
          <w:tcPr>
            <w:tcW w:type="dxa" w:w="1080"/>
          </w:tcPr>
          <w:p>
            <w:pPr>
              <w:jc w:val="right"/>
            </w:pPr>
            <w:r>
              <w:rPr>
                <w:rFonts w:ascii="Calibri" w:hAnsi="Calibri"/>
                <w:b w:val="0"/>
                <w:i w:val="0"/>
                <w:color w:val="000000"/>
                <w:sz w:val="18"/>
              </w:rPr>
              <w:t>72.719</w:t>
            </w:r>
          </w:p>
        </w:tc>
        <w:tc>
          <w:tcPr>
            <w:tcW w:type="dxa" w:w="1080"/>
          </w:tcPr>
          <w:p>
            <w:pPr>
              <w:jc w:val="right"/>
            </w:pPr>
            <w:r>
              <w:rPr>
                <w:rFonts w:ascii="Calibri" w:hAnsi="Calibri"/>
                <w:b w:val="0"/>
                <w:i w:val="0"/>
                <w:color w:val="000000"/>
                <w:sz w:val="18"/>
              </w:rPr>
              <w:t>70.583</w:t>
            </w:r>
          </w:p>
        </w:tc>
        <w:tc>
          <w:tcPr>
            <w:tcW w:type="dxa" w:w="1080"/>
          </w:tcPr>
          <w:p>
            <w:pPr>
              <w:jc w:val="right"/>
            </w:pPr>
            <w:r>
              <w:rPr>
                <w:rFonts w:ascii="Calibri" w:hAnsi="Calibri"/>
                <w:b w:val="0"/>
                <w:i w:val="0"/>
                <w:color w:val="000000"/>
                <w:sz w:val="18"/>
              </w:rPr>
              <w:t>55.197</w:t>
            </w:r>
          </w:p>
        </w:tc>
        <w:tc>
          <w:tcPr>
            <w:tcW w:type="dxa" w:w="1080"/>
          </w:tcPr>
          <w:p>
            <w:pPr>
              <w:jc w:val="right"/>
            </w:pPr>
            <w:r>
              <w:rPr>
                <w:rFonts w:ascii="Calibri" w:hAnsi="Calibri"/>
                <w:b w:val="0"/>
                <w:i w:val="0"/>
                <w:color w:val="000000"/>
                <w:sz w:val="18"/>
              </w:rPr>
              <w:t>10.145</w:t>
            </w:r>
          </w:p>
        </w:tc>
        <w:tc>
          <w:tcPr>
            <w:tcW w:type="dxa" w:w="1080"/>
          </w:tcPr>
          <w:p>
            <w:pPr>
              <w:jc w:val="right"/>
            </w:pPr>
            <w:r>
              <w:rPr>
                <w:rFonts w:ascii="Calibri" w:hAnsi="Calibri"/>
                <w:b w:val="0"/>
                <w:i w:val="0"/>
                <w:color w:val="000000"/>
                <w:sz w:val="18"/>
              </w:rPr>
              <w:t>2.408</w:t>
            </w:r>
          </w:p>
        </w:tc>
        <w:tc>
          <w:tcPr>
            <w:tcW w:type="dxa" w:w="1080"/>
          </w:tcPr>
          <w:p>
            <w:pPr>
              <w:jc w:val="right"/>
            </w:pPr>
            <w:r>
              <w:rPr>
                <w:rFonts w:ascii="Calibri" w:hAnsi="Calibri"/>
                <w:b w:val="0"/>
                <w:i w:val="0"/>
                <w:color w:val="000000"/>
                <w:sz w:val="18"/>
              </w:rPr>
              <w:t>3.555</w:t>
            </w:r>
          </w:p>
        </w:tc>
      </w:tr>
      <w:tr>
        <w:tc>
          <w:tcPr>
            <w:tcW w:type="dxa" w:w="1080"/>
          </w:tcPr>
          <w:p>
            <w:pPr>
              <w:jc w:val="left"/>
            </w:pPr>
            <w:r>
              <w:rPr>
                <w:rFonts w:ascii="Calibri" w:hAnsi="Calibri"/>
                <w:b/>
                <w:i w:val="0"/>
                <w:color w:val="000000"/>
                <w:sz w:val="18"/>
              </w:rPr>
              <w:t>Std. Sapma</w:t>
            </w:r>
          </w:p>
        </w:tc>
        <w:tc>
          <w:tcPr>
            <w:tcW w:type="dxa" w:w="1080"/>
          </w:tcPr>
          <w:p>
            <w:pPr>
              <w:jc w:val="right"/>
            </w:pPr>
            <w:r>
              <w:rPr>
                <w:rFonts w:ascii="Calibri" w:hAnsi="Calibri"/>
                <w:b w:val="0"/>
                <w:i w:val="0"/>
                <w:color w:val="000000"/>
                <w:sz w:val="18"/>
              </w:rPr>
              <w:t>18.384</w:t>
            </w:r>
          </w:p>
        </w:tc>
        <w:tc>
          <w:tcPr>
            <w:tcW w:type="dxa" w:w="1080"/>
          </w:tcPr>
          <w:p>
            <w:pPr>
              <w:jc w:val="right"/>
            </w:pPr>
            <w:r>
              <w:rPr>
                <w:rFonts w:ascii="Calibri" w:hAnsi="Calibri"/>
                <w:b w:val="0"/>
                <w:i w:val="0"/>
                <w:color w:val="000000"/>
                <w:sz w:val="18"/>
              </w:rPr>
              <w:t>14.247</w:t>
            </w:r>
          </w:p>
        </w:tc>
        <w:tc>
          <w:tcPr>
            <w:tcW w:type="dxa" w:w="1080"/>
          </w:tcPr>
          <w:p>
            <w:pPr>
              <w:jc w:val="right"/>
            </w:pPr>
            <w:r>
              <w:rPr>
                <w:rFonts w:ascii="Calibri" w:hAnsi="Calibri"/>
                <w:b w:val="0"/>
                <w:i w:val="0"/>
                <w:color w:val="000000"/>
                <w:sz w:val="18"/>
              </w:rPr>
              <w:t>15.613</w:t>
            </w:r>
          </w:p>
        </w:tc>
        <w:tc>
          <w:tcPr>
            <w:tcW w:type="dxa" w:w="1080"/>
          </w:tcPr>
          <w:p>
            <w:pPr>
              <w:jc w:val="right"/>
            </w:pPr>
            <w:r>
              <w:rPr>
                <w:rFonts w:ascii="Calibri" w:hAnsi="Calibri"/>
                <w:b w:val="0"/>
                <w:i w:val="0"/>
                <w:color w:val="000000"/>
                <w:sz w:val="18"/>
              </w:rPr>
              <w:t>9.845</w:t>
            </w:r>
          </w:p>
        </w:tc>
        <w:tc>
          <w:tcPr>
            <w:tcW w:type="dxa" w:w="1080"/>
          </w:tcPr>
          <w:p>
            <w:pPr>
              <w:jc w:val="right"/>
            </w:pPr>
            <w:r>
              <w:rPr>
                <w:rFonts w:ascii="Calibri" w:hAnsi="Calibri"/>
                <w:b w:val="0"/>
                <w:i w:val="0"/>
                <w:color w:val="000000"/>
                <w:sz w:val="18"/>
              </w:rPr>
              <w:t>0.989</w:t>
            </w:r>
          </w:p>
        </w:tc>
        <w:tc>
          <w:tcPr>
            <w:tcW w:type="dxa" w:w="1080"/>
          </w:tcPr>
          <w:p>
            <w:pPr>
              <w:jc w:val="right"/>
            </w:pPr>
            <w:r>
              <w:rPr>
                <w:rFonts w:ascii="Calibri" w:hAnsi="Calibri"/>
                <w:b w:val="0"/>
                <w:i w:val="0"/>
                <w:color w:val="000000"/>
                <w:sz w:val="18"/>
              </w:rPr>
              <w:t>3.191</w:t>
            </w:r>
          </w:p>
        </w:tc>
        <w:tc>
          <w:tcPr>
            <w:tcW w:type="dxa" w:w="1080"/>
          </w:tcPr>
          <w:p>
            <w:pPr>
              <w:jc w:val="right"/>
            </w:pPr>
            <w:r>
              <w:rPr>
                <w:rFonts w:ascii="Calibri" w:hAnsi="Calibri"/>
                <w:b w:val="0"/>
                <w:i w:val="0"/>
                <w:color w:val="000000"/>
                <w:sz w:val="18"/>
              </w:rPr>
              <w:t>5.926</w:t>
            </w:r>
          </w:p>
        </w:tc>
      </w:tr>
      <w:tr>
        <w:tc>
          <w:tcPr>
            <w:tcW w:type="dxa" w:w="1080"/>
          </w:tcPr>
          <w:p>
            <w:pPr>
              <w:jc w:val="left"/>
            </w:pPr>
            <w:r>
              <w:rPr>
                <w:rFonts w:ascii="Calibri" w:hAnsi="Calibri"/>
                <w:b/>
                <w:i w:val="0"/>
                <w:color w:val="000000"/>
                <w:sz w:val="18"/>
              </w:rPr>
              <w:t>Minimum</w:t>
            </w:r>
          </w:p>
        </w:tc>
        <w:tc>
          <w:tcPr>
            <w:tcW w:type="dxa" w:w="1080"/>
          </w:tcPr>
          <w:p>
            <w:pPr>
              <w:jc w:val="right"/>
            </w:pPr>
            <w:r>
              <w:rPr>
                <w:rFonts w:ascii="Calibri" w:hAnsi="Calibri"/>
                <w:b w:val="0"/>
                <w:i w:val="0"/>
                <w:color w:val="000000"/>
                <w:sz w:val="18"/>
              </w:rPr>
              <w:t>0.000</w:t>
            </w:r>
          </w:p>
        </w:tc>
        <w:tc>
          <w:tcPr>
            <w:tcW w:type="dxa" w:w="1080"/>
          </w:tcPr>
          <w:p>
            <w:pPr>
              <w:jc w:val="right"/>
            </w:pPr>
            <w:r>
              <w:rPr>
                <w:rFonts w:ascii="Calibri" w:hAnsi="Calibri"/>
                <w:b w:val="0"/>
                <w:i w:val="0"/>
                <w:color w:val="000000"/>
                <w:sz w:val="18"/>
              </w:rPr>
              <w:t>23.878</w:t>
            </w:r>
          </w:p>
        </w:tc>
        <w:tc>
          <w:tcPr>
            <w:tcW w:type="dxa" w:w="1080"/>
          </w:tcPr>
          <w:p>
            <w:pPr>
              <w:jc w:val="right"/>
            </w:pPr>
            <w:r>
              <w:rPr>
                <w:rFonts w:ascii="Calibri" w:hAnsi="Calibri"/>
                <w:b w:val="0"/>
                <w:i w:val="0"/>
                <w:color w:val="000000"/>
                <w:sz w:val="18"/>
              </w:rPr>
              <w:t>22.132</w:t>
            </w:r>
          </w:p>
        </w:tc>
        <w:tc>
          <w:tcPr>
            <w:tcW w:type="dxa" w:w="1080"/>
          </w:tcPr>
          <w:p>
            <w:pPr>
              <w:jc w:val="right"/>
            </w:pPr>
            <w:r>
              <w:rPr>
                <w:rFonts w:ascii="Calibri" w:hAnsi="Calibri"/>
                <w:b w:val="0"/>
                <w:i w:val="0"/>
                <w:color w:val="000000"/>
                <w:sz w:val="18"/>
              </w:rPr>
              <w:t>22.881</w:t>
            </w:r>
          </w:p>
        </w:tc>
        <w:tc>
          <w:tcPr>
            <w:tcW w:type="dxa" w:w="1080"/>
          </w:tcPr>
          <w:p>
            <w:pPr>
              <w:jc w:val="right"/>
            </w:pPr>
            <w:r>
              <w:rPr>
                <w:rFonts w:ascii="Calibri" w:hAnsi="Calibri"/>
                <w:b w:val="0"/>
                <w:i w:val="0"/>
                <w:color w:val="000000"/>
                <w:sz w:val="18"/>
              </w:rPr>
              <w:t>7.120</w:t>
            </w:r>
          </w:p>
        </w:tc>
        <w:tc>
          <w:tcPr>
            <w:tcW w:type="dxa" w:w="1080"/>
          </w:tcPr>
          <w:p>
            <w:pPr>
              <w:jc w:val="right"/>
            </w:pPr>
            <w:r>
              <w:rPr>
                <w:rFonts w:ascii="Calibri" w:hAnsi="Calibri"/>
                <w:b w:val="0"/>
                <w:i w:val="0"/>
                <w:color w:val="000000"/>
                <w:sz w:val="18"/>
              </w:rPr>
              <w:t>-10.940</w:t>
            </w:r>
          </w:p>
        </w:tc>
        <w:tc>
          <w:tcPr>
            <w:tcW w:type="dxa" w:w="1080"/>
          </w:tcPr>
          <w:p>
            <w:pPr>
              <w:jc w:val="right"/>
            </w:pPr>
            <w:r>
              <w:rPr>
                <w:rFonts w:ascii="Calibri" w:hAnsi="Calibri"/>
                <w:b w:val="0"/>
                <w:i w:val="0"/>
                <w:color w:val="000000"/>
                <w:sz w:val="18"/>
              </w:rPr>
              <w:t>-1.144</w:t>
            </w:r>
          </w:p>
        </w:tc>
      </w:tr>
      <w:tr>
        <w:tc>
          <w:tcPr>
            <w:tcW w:type="dxa" w:w="1080"/>
          </w:tcPr>
          <w:p>
            <w:pPr>
              <w:jc w:val="left"/>
            </w:pPr>
            <w:r>
              <w:rPr>
                <w:rFonts w:ascii="Calibri" w:hAnsi="Calibri"/>
                <w:b/>
                <w:i w:val="0"/>
                <w:color w:val="000000"/>
                <w:sz w:val="18"/>
              </w:rPr>
              <w:t>Maximum</w:t>
            </w:r>
          </w:p>
        </w:tc>
        <w:tc>
          <w:tcPr>
            <w:tcW w:type="dxa" w:w="1080"/>
          </w:tcPr>
          <w:p>
            <w:pPr>
              <w:jc w:val="right"/>
            </w:pPr>
            <w:r>
              <w:rPr>
                <w:rFonts w:ascii="Calibri" w:hAnsi="Calibri"/>
                <w:b w:val="0"/>
                <w:i w:val="0"/>
                <w:color w:val="000000"/>
                <w:sz w:val="18"/>
              </w:rPr>
              <w:t>100.000</w:t>
            </w:r>
          </w:p>
        </w:tc>
        <w:tc>
          <w:tcPr>
            <w:tcW w:type="dxa" w:w="1080"/>
          </w:tcPr>
          <w:p>
            <w:pPr>
              <w:jc w:val="right"/>
            </w:pPr>
            <w:r>
              <w:rPr>
                <w:rFonts w:ascii="Calibri" w:hAnsi="Calibri"/>
                <w:b w:val="0"/>
                <w:i w:val="0"/>
                <w:color w:val="000000"/>
                <w:sz w:val="18"/>
              </w:rPr>
              <w:t>88.378</w:t>
            </w:r>
          </w:p>
        </w:tc>
        <w:tc>
          <w:tcPr>
            <w:tcW w:type="dxa" w:w="1080"/>
          </w:tcPr>
          <w:p>
            <w:pPr>
              <w:jc w:val="right"/>
            </w:pPr>
            <w:r>
              <w:rPr>
                <w:rFonts w:ascii="Calibri" w:hAnsi="Calibri"/>
                <w:b w:val="0"/>
                <w:i w:val="0"/>
                <w:color w:val="000000"/>
                <w:sz w:val="18"/>
              </w:rPr>
              <w:t>86.647</w:t>
            </w:r>
          </w:p>
        </w:tc>
        <w:tc>
          <w:tcPr>
            <w:tcW w:type="dxa" w:w="1080"/>
          </w:tcPr>
          <w:p>
            <w:pPr>
              <w:jc w:val="right"/>
            </w:pPr>
            <w:r>
              <w:rPr>
                <w:rFonts w:ascii="Calibri" w:hAnsi="Calibri"/>
                <w:b w:val="0"/>
                <w:i w:val="0"/>
                <w:color w:val="000000"/>
                <w:sz w:val="18"/>
              </w:rPr>
              <w:t>68.549</w:t>
            </w:r>
          </w:p>
        </w:tc>
        <w:tc>
          <w:tcPr>
            <w:tcW w:type="dxa" w:w="1080"/>
          </w:tcPr>
          <w:p>
            <w:pPr>
              <w:jc w:val="right"/>
            </w:pPr>
            <w:r>
              <w:rPr>
                <w:rFonts w:ascii="Calibri" w:hAnsi="Calibri"/>
                <w:b w:val="0"/>
                <w:i w:val="0"/>
                <w:color w:val="000000"/>
                <w:sz w:val="18"/>
              </w:rPr>
              <w:t>11.414</w:t>
            </w:r>
          </w:p>
        </w:tc>
        <w:tc>
          <w:tcPr>
            <w:tcW w:type="dxa" w:w="1080"/>
          </w:tcPr>
          <w:p>
            <w:pPr>
              <w:jc w:val="right"/>
            </w:pPr>
            <w:r>
              <w:rPr>
                <w:rFonts w:ascii="Calibri" w:hAnsi="Calibri"/>
                <w:b w:val="0"/>
                <w:i w:val="0"/>
                <w:color w:val="000000"/>
                <w:sz w:val="18"/>
              </w:rPr>
              <w:t>11.811</w:t>
            </w:r>
          </w:p>
        </w:tc>
        <w:tc>
          <w:tcPr>
            <w:tcW w:type="dxa" w:w="1080"/>
          </w:tcPr>
          <w:p>
            <w:pPr>
              <w:jc w:val="right"/>
            </w:pPr>
            <w:r>
              <w:rPr>
                <w:rFonts w:ascii="Calibri" w:hAnsi="Calibri"/>
                <w:b w:val="0"/>
                <w:i w:val="0"/>
                <w:color w:val="000000"/>
                <w:sz w:val="18"/>
              </w:rPr>
              <w:t>72.309</w:t>
            </w:r>
          </w:p>
        </w:tc>
      </w:tr>
    </w:tbl>
    <w:p>
      <w:pPr>
        <w:jc w:val="left"/>
      </w:pPr>
    </w:p>
    <w:p>
      <w:pPr>
        <w:pStyle w:val="Heading1"/>
      </w:pPr>
      <w:r>
        <w:t>2. PCA Tabanlı Değişken Ağırlıkları</w:t>
      </w:r>
    </w:p>
    <w:p>
      <w:r>
        <w:t>WDI değişkenlerinin ilk temel bileşen yük değerlerine göre türetilen ağırlık listesi Tablo 2'de sunulmuştur.</w:t>
      </w:r>
    </w:p>
    <w:tbl>
      <w:tblPr>
        <w:tblW w:type="auto" w:w="0"/>
        <w:tblLook w:firstColumn="1" w:firstRow="1" w:lastColumn="0" w:lastRow="0" w:noHBand="0" w:noVBand="1" w:val="04A0"/>
        <w:tblBorders>
          <w:top w:val="single" w:sz="6" w:space="0" w:color="CCCCCC"/>
          <w:bottom w:val="single" w:sz="12" w:space="0" w:color="333333"/>
          <w:left w:val="none"/>
          <w:right w:val="none"/>
          <w:insideH w:val="single" w:sz="4" w:space="0" w:color="E5E5E5"/>
          <w:insideV w:val="none"/>
        </w:tblBorders>
      </w:tblPr>
      <w:tblGrid>
        <w:gridCol w:w="2160"/>
        <w:gridCol w:w="2160"/>
        <w:gridCol w:w="2160"/>
        <w:gridCol w:w="2160"/>
      </w:tblGrid>
      <w:tr>
        <w:tc>
          <w:tcPr>
            <w:tcW w:type="dxa" w:w="2160"/>
            <w:shd w:fill="F2F2F2"/>
          </w:tcPr>
          <w:p>
            <w:pPr>
              <w:jc w:val="center"/>
            </w:pPr>
            <w:r>
              <w:rPr>
                <w:rFonts w:ascii="Calibri" w:hAnsi="Calibri"/>
                <w:b/>
                <w:i w:val="0"/>
                <w:color w:val="000000"/>
                <w:sz w:val="18"/>
              </w:rPr>
              <w:t>Boyut</w:t>
            </w:r>
          </w:p>
        </w:tc>
        <w:tc>
          <w:tcPr>
            <w:tcW w:type="dxa" w:w="2160"/>
            <w:shd w:fill="F2F2F2"/>
          </w:tcPr>
          <w:p>
            <w:pPr>
              <w:jc w:val="center"/>
            </w:pPr>
            <w:r>
              <w:rPr>
                <w:rFonts w:ascii="Calibri" w:hAnsi="Calibri"/>
                <w:b/>
                <w:i w:val="0"/>
                <w:color w:val="000000"/>
                <w:sz w:val="18"/>
              </w:rPr>
              <w:t>Değişken Adı</w:t>
            </w:r>
          </w:p>
        </w:tc>
        <w:tc>
          <w:tcPr>
            <w:tcW w:type="dxa" w:w="2160"/>
            <w:shd w:fill="F2F2F2"/>
          </w:tcPr>
          <w:p>
            <w:pPr>
              <w:jc w:val="center"/>
            </w:pPr>
            <w:r>
              <w:rPr>
                <w:rFonts w:ascii="Calibri" w:hAnsi="Calibri"/>
                <w:b/>
                <w:i w:val="0"/>
                <w:color w:val="000000"/>
                <w:sz w:val="18"/>
              </w:rPr>
              <w:t>PCA Ağırlığı</w:t>
            </w:r>
          </w:p>
        </w:tc>
        <w:tc>
          <w:tcPr>
            <w:tcW w:type="dxa" w:w="2160"/>
            <w:shd w:fill="F2F2F2"/>
          </w:tcPr>
          <w:p>
            <w:pPr>
              <w:jc w:val="center"/>
            </w:pPr>
            <w:r>
              <w:rPr>
                <w:rFonts w:ascii="Calibri" w:hAnsi="Calibri"/>
                <w:b/>
                <w:i w:val="0"/>
                <w:color w:val="000000"/>
                <w:sz w:val="18"/>
              </w:rPr>
              <w:t>Açıklanan Varyans (PC1)</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CO2_kt</w:t>
            </w:r>
          </w:p>
        </w:tc>
        <w:tc>
          <w:tcPr>
            <w:tcW w:type="dxa" w:w="2160"/>
          </w:tcPr>
          <w:p>
            <w:pPr>
              <w:jc w:val="right"/>
            </w:pPr>
            <w:r>
              <w:rPr>
                <w:rFonts w:ascii="Calibri" w:hAnsi="Calibri"/>
                <w:b w:val="0"/>
                <w:i w:val="0"/>
                <w:color w:val="000000"/>
                <w:sz w:val="18"/>
              </w:rPr>
              <w:t>0.1046</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Total_GHG</w:t>
            </w:r>
          </w:p>
        </w:tc>
        <w:tc>
          <w:tcPr>
            <w:tcW w:type="dxa" w:w="2160"/>
          </w:tcPr>
          <w:p>
            <w:pPr>
              <w:jc w:val="right"/>
            </w:pPr>
            <w:r>
              <w:rPr>
                <w:rFonts w:ascii="Calibri" w:hAnsi="Calibri"/>
                <w:b w:val="0"/>
                <w:i w:val="0"/>
                <w:color w:val="000000"/>
                <w:sz w:val="18"/>
              </w:rPr>
              <w:t>0.1060</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Methane_emissions</w:t>
            </w:r>
          </w:p>
        </w:tc>
        <w:tc>
          <w:tcPr>
            <w:tcW w:type="dxa" w:w="2160"/>
          </w:tcPr>
          <w:p>
            <w:pPr>
              <w:jc w:val="right"/>
            </w:pPr>
            <w:r>
              <w:rPr>
                <w:rFonts w:ascii="Calibri" w:hAnsi="Calibri"/>
                <w:b w:val="0"/>
                <w:i w:val="0"/>
                <w:color w:val="000000"/>
                <w:sz w:val="18"/>
              </w:rPr>
              <w:t>0.1065</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Nitrous_oxide_emissions</w:t>
            </w:r>
          </w:p>
        </w:tc>
        <w:tc>
          <w:tcPr>
            <w:tcW w:type="dxa" w:w="2160"/>
          </w:tcPr>
          <w:p>
            <w:pPr>
              <w:jc w:val="right"/>
            </w:pPr>
            <w:r>
              <w:rPr>
                <w:rFonts w:ascii="Calibri" w:hAnsi="Calibri"/>
                <w:b w:val="0"/>
                <w:i w:val="0"/>
                <w:color w:val="000000"/>
                <w:sz w:val="18"/>
              </w:rPr>
              <w:t>0.1073</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Renewable_energy_consumption_pct</w:t>
            </w:r>
          </w:p>
        </w:tc>
        <w:tc>
          <w:tcPr>
            <w:tcW w:type="dxa" w:w="2160"/>
          </w:tcPr>
          <w:p>
            <w:pPr>
              <w:jc w:val="right"/>
            </w:pPr>
            <w:r>
              <w:rPr>
                <w:rFonts w:ascii="Calibri" w:hAnsi="Calibri"/>
                <w:b w:val="0"/>
                <w:i w:val="0"/>
                <w:color w:val="000000"/>
                <w:sz w:val="18"/>
              </w:rPr>
              <w:t>0.0412</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Renewable_electricity_pct</w:t>
            </w:r>
          </w:p>
        </w:tc>
        <w:tc>
          <w:tcPr>
            <w:tcW w:type="dxa" w:w="2160"/>
          </w:tcPr>
          <w:p>
            <w:pPr>
              <w:jc w:val="right"/>
            </w:pPr>
            <w:r>
              <w:rPr>
                <w:rFonts w:ascii="Calibri" w:hAnsi="Calibri"/>
                <w:b w:val="0"/>
                <w:i w:val="0"/>
                <w:color w:val="000000"/>
                <w:sz w:val="18"/>
              </w:rPr>
              <w:t>0.0667</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Forest_area_pct</w:t>
            </w:r>
          </w:p>
        </w:tc>
        <w:tc>
          <w:tcPr>
            <w:tcW w:type="dxa" w:w="2160"/>
          </w:tcPr>
          <w:p>
            <w:pPr>
              <w:jc w:val="right"/>
            </w:pPr>
            <w:r>
              <w:rPr>
                <w:rFonts w:ascii="Calibri" w:hAnsi="Calibri"/>
                <w:b w:val="0"/>
                <w:i w:val="0"/>
                <w:color w:val="000000"/>
                <w:sz w:val="18"/>
              </w:rPr>
              <w:t>0.0478</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PM25_pollution</w:t>
            </w:r>
          </w:p>
        </w:tc>
        <w:tc>
          <w:tcPr>
            <w:tcW w:type="dxa" w:w="2160"/>
          </w:tcPr>
          <w:p>
            <w:pPr>
              <w:jc w:val="right"/>
            </w:pPr>
            <w:r>
              <w:rPr>
                <w:rFonts w:ascii="Calibri" w:hAnsi="Calibri"/>
                <w:b w:val="0"/>
                <w:i w:val="0"/>
                <w:color w:val="000000"/>
                <w:sz w:val="18"/>
              </w:rPr>
              <w:t>0.0942</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Access_to_electricity</w:t>
            </w:r>
          </w:p>
        </w:tc>
        <w:tc>
          <w:tcPr>
            <w:tcW w:type="dxa" w:w="2160"/>
          </w:tcPr>
          <w:p>
            <w:pPr>
              <w:jc w:val="right"/>
            </w:pPr>
            <w:r>
              <w:rPr>
                <w:rFonts w:ascii="Calibri" w:hAnsi="Calibri"/>
                <w:b w:val="0"/>
                <w:i w:val="0"/>
                <w:color w:val="000000"/>
                <w:sz w:val="18"/>
              </w:rPr>
              <w:t>0.0526</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Natural_resources_rents_pct</w:t>
            </w:r>
          </w:p>
        </w:tc>
        <w:tc>
          <w:tcPr>
            <w:tcW w:type="dxa" w:w="2160"/>
          </w:tcPr>
          <w:p>
            <w:pPr>
              <w:jc w:val="right"/>
            </w:pPr>
            <w:r>
              <w:rPr>
                <w:rFonts w:ascii="Calibri" w:hAnsi="Calibri"/>
                <w:b w:val="0"/>
                <w:i w:val="0"/>
                <w:color w:val="000000"/>
                <w:sz w:val="18"/>
              </w:rPr>
              <w:t>0.0160</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Agricultural_land_pct</w:t>
            </w:r>
          </w:p>
        </w:tc>
        <w:tc>
          <w:tcPr>
            <w:tcW w:type="dxa" w:w="2160"/>
          </w:tcPr>
          <w:p>
            <w:pPr>
              <w:jc w:val="right"/>
            </w:pPr>
            <w:r>
              <w:rPr>
                <w:rFonts w:ascii="Calibri" w:hAnsi="Calibri"/>
                <w:b w:val="0"/>
                <w:i w:val="0"/>
                <w:color w:val="000000"/>
                <w:sz w:val="18"/>
              </w:rPr>
              <w:t>0.0656</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Protected_areas_pct</w:t>
            </w:r>
          </w:p>
        </w:tc>
        <w:tc>
          <w:tcPr>
            <w:tcW w:type="dxa" w:w="2160"/>
          </w:tcPr>
          <w:p>
            <w:pPr>
              <w:jc w:val="right"/>
            </w:pPr>
            <w:r>
              <w:rPr>
                <w:rFonts w:ascii="Calibri" w:hAnsi="Calibri"/>
                <w:b w:val="0"/>
                <w:i w:val="0"/>
                <w:color w:val="000000"/>
                <w:sz w:val="18"/>
              </w:rPr>
              <w:t>0.0112</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Energy_use_kg_oil_equiv</w:t>
            </w:r>
          </w:p>
        </w:tc>
        <w:tc>
          <w:tcPr>
            <w:tcW w:type="dxa" w:w="2160"/>
          </w:tcPr>
          <w:p>
            <w:pPr>
              <w:jc w:val="right"/>
            </w:pPr>
            <w:r>
              <w:rPr>
                <w:rFonts w:ascii="Calibri" w:hAnsi="Calibri"/>
                <w:b w:val="0"/>
                <w:i w:val="0"/>
                <w:color w:val="000000"/>
                <w:sz w:val="18"/>
              </w:rPr>
              <w:t>0.0801</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Electricity_from_coal_pct</w:t>
            </w:r>
          </w:p>
        </w:tc>
        <w:tc>
          <w:tcPr>
            <w:tcW w:type="dxa" w:w="2160"/>
          </w:tcPr>
          <w:p>
            <w:pPr>
              <w:jc w:val="right"/>
            </w:pPr>
            <w:r>
              <w:rPr>
                <w:rFonts w:ascii="Calibri" w:hAnsi="Calibri"/>
                <w:b w:val="0"/>
                <w:i w:val="0"/>
                <w:color w:val="000000"/>
                <w:sz w:val="18"/>
              </w:rPr>
              <w:t>0.1002</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Life_expectancy</w:t>
            </w:r>
          </w:p>
        </w:tc>
        <w:tc>
          <w:tcPr>
            <w:tcW w:type="dxa" w:w="2160"/>
          </w:tcPr>
          <w:p>
            <w:pPr>
              <w:jc w:val="right"/>
            </w:pPr>
            <w:r>
              <w:rPr>
                <w:rFonts w:ascii="Calibri" w:hAnsi="Calibri"/>
                <w:b w:val="0"/>
                <w:i w:val="0"/>
                <w:color w:val="000000"/>
                <w:sz w:val="18"/>
              </w:rPr>
              <w:t>0.1006</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Under_5_mortality_rate</w:t>
            </w:r>
          </w:p>
        </w:tc>
        <w:tc>
          <w:tcPr>
            <w:tcW w:type="dxa" w:w="2160"/>
          </w:tcPr>
          <w:p>
            <w:pPr>
              <w:jc w:val="right"/>
            </w:pPr>
            <w:r>
              <w:rPr>
                <w:rFonts w:ascii="Calibri" w:hAnsi="Calibri"/>
                <w:b w:val="0"/>
                <w:i w:val="0"/>
                <w:color w:val="000000"/>
                <w:sz w:val="18"/>
              </w:rPr>
              <w:t>0.1036</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Safe_drinking_water_pct</w:t>
            </w:r>
          </w:p>
        </w:tc>
        <w:tc>
          <w:tcPr>
            <w:tcW w:type="dxa" w:w="2160"/>
          </w:tcPr>
          <w:p>
            <w:pPr>
              <w:jc w:val="right"/>
            </w:pPr>
            <w:r>
              <w:rPr>
                <w:rFonts w:ascii="Calibri" w:hAnsi="Calibri"/>
                <w:b w:val="0"/>
                <w:i w:val="0"/>
                <w:color w:val="000000"/>
                <w:sz w:val="18"/>
              </w:rPr>
              <w:t>0.0928</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Safe_sanitation_pct</w:t>
            </w:r>
          </w:p>
        </w:tc>
        <w:tc>
          <w:tcPr>
            <w:tcW w:type="dxa" w:w="2160"/>
          </w:tcPr>
          <w:p>
            <w:pPr>
              <w:jc w:val="right"/>
            </w:pPr>
            <w:r>
              <w:rPr>
                <w:rFonts w:ascii="Calibri" w:hAnsi="Calibri"/>
                <w:b w:val="0"/>
                <w:i w:val="0"/>
                <w:color w:val="000000"/>
                <w:sz w:val="18"/>
              </w:rPr>
              <w:t>0.0901</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Primary_school_enrollment</w:t>
            </w:r>
          </w:p>
        </w:tc>
        <w:tc>
          <w:tcPr>
            <w:tcW w:type="dxa" w:w="2160"/>
          </w:tcPr>
          <w:p>
            <w:pPr>
              <w:jc w:val="right"/>
            </w:pPr>
            <w:r>
              <w:rPr>
                <w:rFonts w:ascii="Calibri" w:hAnsi="Calibri"/>
                <w:b w:val="0"/>
                <w:i w:val="0"/>
                <w:color w:val="000000"/>
                <w:sz w:val="18"/>
              </w:rPr>
              <w:t>0.0237</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Secondary_school_enrollment</w:t>
            </w:r>
          </w:p>
        </w:tc>
        <w:tc>
          <w:tcPr>
            <w:tcW w:type="dxa" w:w="2160"/>
          </w:tcPr>
          <w:p>
            <w:pPr>
              <w:jc w:val="right"/>
            </w:pPr>
            <w:r>
              <w:rPr>
                <w:rFonts w:ascii="Calibri" w:hAnsi="Calibri"/>
                <w:b w:val="0"/>
                <w:i w:val="0"/>
                <w:color w:val="000000"/>
                <w:sz w:val="18"/>
              </w:rPr>
              <w:t>0.0658</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Tertiary_school_enrollment</w:t>
            </w:r>
          </w:p>
        </w:tc>
        <w:tc>
          <w:tcPr>
            <w:tcW w:type="dxa" w:w="2160"/>
          </w:tcPr>
          <w:p>
            <w:pPr>
              <w:jc w:val="right"/>
            </w:pPr>
            <w:r>
              <w:rPr>
                <w:rFonts w:ascii="Calibri" w:hAnsi="Calibri"/>
                <w:b w:val="0"/>
                <w:i w:val="0"/>
                <w:color w:val="000000"/>
                <w:sz w:val="18"/>
              </w:rPr>
              <w:t>0.0852</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Adult_literacy_rate</w:t>
            </w:r>
          </w:p>
        </w:tc>
        <w:tc>
          <w:tcPr>
            <w:tcW w:type="dxa" w:w="2160"/>
          </w:tcPr>
          <w:p>
            <w:pPr>
              <w:jc w:val="right"/>
            </w:pPr>
            <w:r>
              <w:rPr>
                <w:rFonts w:ascii="Calibri" w:hAnsi="Calibri"/>
                <w:b w:val="0"/>
                <w:i w:val="0"/>
                <w:color w:val="000000"/>
                <w:sz w:val="18"/>
              </w:rPr>
              <w:t>0.0732</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Unemployment_pct</w:t>
            </w:r>
          </w:p>
        </w:tc>
        <w:tc>
          <w:tcPr>
            <w:tcW w:type="dxa" w:w="2160"/>
          </w:tcPr>
          <w:p>
            <w:pPr>
              <w:jc w:val="right"/>
            </w:pPr>
            <w:r>
              <w:rPr>
                <w:rFonts w:ascii="Calibri" w:hAnsi="Calibri"/>
                <w:b w:val="0"/>
                <w:i w:val="0"/>
                <w:color w:val="000000"/>
                <w:sz w:val="18"/>
              </w:rPr>
              <w:t>0.0462</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Female_labor_participation_pct</w:t>
            </w:r>
          </w:p>
        </w:tc>
        <w:tc>
          <w:tcPr>
            <w:tcW w:type="dxa" w:w="2160"/>
          </w:tcPr>
          <w:p>
            <w:pPr>
              <w:jc w:val="right"/>
            </w:pPr>
            <w:r>
              <w:rPr>
                <w:rFonts w:ascii="Calibri" w:hAnsi="Calibri"/>
                <w:b w:val="0"/>
                <w:i w:val="0"/>
                <w:color w:val="000000"/>
                <w:sz w:val="18"/>
              </w:rPr>
              <w:t>0.0717</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Gini_index</w:t>
            </w:r>
          </w:p>
        </w:tc>
        <w:tc>
          <w:tcPr>
            <w:tcW w:type="dxa" w:w="2160"/>
          </w:tcPr>
          <w:p>
            <w:pPr>
              <w:jc w:val="right"/>
            </w:pPr>
            <w:r>
              <w:rPr>
                <w:rFonts w:ascii="Calibri" w:hAnsi="Calibri"/>
                <w:b w:val="0"/>
                <w:i w:val="0"/>
                <w:color w:val="000000"/>
                <w:sz w:val="18"/>
              </w:rPr>
              <w:t>0.0599</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Poverty_headcount_ratio</w:t>
            </w:r>
          </w:p>
        </w:tc>
        <w:tc>
          <w:tcPr>
            <w:tcW w:type="dxa" w:w="2160"/>
          </w:tcPr>
          <w:p>
            <w:pPr>
              <w:jc w:val="right"/>
            </w:pPr>
            <w:r>
              <w:rPr>
                <w:rFonts w:ascii="Calibri" w:hAnsi="Calibri"/>
                <w:b w:val="0"/>
                <w:i w:val="0"/>
                <w:color w:val="000000"/>
                <w:sz w:val="18"/>
              </w:rPr>
              <w:t>0.0723</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Clean_fuel_access_pct</w:t>
            </w:r>
          </w:p>
        </w:tc>
        <w:tc>
          <w:tcPr>
            <w:tcW w:type="dxa" w:w="2160"/>
          </w:tcPr>
          <w:p>
            <w:pPr>
              <w:jc w:val="right"/>
            </w:pPr>
            <w:r>
              <w:rPr>
                <w:rFonts w:ascii="Calibri" w:hAnsi="Calibri"/>
                <w:b w:val="0"/>
                <w:i w:val="0"/>
                <w:color w:val="000000"/>
                <w:sz w:val="18"/>
              </w:rPr>
              <w:t>0.0889</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CPIA_gender_equality_rating</w:t>
            </w:r>
          </w:p>
        </w:tc>
        <w:tc>
          <w:tcPr>
            <w:tcW w:type="dxa" w:w="2160"/>
          </w:tcPr>
          <w:p>
            <w:pPr>
              <w:jc w:val="right"/>
            </w:pPr>
            <w:r>
              <w:rPr>
                <w:rFonts w:ascii="Calibri" w:hAnsi="Calibri"/>
                <w:b w:val="0"/>
                <w:i w:val="0"/>
                <w:color w:val="000000"/>
                <w:sz w:val="18"/>
              </w:rPr>
              <w:t>0.0260</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Industry_value_added_pct_GDP</w:t>
            </w:r>
          </w:p>
        </w:tc>
        <w:tc>
          <w:tcPr>
            <w:tcW w:type="dxa" w:w="2160"/>
          </w:tcPr>
          <w:p>
            <w:pPr>
              <w:jc w:val="right"/>
            </w:pPr>
            <w:r>
              <w:rPr>
                <w:rFonts w:ascii="Calibri" w:hAnsi="Calibri"/>
                <w:b w:val="0"/>
                <w:i w:val="0"/>
                <w:color w:val="000000"/>
                <w:sz w:val="18"/>
              </w:rPr>
              <w:t>0.1349</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Services_value_added_pct_GDP</w:t>
            </w:r>
          </w:p>
        </w:tc>
        <w:tc>
          <w:tcPr>
            <w:tcW w:type="dxa" w:w="2160"/>
          </w:tcPr>
          <w:p>
            <w:pPr>
              <w:jc w:val="right"/>
            </w:pPr>
            <w:r>
              <w:rPr>
                <w:rFonts w:ascii="Calibri" w:hAnsi="Calibri"/>
                <w:b w:val="0"/>
                <w:i w:val="0"/>
                <w:color w:val="000000"/>
                <w:sz w:val="18"/>
              </w:rPr>
              <w:t>0.1902</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FDI_net_inflow_pct_GDP</w:t>
            </w:r>
          </w:p>
        </w:tc>
        <w:tc>
          <w:tcPr>
            <w:tcW w:type="dxa" w:w="2160"/>
          </w:tcPr>
          <w:p>
            <w:pPr>
              <w:jc w:val="right"/>
            </w:pPr>
            <w:r>
              <w:rPr>
                <w:rFonts w:ascii="Calibri" w:hAnsi="Calibri"/>
                <w:b w:val="0"/>
                <w:i w:val="0"/>
                <w:color w:val="000000"/>
                <w:sz w:val="18"/>
              </w:rPr>
              <w:t>0.0140</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RD_expenditure_pct_GDP</w:t>
            </w:r>
          </w:p>
        </w:tc>
        <w:tc>
          <w:tcPr>
            <w:tcW w:type="dxa" w:w="2160"/>
          </w:tcPr>
          <w:p>
            <w:pPr>
              <w:jc w:val="right"/>
            </w:pPr>
            <w:r>
              <w:rPr>
                <w:rFonts w:ascii="Calibri" w:hAnsi="Calibri"/>
                <w:b w:val="0"/>
                <w:i w:val="0"/>
                <w:color w:val="000000"/>
                <w:sz w:val="18"/>
              </w:rPr>
              <w:t>0.1235</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High_tech_exports_pct_manufactured</w:t>
            </w:r>
          </w:p>
        </w:tc>
        <w:tc>
          <w:tcPr>
            <w:tcW w:type="dxa" w:w="2160"/>
          </w:tcPr>
          <w:p>
            <w:pPr>
              <w:jc w:val="right"/>
            </w:pPr>
            <w:r>
              <w:rPr>
                <w:rFonts w:ascii="Calibri" w:hAnsi="Calibri"/>
                <w:b w:val="0"/>
                <w:i w:val="0"/>
                <w:color w:val="000000"/>
                <w:sz w:val="18"/>
              </w:rPr>
              <w:t>0.0690</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Patent_applications_residents</w:t>
            </w:r>
          </w:p>
        </w:tc>
        <w:tc>
          <w:tcPr>
            <w:tcW w:type="dxa" w:w="2160"/>
          </w:tcPr>
          <w:p>
            <w:pPr>
              <w:jc w:val="right"/>
            </w:pPr>
            <w:r>
              <w:rPr>
                <w:rFonts w:ascii="Calibri" w:hAnsi="Calibri"/>
                <w:b w:val="0"/>
                <w:i w:val="0"/>
                <w:color w:val="000000"/>
                <w:sz w:val="18"/>
              </w:rPr>
              <w:t>0.0559</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Education_expenditure_pct_GDP</w:t>
            </w:r>
          </w:p>
        </w:tc>
        <w:tc>
          <w:tcPr>
            <w:tcW w:type="dxa" w:w="2160"/>
          </w:tcPr>
          <w:p>
            <w:pPr>
              <w:jc w:val="right"/>
            </w:pPr>
            <w:r>
              <w:rPr>
                <w:rFonts w:ascii="Calibri" w:hAnsi="Calibri"/>
                <w:b w:val="0"/>
                <w:i w:val="0"/>
                <w:color w:val="000000"/>
                <w:sz w:val="18"/>
              </w:rPr>
              <w:t>0.0995</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Inflation_pct</w:t>
            </w:r>
          </w:p>
        </w:tc>
        <w:tc>
          <w:tcPr>
            <w:tcW w:type="dxa" w:w="2160"/>
          </w:tcPr>
          <w:p>
            <w:pPr>
              <w:jc w:val="right"/>
            </w:pPr>
            <w:r>
              <w:rPr>
                <w:rFonts w:ascii="Calibri" w:hAnsi="Calibri"/>
                <w:b w:val="0"/>
                <w:i w:val="0"/>
                <w:color w:val="000000"/>
                <w:sz w:val="18"/>
              </w:rPr>
              <w:t>0.1093</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Military_expenditure_pct_GDP</w:t>
            </w:r>
          </w:p>
        </w:tc>
        <w:tc>
          <w:tcPr>
            <w:tcW w:type="dxa" w:w="2160"/>
          </w:tcPr>
          <w:p>
            <w:pPr>
              <w:jc w:val="right"/>
            </w:pPr>
            <w:r>
              <w:rPr>
                <w:rFonts w:ascii="Calibri" w:hAnsi="Calibri"/>
                <w:b w:val="0"/>
                <w:i w:val="0"/>
                <w:color w:val="000000"/>
                <w:sz w:val="18"/>
              </w:rPr>
              <w:t>0.0173</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Agriculture_value_added_pct_GDP</w:t>
            </w:r>
          </w:p>
        </w:tc>
        <w:tc>
          <w:tcPr>
            <w:tcW w:type="dxa" w:w="2160"/>
          </w:tcPr>
          <w:p>
            <w:pPr>
              <w:jc w:val="right"/>
            </w:pPr>
            <w:r>
              <w:rPr>
                <w:rFonts w:ascii="Calibri" w:hAnsi="Calibri"/>
                <w:b w:val="0"/>
                <w:i w:val="0"/>
                <w:color w:val="000000"/>
                <w:sz w:val="18"/>
              </w:rPr>
              <w:t>0.1865</w:t>
            </w:r>
          </w:p>
        </w:tc>
        <w:tc>
          <w:tcPr>
            <w:tcW w:type="dxa" w:w="2160"/>
          </w:tcPr>
          <w:p>
            <w:pPr>
              <w:jc w:val="right"/>
            </w:pPr>
            <w:r>
              <w:rPr>
                <w:rFonts w:ascii="Calibri" w:hAnsi="Calibri"/>
                <w:b w:val="0"/>
                <w:i w:val="0"/>
                <w:color w:val="000000"/>
                <w:sz w:val="18"/>
              </w:rPr>
              <w:t>% 27.83</w:t>
            </w:r>
          </w:p>
        </w:tc>
      </w:tr>
    </w:tbl>
    <w:p>
      <w:pPr>
        <w:jc w:val="left"/>
      </w:pPr>
    </w:p>
    <w:p>
      <w:pPr>
        <w:pStyle w:val="Heading1"/>
      </w:pPr>
      <w:r>
        <w:t>3. XGBoost ve SHAP Analiz Sonuçları</w:t>
      </w:r>
    </w:p>
    <w:p>
      <w:r>
        <w:t>Ulusal Greenwashing Endeksini etkileyen yapısal ve makroekonomik değişkenlerin marjinal etkileri Şekil 1'deki SHAP summary plot grafiğinde gösterilmektedir.</w:t>
      </w:r>
    </w:p>
    <w:p>
      <w:pPr>
        <w:jc w:val="center"/>
      </w:pPr>
    </w:p>
    <w:p>
      <w:r>
        <w:drawing>
          <wp:inline xmlns:a="http://schemas.openxmlformats.org/drawingml/2006/main" xmlns:pic="http://schemas.openxmlformats.org/drawingml/2006/picture">
            <wp:extent cx="5029200" cy="1948815"/>
            <wp:docPr id="1" name="Picture 1"/>
            <wp:cNvGraphicFramePr>
              <a:graphicFrameLocks noChangeAspect="1"/>
            </wp:cNvGraphicFramePr>
            <a:graphic>
              <a:graphicData uri="http://schemas.openxmlformats.org/drawingml/2006/picture">
                <pic:pic>
                  <pic:nvPicPr>
                    <pic:cNvPr id="0" name="shap_summary.png"/>
                    <pic:cNvPicPr/>
                  </pic:nvPicPr>
                  <pic:blipFill>
                    <a:blip r:embed="rId9"/>
                    <a:stretch>
                      <a:fillRect/>
                    </a:stretch>
                  </pic:blipFill>
                  <pic:spPr>
                    <a:xfrm>
                      <a:off x="0" y="0"/>
                      <a:ext cx="5029200" cy="1948815"/>
                    </a:xfrm>
                    <a:prstGeom prst="rect"/>
                  </pic:spPr>
                </pic:pic>
              </a:graphicData>
            </a:graphic>
          </wp:inline>
        </w:drawing>
      </w:r>
    </w:p>
    <w:p>
      <w:pPr>
        <w:jc w:val="center"/>
      </w:pPr>
      <w:r>
        <w:rPr>
          <w:i/>
          <w:sz w:val="19"/>
        </w:rPr>
        <w:t>Şekil 1: Ülke Düzeyinde Ulusal Greenwashing Risk Sürücülerinin SHAP Değerleri</w:t>
      </w:r>
    </w:p>
    <w:p>
      <w:r>
        <w:t>XGBoost modeli SHAP bulguları incelendiğinde, kişi başına düşen ekonomik refah seviyesinin (log_GDP_pc) yeşil aklama (politika-uygulama ayrışması) riskini en güçlü artıran faktör olduğu görülmektedir. Bu durum, yüksek gelir grubundaki ülkelerin kurumsal olarak çevre dostu yasaları ve söylemleri benimsemesine rağmen, tüketim ve sanayi faaliyetleri nedeniyle gerçek eylemde geride kaldıklarını doğrulamaktadır. Buna karşılık, sosyal endeksin (SOCIndex - eğitim, eşitlik ve yaşam kalitesi) yeşil aklamayı azaltıcı yönde güçlü bir fren görevi üstlendiği anlaşılmaktadır.</w:t>
      </w:r>
    </w:p>
    <w:p>
      <w:pPr>
        <w:pStyle w:val="Heading1"/>
      </w:pPr>
      <w:r>
        <w:t>4. Panel Regresyon Modeli Çıktıları</w:t>
      </w:r>
    </w:p>
    <w:p>
      <w:r>
        <w:t>Yeşil aklama sapmasındaki gecikmeli ataleti ve ülke/yıl sabit etkilerini kontrol eden dinamik panel regresyon sonuçları Tablo 3'te sunulmaktadır.</w:t>
      </w:r>
    </w:p>
    <w:tbl>
      <w:tblPr>
        <w:tblW w:type="auto" w:w="0"/>
        <w:tblLook w:firstColumn="1" w:firstRow="1" w:lastColumn="0" w:lastRow="0" w:noHBand="0" w:noVBand="1" w:val="04A0"/>
        <w:tblBorders>
          <w:top w:val="single" w:sz="6" w:space="0" w:color="CCCCCC"/>
          <w:bottom w:val="single" w:sz="12" w:space="0" w:color="333333"/>
          <w:left w:val="none"/>
          <w:right w:val="none"/>
          <w:insideH w:val="single" w:sz="4" w:space="0" w:color="E5E5E5"/>
          <w:insideV w:val="none"/>
        </w:tblBorders>
      </w:tblPr>
      <w:tblGrid>
        <w:gridCol w:w="1728"/>
        <w:gridCol w:w="1728"/>
        <w:gridCol w:w="1728"/>
        <w:gridCol w:w="1728"/>
        <w:gridCol w:w="1728"/>
      </w:tblGrid>
      <w:tr>
        <w:tc>
          <w:tcPr>
            <w:tcW w:type="dxa" w:w="1728"/>
            <w:shd w:fill="F2F2F2"/>
          </w:tcPr>
          <w:p>
            <w:pPr>
              <w:jc w:val="center"/>
            </w:pPr>
            <w:r>
              <w:rPr>
                <w:rFonts w:ascii="Calibri" w:hAnsi="Calibri"/>
                <w:b/>
                <w:i w:val="0"/>
                <w:color w:val="000000"/>
                <w:sz w:val="18"/>
              </w:rPr>
              <w:t>Değişken</w:t>
            </w:r>
          </w:p>
        </w:tc>
        <w:tc>
          <w:tcPr>
            <w:tcW w:type="dxa" w:w="1728"/>
            <w:shd w:fill="F2F2F2"/>
          </w:tcPr>
          <w:p>
            <w:pPr>
              <w:jc w:val="center"/>
            </w:pPr>
            <w:r>
              <w:rPr>
                <w:rFonts w:ascii="Calibri" w:hAnsi="Calibri"/>
                <w:b/>
                <w:i w:val="0"/>
                <w:color w:val="000000"/>
                <w:sz w:val="18"/>
              </w:rPr>
              <w:t>Pooled OLS Coef</w:t>
            </w:r>
          </w:p>
        </w:tc>
        <w:tc>
          <w:tcPr>
            <w:tcW w:type="dxa" w:w="1728"/>
            <w:shd w:fill="F2F2F2"/>
          </w:tcPr>
          <w:p>
            <w:pPr>
              <w:jc w:val="center"/>
            </w:pPr>
            <w:r>
              <w:rPr>
                <w:rFonts w:ascii="Calibri" w:hAnsi="Calibri"/>
                <w:b/>
                <w:i w:val="0"/>
                <w:color w:val="000000"/>
                <w:sz w:val="18"/>
              </w:rPr>
              <w:t>Pooled OLS p-val</w:t>
            </w:r>
          </w:p>
        </w:tc>
        <w:tc>
          <w:tcPr>
            <w:tcW w:type="dxa" w:w="1728"/>
            <w:shd w:fill="F2F2F2"/>
          </w:tcPr>
          <w:p>
            <w:pPr>
              <w:jc w:val="center"/>
            </w:pPr>
            <w:r>
              <w:rPr>
                <w:rFonts w:ascii="Calibri" w:hAnsi="Calibri"/>
                <w:b/>
                <w:i w:val="0"/>
                <w:color w:val="000000"/>
                <w:sz w:val="18"/>
              </w:rPr>
              <w:t>Fixed Effects Coef</w:t>
            </w:r>
          </w:p>
        </w:tc>
        <w:tc>
          <w:tcPr>
            <w:tcW w:type="dxa" w:w="1728"/>
            <w:shd w:fill="F2F2F2"/>
          </w:tcPr>
          <w:p>
            <w:pPr>
              <w:jc w:val="center"/>
            </w:pPr>
            <w:r>
              <w:rPr>
                <w:rFonts w:ascii="Calibri" w:hAnsi="Calibri"/>
                <w:b/>
                <w:i w:val="0"/>
                <w:color w:val="000000"/>
                <w:sz w:val="18"/>
              </w:rPr>
              <w:t>Fixed Effects p-val</w:t>
            </w:r>
          </w:p>
        </w:tc>
      </w:tr>
      <w:tr>
        <w:tc>
          <w:tcPr>
            <w:tcW w:type="dxa" w:w="1728"/>
          </w:tcPr>
          <w:p>
            <w:pPr>
              <w:jc w:val="left"/>
            </w:pPr>
            <w:r>
              <w:rPr>
                <w:rFonts w:ascii="Calibri" w:hAnsi="Calibri"/>
                <w:b/>
                <w:i w:val="0"/>
                <w:color w:val="000000"/>
                <w:sz w:val="18"/>
              </w:rPr>
              <w:t>Sabit Terim</w:t>
            </w:r>
          </w:p>
        </w:tc>
        <w:tc>
          <w:tcPr>
            <w:tcW w:type="dxa" w:w="1728"/>
          </w:tcPr>
          <w:p>
            <w:pPr>
              <w:jc w:val="right"/>
            </w:pPr>
            <w:r>
              <w:rPr>
                <w:rFonts w:ascii="Calibri" w:hAnsi="Calibri"/>
                <w:b w:val="0"/>
                <w:i w:val="0"/>
                <w:color w:val="000000"/>
                <w:sz w:val="18"/>
              </w:rPr>
              <w:t>4.1621</w:t>
            </w:r>
          </w:p>
        </w:tc>
        <w:tc>
          <w:tcPr>
            <w:tcW w:type="dxa" w:w="1728"/>
          </w:tcPr>
          <w:p>
            <w:pPr>
              <w:jc w:val="center"/>
            </w:pPr>
            <w:r>
              <w:rPr>
                <w:rFonts w:ascii="Calibri" w:hAnsi="Calibri"/>
                <w:b w:val="0"/>
                <w:i w:val="0"/>
                <w:color w:val="000000"/>
                <w:sz w:val="18"/>
              </w:rPr>
              <w:t>0.091 (*)</w:t>
            </w:r>
          </w:p>
        </w:tc>
        <w:tc>
          <w:tcPr>
            <w:tcW w:type="dxa" w:w="1728"/>
          </w:tcPr>
          <w:p>
            <w:pPr>
              <w:jc w:val="right"/>
            </w:pPr>
            <w:r>
              <w:rPr>
                <w:rFonts w:ascii="Calibri" w:hAnsi="Calibri"/>
                <w:b w:val="0"/>
                <w:i w:val="0"/>
                <w:color w:val="000000"/>
                <w:sz w:val="18"/>
              </w:rPr>
              <w:t>-44.3165</w:t>
            </w:r>
          </w:p>
        </w:tc>
        <w:tc>
          <w:tcPr>
            <w:tcW w:type="dxa" w:w="1728"/>
          </w:tcPr>
          <w:p>
            <w:pPr>
              <w:jc w:val="center"/>
            </w:pPr>
            <w:r>
              <w:rPr>
                <w:rFonts w:ascii="Calibri" w:hAnsi="Calibri"/>
                <w:b w:val="0"/>
                <w:i w:val="0"/>
                <w:color w:val="000000"/>
                <w:sz w:val="18"/>
              </w:rPr>
              <w:t>0.134 (n.s.)</w:t>
            </w:r>
          </w:p>
        </w:tc>
      </w:tr>
      <w:tr>
        <w:tc>
          <w:tcPr>
            <w:tcW w:type="dxa" w:w="1728"/>
          </w:tcPr>
          <w:p>
            <w:pPr>
              <w:jc w:val="left"/>
            </w:pPr>
            <w:r>
              <w:rPr>
                <w:rFonts w:ascii="Calibri" w:hAnsi="Calibri"/>
                <w:b/>
                <w:i w:val="0"/>
                <w:color w:val="000000"/>
                <w:sz w:val="18"/>
              </w:rPr>
              <w:t>Lag Greenwashing (t-1)</w:t>
            </w:r>
          </w:p>
        </w:tc>
        <w:tc>
          <w:tcPr>
            <w:tcW w:type="dxa" w:w="1728"/>
          </w:tcPr>
          <w:p>
            <w:pPr>
              <w:jc w:val="right"/>
            </w:pPr>
            <w:r>
              <w:rPr>
                <w:rFonts w:ascii="Calibri" w:hAnsi="Calibri"/>
                <w:b w:val="0"/>
                <w:i w:val="0"/>
                <w:color w:val="000000"/>
                <w:sz w:val="18"/>
              </w:rPr>
              <w:t>0.9976</w:t>
            </w:r>
          </w:p>
        </w:tc>
        <w:tc>
          <w:tcPr>
            <w:tcW w:type="dxa" w:w="1728"/>
          </w:tcPr>
          <w:p>
            <w:pPr>
              <w:jc w:val="center"/>
            </w:pPr>
            <w:r>
              <w:rPr>
                <w:rFonts w:ascii="Calibri" w:hAnsi="Calibri"/>
                <w:b w:val="0"/>
                <w:i w:val="0"/>
                <w:color w:val="000000"/>
                <w:sz w:val="18"/>
              </w:rPr>
              <w:t>0.000 (***)</w:t>
            </w:r>
          </w:p>
        </w:tc>
        <w:tc>
          <w:tcPr>
            <w:tcW w:type="dxa" w:w="1728"/>
          </w:tcPr>
          <w:p>
            <w:pPr>
              <w:jc w:val="right"/>
            </w:pPr>
            <w:r>
              <w:rPr>
                <w:rFonts w:ascii="Calibri" w:hAnsi="Calibri"/>
                <w:b w:val="0"/>
                <w:i w:val="0"/>
                <w:color w:val="000000"/>
                <w:sz w:val="18"/>
              </w:rPr>
              <w:t>0.6403</w:t>
            </w:r>
          </w:p>
        </w:tc>
        <w:tc>
          <w:tcPr>
            <w:tcW w:type="dxa" w:w="1728"/>
          </w:tcPr>
          <w:p>
            <w:pPr>
              <w:jc w:val="center"/>
            </w:pPr>
            <w:r>
              <w:rPr>
                <w:rFonts w:ascii="Calibri" w:hAnsi="Calibri"/>
                <w:b w:val="0"/>
                <w:i w:val="0"/>
                <w:color w:val="000000"/>
                <w:sz w:val="18"/>
              </w:rPr>
              <w:t>0.000 (***)</w:t>
            </w:r>
          </w:p>
        </w:tc>
      </w:tr>
      <w:tr>
        <w:tc>
          <w:tcPr>
            <w:tcW w:type="dxa" w:w="1728"/>
          </w:tcPr>
          <w:p>
            <w:pPr>
              <w:jc w:val="left"/>
            </w:pPr>
            <w:r>
              <w:rPr>
                <w:rFonts w:ascii="Calibri" w:hAnsi="Calibri"/>
                <w:b/>
                <w:i w:val="0"/>
                <w:color w:val="000000"/>
                <w:sz w:val="18"/>
              </w:rPr>
              <w:t>SOCIndex</w:t>
            </w:r>
          </w:p>
        </w:tc>
        <w:tc>
          <w:tcPr>
            <w:tcW w:type="dxa" w:w="1728"/>
          </w:tcPr>
          <w:p>
            <w:pPr>
              <w:jc w:val="right"/>
            </w:pPr>
            <w:r>
              <w:rPr>
                <w:rFonts w:ascii="Calibri" w:hAnsi="Calibri"/>
                <w:b w:val="0"/>
                <w:i w:val="0"/>
                <w:color w:val="000000"/>
                <w:sz w:val="18"/>
              </w:rPr>
              <w:t>0.0229</w:t>
            </w:r>
          </w:p>
        </w:tc>
        <w:tc>
          <w:tcPr>
            <w:tcW w:type="dxa" w:w="1728"/>
          </w:tcPr>
          <w:p>
            <w:pPr>
              <w:jc w:val="center"/>
            </w:pPr>
            <w:r>
              <w:rPr>
                <w:rFonts w:ascii="Calibri" w:hAnsi="Calibri"/>
                <w:b w:val="0"/>
                <w:i w:val="0"/>
                <w:color w:val="000000"/>
                <w:sz w:val="18"/>
              </w:rPr>
              <w:t>0.082 (*)</w:t>
            </w:r>
          </w:p>
        </w:tc>
        <w:tc>
          <w:tcPr>
            <w:tcW w:type="dxa" w:w="1728"/>
          </w:tcPr>
          <w:p>
            <w:pPr>
              <w:jc w:val="right"/>
            </w:pPr>
            <w:r>
              <w:rPr>
                <w:rFonts w:ascii="Calibri" w:hAnsi="Calibri"/>
                <w:b w:val="0"/>
                <w:i w:val="0"/>
                <w:color w:val="000000"/>
                <w:sz w:val="18"/>
              </w:rPr>
              <w:t>-0.1643</w:t>
            </w:r>
          </w:p>
        </w:tc>
        <w:tc>
          <w:tcPr>
            <w:tcW w:type="dxa" w:w="1728"/>
          </w:tcPr>
          <w:p>
            <w:pPr>
              <w:jc w:val="center"/>
            </w:pPr>
            <w:r>
              <w:rPr>
                <w:rFonts w:ascii="Calibri" w:hAnsi="Calibri"/>
                <w:b w:val="0"/>
                <w:i w:val="0"/>
                <w:color w:val="000000"/>
                <w:sz w:val="18"/>
              </w:rPr>
              <w:t>0.023 (**)</w:t>
            </w:r>
          </w:p>
        </w:tc>
      </w:tr>
      <w:tr>
        <w:tc>
          <w:tcPr>
            <w:tcW w:type="dxa" w:w="1728"/>
          </w:tcPr>
          <w:p>
            <w:pPr>
              <w:jc w:val="left"/>
            </w:pPr>
            <w:r>
              <w:rPr>
                <w:rFonts w:ascii="Calibri" w:hAnsi="Calibri"/>
                <w:b/>
                <w:i w:val="0"/>
                <w:color w:val="000000"/>
                <w:sz w:val="18"/>
              </w:rPr>
              <w:t>Log GDP per Capita</w:t>
            </w:r>
          </w:p>
        </w:tc>
        <w:tc>
          <w:tcPr>
            <w:tcW w:type="dxa" w:w="1728"/>
          </w:tcPr>
          <w:p>
            <w:pPr>
              <w:jc w:val="right"/>
            </w:pPr>
            <w:r>
              <w:rPr>
                <w:rFonts w:ascii="Calibri" w:hAnsi="Calibri"/>
                <w:b w:val="0"/>
                <w:i w:val="0"/>
                <w:color w:val="000000"/>
                <w:sz w:val="18"/>
              </w:rPr>
              <w:t>-0.5709</w:t>
            </w:r>
          </w:p>
        </w:tc>
        <w:tc>
          <w:tcPr>
            <w:tcW w:type="dxa" w:w="1728"/>
          </w:tcPr>
          <w:p>
            <w:pPr>
              <w:jc w:val="center"/>
            </w:pPr>
            <w:r>
              <w:rPr>
                <w:rFonts w:ascii="Calibri" w:hAnsi="Calibri"/>
                <w:b w:val="0"/>
                <w:i w:val="0"/>
                <w:color w:val="000000"/>
                <w:sz w:val="18"/>
              </w:rPr>
              <w:t>0.050 (*)</w:t>
            </w:r>
          </w:p>
        </w:tc>
        <w:tc>
          <w:tcPr>
            <w:tcW w:type="dxa" w:w="1728"/>
          </w:tcPr>
          <w:p>
            <w:pPr>
              <w:jc w:val="right"/>
            </w:pPr>
            <w:r>
              <w:rPr>
                <w:rFonts w:ascii="Calibri" w:hAnsi="Calibri"/>
                <w:b w:val="0"/>
                <w:i w:val="0"/>
                <w:color w:val="000000"/>
                <w:sz w:val="18"/>
              </w:rPr>
              <w:t>6.9062</w:t>
            </w:r>
          </w:p>
        </w:tc>
        <w:tc>
          <w:tcPr>
            <w:tcW w:type="dxa" w:w="1728"/>
          </w:tcPr>
          <w:p>
            <w:pPr>
              <w:jc w:val="center"/>
            </w:pPr>
            <w:r>
              <w:rPr>
                <w:rFonts w:ascii="Calibri" w:hAnsi="Calibri"/>
                <w:b w:val="0"/>
                <w:i w:val="0"/>
                <w:color w:val="000000"/>
                <w:sz w:val="18"/>
              </w:rPr>
              <w:t>0.045 (**)</w:t>
            </w:r>
          </w:p>
        </w:tc>
      </w:tr>
      <w:tr>
        <w:tc>
          <w:tcPr>
            <w:tcW w:type="dxa" w:w="1728"/>
          </w:tcPr>
          <w:p>
            <w:pPr>
              <w:jc w:val="left"/>
            </w:pPr>
            <w:r>
              <w:rPr>
                <w:rFonts w:ascii="Calibri" w:hAnsi="Calibri"/>
                <w:b/>
                <w:i w:val="0"/>
                <w:color w:val="000000"/>
                <w:sz w:val="18"/>
              </w:rPr>
              <w:t>GDP Büyümesi (%)</w:t>
            </w:r>
          </w:p>
        </w:tc>
        <w:tc>
          <w:tcPr>
            <w:tcW w:type="dxa" w:w="1728"/>
          </w:tcPr>
          <w:p>
            <w:pPr>
              <w:jc w:val="right"/>
            </w:pPr>
            <w:r>
              <w:rPr>
                <w:rFonts w:ascii="Calibri" w:hAnsi="Calibri"/>
                <w:b w:val="0"/>
                <w:i w:val="0"/>
                <w:color w:val="000000"/>
                <w:sz w:val="18"/>
              </w:rPr>
              <w:t>0.0790</w:t>
            </w:r>
          </w:p>
        </w:tc>
        <w:tc>
          <w:tcPr>
            <w:tcW w:type="dxa" w:w="1728"/>
          </w:tcPr>
          <w:p>
            <w:pPr>
              <w:jc w:val="center"/>
            </w:pPr>
            <w:r>
              <w:rPr>
                <w:rFonts w:ascii="Calibri" w:hAnsi="Calibri"/>
                <w:b w:val="0"/>
                <w:i w:val="0"/>
                <w:color w:val="000000"/>
                <w:sz w:val="18"/>
              </w:rPr>
              <w:t>0.069 (*)</w:t>
            </w:r>
          </w:p>
        </w:tc>
        <w:tc>
          <w:tcPr>
            <w:tcW w:type="dxa" w:w="1728"/>
          </w:tcPr>
          <w:p>
            <w:pPr>
              <w:jc w:val="right"/>
            </w:pPr>
            <w:r>
              <w:rPr>
                <w:rFonts w:ascii="Calibri" w:hAnsi="Calibri"/>
                <w:b w:val="0"/>
                <w:i w:val="0"/>
                <w:color w:val="000000"/>
                <w:sz w:val="18"/>
              </w:rPr>
              <w:t>-0.0436</w:t>
            </w:r>
          </w:p>
        </w:tc>
        <w:tc>
          <w:tcPr>
            <w:tcW w:type="dxa" w:w="1728"/>
          </w:tcPr>
          <w:p>
            <w:pPr>
              <w:jc w:val="center"/>
            </w:pPr>
            <w:r>
              <w:rPr>
                <w:rFonts w:ascii="Calibri" w:hAnsi="Calibri"/>
                <w:b w:val="0"/>
                <w:i w:val="0"/>
                <w:color w:val="000000"/>
                <w:sz w:val="18"/>
              </w:rPr>
              <w:t>0.604 (n.s.)</w:t>
            </w:r>
          </w:p>
        </w:tc>
      </w:tr>
      <w:tr>
        <w:tc>
          <w:tcPr>
            <w:tcW w:type="dxa" w:w="1728"/>
          </w:tcPr>
          <w:p>
            <w:pPr>
              <w:jc w:val="left"/>
            </w:pPr>
            <w:r>
              <w:rPr>
                <w:rFonts w:ascii="Calibri" w:hAnsi="Calibri"/>
                <w:b/>
                <w:i w:val="0"/>
                <w:color w:val="000000"/>
                <w:sz w:val="18"/>
              </w:rPr>
              <w:t>Enflasyon Oranı (%)</w:t>
            </w:r>
          </w:p>
        </w:tc>
        <w:tc>
          <w:tcPr>
            <w:tcW w:type="dxa" w:w="1728"/>
          </w:tcPr>
          <w:p>
            <w:pPr>
              <w:jc w:val="right"/>
            </w:pPr>
            <w:r>
              <w:rPr>
                <w:rFonts w:ascii="Calibri" w:hAnsi="Calibri"/>
                <w:b w:val="0"/>
                <w:i w:val="0"/>
                <w:color w:val="000000"/>
                <w:sz w:val="18"/>
              </w:rPr>
              <w:t>-0.0882</w:t>
            </w:r>
          </w:p>
        </w:tc>
        <w:tc>
          <w:tcPr>
            <w:tcW w:type="dxa" w:w="1728"/>
          </w:tcPr>
          <w:p>
            <w:pPr>
              <w:jc w:val="center"/>
            </w:pPr>
            <w:r>
              <w:rPr>
                <w:rFonts w:ascii="Calibri" w:hAnsi="Calibri"/>
                <w:b w:val="0"/>
                <w:i w:val="0"/>
                <w:color w:val="000000"/>
                <w:sz w:val="18"/>
              </w:rPr>
              <w:t>0.258 (n.s.)</w:t>
            </w:r>
          </w:p>
        </w:tc>
        <w:tc>
          <w:tcPr>
            <w:tcW w:type="dxa" w:w="1728"/>
          </w:tcPr>
          <w:p>
            <w:pPr>
              <w:jc w:val="right"/>
            </w:pPr>
            <w:r>
              <w:rPr>
                <w:rFonts w:ascii="Calibri" w:hAnsi="Calibri"/>
                <w:b w:val="0"/>
                <w:i w:val="0"/>
                <w:color w:val="000000"/>
                <w:sz w:val="18"/>
              </w:rPr>
              <w:t>-0.1664</w:t>
            </w:r>
          </w:p>
        </w:tc>
        <w:tc>
          <w:tcPr>
            <w:tcW w:type="dxa" w:w="1728"/>
          </w:tcPr>
          <w:p>
            <w:pPr>
              <w:jc w:val="center"/>
            </w:pPr>
            <w:r>
              <w:rPr>
                <w:rFonts w:ascii="Calibri" w:hAnsi="Calibri"/>
                <w:b w:val="0"/>
                <w:i w:val="0"/>
                <w:color w:val="000000"/>
                <w:sz w:val="18"/>
              </w:rPr>
              <w:t>0.000 (***)</w:t>
            </w:r>
          </w:p>
        </w:tc>
      </w:tr>
    </w:tbl>
    <w:p>
      <w:pPr>
        <w:jc w:val="left"/>
      </w:pPr>
    </w:p>
    <w:p>
      <w:r>
        <w:t>Sabit Etkiler modeli bulguları, geçmiş dönem greenwashing durumunun (Lag Greenwashing) mevcut dönem sapması üzerinde yüksek düzeyde anlamlı ve pozitif bir etkiye sahip olduğunu ortaya koyarak kurumsal davranışsal ataleti doğrulamaktadır. Sosyal kalkınmışlık katsayısının (SOCIndex) negatif ve anlamlı olması, toplumsal refah ve cinsiyet eşitliği alanındaki reformların söylem-eylem ayrışmasını engelleyici yönde çalıştığını kanıtlamaktadır.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