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BİST ŞİRKETLERİNDE SÜRDÜRÜLEBİLİRLİK AÇIKLAMALARI VE GREENWASHING RİSKİNİN MODELLENMESİ:</w:t>
        <w:br/>
        <w:t>PCA, XGBOOST VE DİNAMİK PANEL VERİ ANALİZİ</w:t>
      </w:r>
    </w:p>
    <w:p>
      <w:pPr>
        <w:jc w:val="center"/>
      </w:pPr>
    </w:p>
    <w:p>
      <w:pPr>
        <w:jc w:val="center"/>
      </w:pPr>
      <w:r>
        <w:rPr>
          <w:i/>
          <w:sz w:val="22"/>
        </w:rPr>
        <w:t>Araştırma Raporu &amp; Model Bulguları</w:t>
        <w:br/>
        <w:t>Tarih: 19 Haziran 2026</w:t>
      </w:r>
    </w:p>
    <w:p>
      <w:r>
        <w:br w:type="page"/>
      </w:r>
    </w:p>
    <w:p>
      <w:pPr>
        <w:pStyle w:val="Heading1"/>
      </w:pPr>
      <w:r>
        <w:t>Özet</w:t>
      </w:r>
    </w:p>
    <w:p>
      <w:r>
        <w:t>Bu çalışmada, Borsa İstanbul (BIST) bünyesindeki 20 pilot şirketin 2020-2024 dönemine ait sürdürülebilirlik raporlarındaki çevresel (E), sosyal (S), yönetişim (G) göstergeleri ile yapay zekâ tabanlı metinsel kalıplar kullanılarak Greenwashing Risk Skoru (GRS) oluşturulmuş ve modellenmiştir. Gösterge ağırlıkları Temel Bileşenler Analizi (PCA) ile objektif olarak belirlenmiş; bu ağırlıklar kullanılarak E, S, G ve Metin endeksleri türetilmiştir. Greenwashing riskini etkileyen unsurlar XGBoost makine öğrenmesi ve SHAP değerleriyle açıklanmıştır. Şirketlerin zaman içindeki davranışsal tutarlılığını modellemek adına dinamik panel veri analizleri yürütülmüştür. Bulgular, sürdürülebilirlik açıklamalarının kalitesini artıran ve risk skorunu düşüren en önemli bileşenlerin metinsel kanıt kalitesi (TEXTIndex) ve çevresel açıklamaların kapsamı (ENVIndex) olduğunu ortaya koymaktadır.</w:t>
      </w:r>
    </w:p>
    <w:p>
      <w:pPr>
        <w:pStyle w:val="Heading1"/>
      </w:pPr>
      <w:r>
        <w:t>1. Yöntem ve Veri Seti</w:t>
      </w:r>
    </w:p>
    <w:p>
      <w:r>
        <w:t>Veri seti 20 şirketin 5 yıllık (N=20, T=5, Toplam 100 gözlem) panel veri yapısından oluşmaktadır. Ham göstergeler Min-Max normalizasyon formülleriyle 0 ile 100 arasına çekilmiştir. Boyut endeksleri, normalize edilmiş alt değişkenlerin ilk temel bileşen (PC1) yük değerleriyle ağırlıklandırılması sonucu hesaplanmıştır. Greenwashing Risk Skoru (GRS), raporlardaki belirsiz ifade oranları, sayısal kanıt düzeyleri, kanıt destekli iddia oranı ve standart (GRI/TCFD) uyum skorlarının ağırlıklı ters toplamıyla elde edilmiştir.</w:t>
      </w:r>
    </w:p>
    <w:p>
      <w:pPr>
        <w:pStyle w:val="Heading2"/>
      </w:pPr>
      <w:r>
        <w:t>Tanımlayıcı İstatistikler</w:t>
      </w:r>
    </w:p>
    <w:p>
      <w:r>
        <w:t>Modelde yer alan temel endeksler ve finansal kontrol değişkenlerine ait tanımlayıcı istatistikler Tablo 1'de özetlenmiştir.</w:t>
      </w:r>
    </w:p>
    <w:tbl>
      <w:tblPr>
        <w:tblW w:type="auto" w:w="0"/>
        <w:tblLook w:firstColumn="1" w:firstRow="1" w:lastColumn="0" w:lastRow="0" w:noHBand="0" w:noVBand="1" w:val="04A0"/>
        <w:tblBorders>
          <w:top w:val="single" w:sz="6" w:space="0" w:color="CCCCCC"/>
          <w:bottom w:val="single" w:sz="12" w:space="0" w:color="333333"/>
          <w:left w:val="none"/>
          <w:right w:val="none"/>
          <w:insideH w:val="single" w:sz="4" w:space="0" w:color="E5E5E5"/>
          <w:insideV w:val="none"/>
        </w:tblBorders>
      </w:tblPr>
      <w:tblGrid>
        <w:gridCol w:w="960"/>
        <w:gridCol w:w="960"/>
        <w:gridCol w:w="960"/>
        <w:gridCol w:w="960"/>
        <w:gridCol w:w="960"/>
        <w:gridCol w:w="960"/>
        <w:gridCol w:w="960"/>
        <w:gridCol w:w="960"/>
        <w:gridCol w:w="960"/>
      </w:tblGrid>
      <w:tr>
        <w:tc>
          <w:tcPr>
            <w:tcW w:type="dxa" w:w="960"/>
            <w:shd w:fill="F2F2F2"/>
          </w:tcPr>
          <w:p>
            <w:pPr>
              <w:jc w:val="center"/>
            </w:pPr>
            <w:r>
              <w:rPr>
                <w:rFonts w:ascii="Calibri" w:hAnsi="Calibri"/>
                <w:b/>
                <w:i w:val="0"/>
                <w:color w:val="000000"/>
                <w:sz w:val="18"/>
              </w:rPr>
              <w:t>İstatistik</w:t>
            </w:r>
          </w:p>
        </w:tc>
        <w:tc>
          <w:tcPr>
            <w:tcW w:type="dxa" w:w="960"/>
            <w:shd w:fill="F2F2F2"/>
          </w:tcPr>
          <w:p>
            <w:pPr>
              <w:jc w:val="center"/>
            </w:pPr>
            <w:r>
              <w:rPr>
                <w:rFonts w:ascii="Calibri" w:hAnsi="Calibri"/>
                <w:b/>
                <w:i w:val="0"/>
                <w:color w:val="000000"/>
                <w:sz w:val="18"/>
              </w:rPr>
              <w:t>Greenwashing Risk</w:t>
            </w:r>
          </w:p>
        </w:tc>
        <w:tc>
          <w:tcPr>
            <w:tcW w:type="dxa" w:w="960"/>
            <w:shd w:fill="F2F2F2"/>
          </w:tcPr>
          <w:p>
            <w:pPr>
              <w:jc w:val="center"/>
            </w:pPr>
            <w:r>
              <w:rPr>
                <w:rFonts w:ascii="Calibri" w:hAnsi="Calibri"/>
                <w:b/>
                <w:i w:val="0"/>
                <w:color w:val="000000"/>
                <w:sz w:val="18"/>
              </w:rPr>
              <w:t>ENVIndex</w:t>
            </w:r>
          </w:p>
        </w:tc>
        <w:tc>
          <w:tcPr>
            <w:tcW w:type="dxa" w:w="960"/>
            <w:shd w:fill="F2F2F2"/>
          </w:tcPr>
          <w:p>
            <w:pPr>
              <w:jc w:val="center"/>
            </w:pPr>
            <w:r>
              <w:rPr>
                <w:rFonts w:ascii="Calibri" w:hAnsi="Calibri"/>
                <w:b/>
                <w:i w:val="0"/>
                <w:color w:val="000000"/>
                <w:sz w:val="18"/>
              </w:rPr>
              <w:t>SOCIndex</w:t>
            </w:r>
          </w:p>
        </w:tc>
        <w:tc>
          <w:tcPr>
            <w:tcW w:type="dxa" w:w="960"/>
            <w:shd w:fill="F2F2F2"/>
          </w:tcPr>
          <w:p>
            <w:pPr>
              <w:jc w:val="center"/>
            </w:pPr>
            <w:r>
              <w:rPr>
                <w:rFonts w:ascii="Calibri" w:hAnsi="Calibri"/>
                <w:b/>
                <w:i w:val="0"/>
                <w:color w:val="000000"/>
                <w:sz w:val="18"/>
              </w:rPr>
              <w:t>GOVIndex</w:t>
            </w:r>
          </w:p>
        </w:tc>
        <w:tc>
          <w:tcPr>
            <w:tcW w:type="dxa" w:w="960"/>
            <w:shd w:fill="F2F2F2"/>
          </w:tcPr>
          <w:p>
            <w:pPr>
              <w:jc w:val="center"/>
            </w:pPr>
            <w:r>
              <w:rPr>
                <w:rFonts w:ascii="Calibri" w:hAnsi="Calibri"/>
                <w:b/>
                <w:i w:val="0"/>
                <w:color w:val="000000"/>
                <w:sz w:val="18"/>
              </w:rPr>
              <w:t>TEXTIndex</w:t>
            </w:r>
          </w:p>
        </w:tc>
        <w:tc>
          <w:tcPr>
            <w:tcW w:type="dxa" w:w="960"/>
            <w:shd w:fill="F2F2F2"/>
          </w:tcPr>
          <w:p>
            <w:pPr>
              <w:jc w:val="center"/>
            </w:pPr>
            <w:r>
              <w:rPr>
                <w:rFonts w:ascii="Calibri" w:hAnsi="Calibri"/>
                <w:b/>
                <w:i w:val="0"/>
                <w:color w:val="000000"/>
                <w:sz w:val="18"/>
              </w:rPr>
              <w:t>Firm Size</w:t>
            </w:r>
          </w:p>
        </w:tc>
        <w:tc>
          <w:tcPr>
            <w:tcW w:type="dxa" w:w="960"/>
            <w:shd w:fill="F2F2F2"/>
          </w:tcPr>
          <w:p>
            <w:pPr>
              <w:jc w:val="center"/>
            </w:pPr>
            <w:r>
              <w:rPr>
                <w:rFonts w:ascii="Calibri" w:hAnsi="Calibri"/>
                <w:b/>
                <w:i w:val="0"/>
                <w:color w:val="000000"/>
                <w:sz w:val="18"/>
              </w:rPr>
              <w:t>ROA</w:t>
            </w:r>
          </w:p>
        </w:tc>
        <w:tc>
          <w:tcPr>
            <w:tcW w:type="dxa" w:w="960"/>
            <w:shd w:fill="F2F2F2"/>
          </w:tcPr>
          <w:p>
            <w:pPr>
              <w:jc w:val="center"/>
            </w:pPr>
            <w:r>
              <w:rPr>
                <w:rFonts w:ascii="Calibri" w:hAnsi="Calibri"/>
                <w:b/>
                <w:i w:val="0"/>
                <w:color w:val="000000"/>
                <w:sz w:val="18"/>
              </w:rPr>
              <w:t>Leverage</w:t>
            </w:r>
          </w:p>
        </w:tc>
      </w:tr>
      <w:tr>
        <w:tc>
          <w:tcPr>
            <w:tcW w:type="dxa" w:w="960"/>
          </w:tcPr>
          <w:p>
            <w:pPr>
              <w:jc w:val="left"/>
            </w:pPr>
            <w:r>
              <w:rPr>
                <w:rFonts w:ascii="Calibri" w:hAnsi="Calibri"/>
                <w:b/>
                <w:i w:val="0"/>
                <w:color w:val="000000"/>
                <w:sz w:val="18"/>
              </w:rPr>
              <w:t>Ortalama</w:t>
            </w:r>
          </w:p>
        </w:tc>
        <w:tc>
          <w:tcPr>
            <w:tcW w:type="dxa" w:w="960"/>
          </w:tcPr>
          <w:p>
            <w:pPr>
              <w:jc w:val="right"/>
            </w:pPr>
            <w:r>
              <w:rPr>
                <w:rFonts w:ascii="Calibri" w:hAnsi="Calibri"/>
                <w:b w:val="0"/>
                <w:i w:val="0"/>
                <w:color w:val="000000"/>
                <w:sz w:val="18"/>
              </w:rPr>
              <w:t>46.756</w:t>
            </w:r>
          </w:p>
        </w:tc>
        <w:tc>
          <w:tcPr>
            <w:tcW w:type="dxa" w:w="960"/>
          </w:tcPr>
          <w:p>
            <w:pPr>
              <w:jc w:val="right"/>
            </w:pPr>
            <w:r>
              <w:rPr>
                <w:rFonts w:ascii="Calibri" w:hAnsi="Calibri"/>
                <w:b w:val="0"/>
                <w:i w:val="0"/>
                <w:color w:val="000000"/>
                <w:sz w:val="18"/>
              </w:rPr>
              <w:t>55.372</w:t>
            </w:r>
          </w:p>
        </w:tc>
        <w:tc>
          <w:tcPr>
            <w:tcW w:type="dxa" w:w="960"/>
          </w:tcPr>
          <w:p>
            <w:pPr>
              <w:jc w:val="right"/>
            </w:pPr>
            <w:r>
              <w:rPr>
                <w:rFonts w:ascii="Calibri" w:hAnsi="Calibri"/>
                <w:b w:val="0"/>
                <w:i w:val="0"/>
                <w:color w:val="000000"/>
                <w:sz w:val="18"/>
              </w:rPr>
              <w:t>53.775</w:t>
            </w:r>
          </w:p>
        </w:tc>
        <w:tc>
          <w:tcPr>
            <w:tcW w:type="dxa" w:w="960"/>
          </w:tcPr>
          <w:p>
            <w:pPr>
              <w:jc w:val="right"/>
            </w:pPr>
            <w:r>
              <w:rPr>
                <w:rFonts w:ascii="Calibri" w:hAnsi="Calibri"/>
                <w:b w:val="0"/>
                <w:i w:val="0"/>
                <w:color w:val="000000"/>
                <w:sz w:val="18"/>
              </w:rPr>
              <w:t>60.549</w:t>
            </w:r>
          </w:p>
        </w:tc>
        <w:tc>
          <w:tcPr>
            <w:tcW w:type="dxa" w:w="960"/>
          </w:tcPr>
          <w:p>
            <w:pPr>
              <w:jc w:val="right"/>
            </w:pPr>
            <w:r>
              <w:rPr>
                <w:rFonts w:ascii="Calibri" w:hAnsi="Calibri"/>
                <w:b w:val="0"/>
                <w:i w:val="0"/>
                <w:color w:val="000000"/>
                <w:sz w:val="18"/>
              </w:rPr>
              <w:t>59.898</w:t>
            </w:r>
          </w:p>
        </w:tc>
        <w:tc>
          <w:tcPr>
            <w:tcW w:type="dxa" w:w="960"/>
          </w:tcPr>
          <w:p>
            <w:pPr>
              <w:jc w:val="right"/>
            </w:pPr>
            <w:r>
              <w:rPr>
                <w:rFonts w:ascii="Calibri" w:hAnsi="Calibri"/>
                <w:b w:val="0"/>
                <w:i w:val="0"/>
                <w:color w:val="000000"/>
                <w:sz w:val="18"/>
              </w:rPr>
              <w:t>11.684</w:t>
            </w:r>
          </w:p>
        </w:tc>
        <w:tc>
          <w:tcPr>
            <w:tcW w:type="dxa" w:w="960"/>
          </w:tcPr>
          <w:p>
            <w:pPr>
              <w:jc w:val="right"/>
            </w:pPr>
            <w:r>
              <w:rPr>
                <w:rFonts w:ascii="Calibri" w:hAnsi="Calibri"/>
                <w:b w:val="0"/>
                <w:i w:val="0"/>
                <w:color w:val="000000"/>
                <w:sz w:val="18"/>
              </w:rPr>
              <w:t>6.066</w:t>
            </w:r>
          </w:p>
        </w:tc>
        <w:tc>
          <w:tcPr>
            <w:tcW w:type="dxa" w:w="960"/>
          </w:tcPr>
          <w:p>
            <w:pPr>
              <w:jc w:val="right"/>
            </w:pPr>
            <w:r>
              <w:rPr>
                <w:rFonts w:ascii="Calibri" w:hAnsi="Calibri"/>
                <w:b w:val="0"/>
                <w:i w:val="0"/>
                <w:color w:val="000000"/>
                <w:sz w:val="18"/>
              </w:rPr>
              <w:t>50.466</w:t>
            </w:r>
          </w:p>
        </w:tc>
      </w:tr>
      <w:tr>
        <w:tc>
          <w:tcPr>
            <w:tcW w:type="dxa" w:w="960"/>
          </w:tcPr>
          <w:p>
            <w:pPr>
              <w:jc w:val="left"/>
            </w:pPr>
            <w:r>
              <w:rPr>
                <w:rFonts w:ascii="Calibri" w:hAnsi="Calibri"/>
                <w:b/>
                <w:i w:val="0"/>
                <w:color w:val="000000"/>
                <w:sz w:val="18"/>
              </w:rPr>
              <w:t>Std. Sapma</w:t>
            </w:r>
          </w:p>
        </w:tc>
        <w:tc>
          <w:tcPr>
            <w:tcW w:type="dxa" w:w="960"/>
          </w:tcPr>
          <w:p>
            <w:pPr>
              <w:jc w:val="right"/>
            </w:pPr>
            <w:r>
              <w:rPr>
                <w:rFonts w:ascii="Calibri" w:hAnsi="Calibri"/>
                <w:b w:val="0"/>
                <w:i w:val="0"/>
                <w:color w:val="000000"/>
                <w:sz w:val="18"/>
              </w:rPr>
              <w:t>13.700</w:t>
            </w:r>
          </w:p>
        </w:tc>
        <w:tc>
          <w:tcPr>
            <w:tcW w:type="dxa" w:w="960"/>
          </w:tcPr>
          <w:p>
            <w:pPr>
              <w:jc w:val="right"/>
            </w:pPr>
            <w:r>
              <w:rPr>
                <w:rFonts w:ascii="Calibri" w:hAnsi="Calibri"/>
                <w:b w:val="0"/>
                <w:i w:val="0"/>
                <w:color w:val="000000"/>
                <w:sz w:val="18"/>
              </w:rPr>
              <w:t>10.490</w:t>
            </w:r>
          </w:p>
        </w:tc>
        <w:tc>
          <w:tcPr>
            <w:tcW w:type="dxa" w:w="960"/>
          </w:tcPr>
          <w:p>
            <w:pPr>
              <w:jc w:val="right"/>
            </w:pPr>
            <w:r>
              <w:rPr>
                <w:rFonts w:ascii="Calibri" w:hAnsi="Calibri"/>
                <w:b w:val="0"/>
                <w:i w:val="0"/>
                <w:color w:val="000000"/>
                <w:sz w:val="18"/>
              </w:rPr>
              <w:t>19.117</w:t>
            </w:r>
          </w:p>
        </w:tc>
        <w:tc>
          <w:tcPr>
            <w:tcW w:type="dxa" w:w="960"/>
          </w:tcPr>
          <w:p>
            <w:pPr>
              <w:jc w:val="right"/>
            </w:pPr>
            <w:r>
              <w:rPr>
                <w:rFonts w:ascii="Calibri" w:hAnsi="Calibri"/>
                <w:b w:val="0"/>
                <w:i w:val="0"/>
                <w:color w:val="000000"/>
                <w:sz w:val="18"/>
              </w:rPr>
              <w:t>22.974</w:t>
            </w:r>
          </w:p>
        </w:tc>
        <w:tc>
          <w:tcPr>
            <w:tcW w:type="dxa" w:w="960"/>
          </w:tcPr>
          <w:p>
            <w:pPr>
              <w:jc w:val="right"/>
            </w:pPr>
            <w:r>
              <w:rPr>
                <w:rFonts w:ascii="Calibri" w:hAnsi="Calibri"/>
                <w:b w:val="0"/>
                <w:i w:val="0"/>
                <w:color w:val="000000"/>
                <w:sz w:val="18"/>
              </w:rPr>
              <w:t>8.586</w:t>
            </w:r>
          </w:p>
        </w:tc>
        <w:tc>
          <w:tcPr>
            <w:tcW w:type="dxa" w:w="960"/>
          </w:tcPr>
          <w:p>
            <w:pPr>
              <w:jc w:val="right"/>
            </w:pPr>
            <w:r>
              <w:rPr>
                <w:rFonts w:ascii="Calibri" w:hAnsi="Calibri"/>
                <w:b w:val="0"/>
                <w:i w:val="0"/>
                <w:color w:val="000000"/>
                <w:sz w:val="18"/>
              </w:rPr>
              <w:t>0.982</w:t>
            </w:r>
          </w:p>
        </w:tc>
        <w:tc>
          <w:tcPr>
            <w:tcW w:type="dxa" w:w="960"/>
          </w:tcPr>
          <w:p>
            <w:pPr>
              <w:jc w:val="right"/>
            </w:pPr>
            <w:r>
              <w:rPr>
                <w:rFonts w:ascii="Calibri" w:hAnsi="Calibri"/>
                <w:b w:val="0"/>
                <w:i w:val="0"/>
                <w:color w:val="000000"/>
                <w:sz w:val="18"/>
              </w:rPr>
              <w:t>2.515</w:t>
            </w:r>
          </w:p>
        </w:tc>
        <w:tc>
          <w:tcPr>
            <w:tcW w:type="dxa" w:w="960"/>
          </w:tcPr>
          <w:p>
            <w:pPr>
              <w:jc w:val="right"/>
            </w:pPr>
            <w:r>
              <w:rPr>
                <w:rFonts w:ascii="Calibri" w:hAnsi="Calibri"/>
                <w:b w:val="0"/>
                <w:i w:val="0"/>
                <w:color w:val="000000"/>
                <w:sz w:val="18"/>
              </w:rPr>
              <w:t>13.774</w:t>
            </w:r>
          </w:p>
        </w:tc>
      </w:tr>
      <w:tr>
        <w:tc>
          <w:tcPr>
            <w:tcW w:type="dxa" w:w="960"/>
          </w:tcPr>
          <w:p>
            <w:pPr>
              <w:jc w:val="left"/>
            </w:pPr>
            <w:r>
              <w:rPr>
                <w:rFonts w:ascii="Calibri" w:hAnsi="Calibri"/>
                <w:b/>
                <w:i w:val="0"/>
                <w:color w:val="000000"/>
                <w:sz w:val="18"/>
              </w:rPr>
              <w:t>Minimum</w:t>
            </w:r>
          </w:p>
        </w:tc>
        <w:tc>
          <w:tcPr>
            <w:tcW w:type="dxa" w:w="960"/>
          </w:tcPr>
          <w:p>
            <w:pPr>
              <w:jc w:val="right"/>
            </w:pPr>
            <w:r>
              <w:rPr>
                <w:rFonts w:ascii="Calibri" w:hAnsi="Calibri"/>
                <w:b w:val="0"/>
                <w:i w:val="0"/>
                <w:color w:val="000000"/>
                <w:sz w:val="18"/>
              </w:rPr>
              <w:t>15.498</w:t>
            </w:r>
          </w:p>
        </w:tc>
        <w:tc>
          <w:tcPr>
            <w:tcW w:type="dxa" w:w="960"/>
          </w:tcPr>
          <w:p>
            <w:pPr>
              <w:jc w:val="right"/>
            </w:pPr>
            <w:r>
              <w:rPr>
                <w:rFonts w:ascii="Calibri" w:hAnsi="Calibri"/>
                <w:b w:val="0"/>
                <w:i w:val="0"/>
                <w:color w:val="000000"/>
                <w:sz w:val="18"/>
              </w:rPr>
              <w:t>34.915</w:t>
            </w:r>
          </w:p>
        </w:tc>
        <w:tc>
          <w:tcPr>
            <w:tcW w:type="dxa" w:w="960"/>
          </w:tcPr>
          <w:p>
            <w:pPr>
              <w:jc w:val="right"/>
            </w:pPr>
            <w:r>
              <w:rPr>
                <w:rFonts w:ascii="Calibri" w:hAnsi="Calibri"/>
                <w:b w:val="0"/>
                <w:i w:val="0"/>
                <w:color w:val="000000"/>
                <w:sz w:val="18"/>
              </w:rPr>
              <w:t>10.975</w:t>
            </w:r>
          </w:p>
        </w:tc>
        <w:tc>
          <w:tcPr>
            <w:tcW w:type="dxa" w:w="960"/>
          </w:tcPr>
          <w:p>
            <w:pPr>
              <w:jc w:val="right"/>
            </w:pPr>
            <w:r>
              <w:rPr>
                <w:rFonts w:ascii="Calibri" w:hAnsi="Calibri"/>
                <w:b w:val="0"/>
                <w:i w:val="0"/>
                <w:color w:val="000000"/>
                <w:sz w:val="18"/>
              </w:rPr>
              <w:t>21.365</w:t>
            </w:r>
          </w:p>
        </w:tc>
        <w:tc>
          <w:tcPr>
            <w:tcW w:type="dxa" w:w="960"/>
          </w:tcPr>
          <w:p>
            <w:pPr>
              <w:jc w:val="right"/>
            </w:pPr>
            <w:r>
              <w:rPr>
                <w:rFonts w:ascii="Calibri" w:hAnsi="Calibri"/>
                <w:b w:val="0"/>
                <w:i w:val="0"/>
                <w:color w:val="000000"/>
                <w:sz w:val="18"/>
              </w:rPr>
              <w:t>41.142</w:t>
            </w:r>
          </w:p>
        </w:tc>
        <w:tc>
          <w:tcPr>
            <w:tcW w:type="dxa" w:w="960"/>
          </w:tcPr>
          <w:p>
            <w:pPr>
              <w:jc w:val="right"/>
            </w:pPr>
            <w:r>
              <w:rPr>
                <w:rFonts w:ascii="Calibri" w:hAnsi="Calibri"/>
                <w:b w:val="0"/>
                <w:i w:val="0"/>
                <w:color w:val="000000"/>
                <w:sz w:val="18"/>
              </w:rPr>
              <w:t>9.984</w:t>
            </w:r>
          </w:p>
        </w:tc>
        <w:tc>
          <w:tcPr>
            <w:tcW w:type="dxa" w:w="960"/>
          </w:tcPr>
          <w:p>
            <w:pPr>
              <w:jc w:val="right"/>
            </w:pPr>
            <w:r>
              <w:rPr>
                <w:rFonts w:ascii="Calibri" w:hAnsi="Calibri"/>
                <w:b w:val="0"/>
                <w:i w:val="0"/>
                <w:color w:val="000000"/>
                <w:sz w:val="18"/>
              </w:rPr>
              <w:t>1.345</w:t>
            </w:r>
          </w:p>
        </w:tc>
        <w:tc>
          <w:tcPr>
            <w:tcW w:type="dxa" w:w="960"/>
          </w:tcPr>
          <w:p>
            <w:pPr>
              <w:jc w:val="right"/>
            </w:pPr>
            <w:r>
              <w:rPr>
                <w:rFonts w:ascii="Calibri" w:hAnsi="Calibri"/>
                <w:b w:val="0"/>
                <w:i w:val="0"/>
                <w:color w:val="000000"/>
                <w:sz w:val="18"/>
              </w:rPr>
              <w:t>30.061</w:t>
            </w:r>
          </w:p>
        </w:tc>
      </w:tr>
      <w:tr>
        <w:tc>
          <w:tcPr>
            <w:tcW w:type="dxa" w:w="960"/>
          </w:tcPr>
          <w:p>
            <w:pPr>
              <w:jc w:val="left"/>
            </w:pPr>
            <w:r>
              <w:rPr>
                <w:rFonts w:ascii="Calibri" w:hAnsi="Calibri"/>
                <w:b/>
                <w:i w:val="0"/>
                <w:color w:val="000000"/>
                <w:sz w:val="18"/>
              </w:rPr>
              <w:t>Maximum</w:t>
            </w:r>
          </w:p>
        </w:tc>
        <w:tc>
          <w:tcPr>
            <w:tcW w:type="dxa" w:w="960"/>
          </w:tcPr>
          <w:p>
            <w:pPr>
              <w:jc w:val="right"/>
            </w:pPr>
            <w:r>
              <w:rPr>
                <w:rFonts w:ascii="Calibri" w:hAnsi="Calibri"/>
                <w:b w:val="0"/>
                <w:i w:val="0"/>
                <w:color w:val="000000"/>
                <w:sz w:val="18"/>
              </w:rPr>
              <w:t>76.920</w:t>
            </w:r>
          </w:p>
        </w:tc>
        <w:tc>
          <w:tcPr>
            <w:tcW w:type="dxa" w:w="960"/>
          </w:tcPr>
          <w:p>
            <w:pPr>
              <w:jc w:val="right"/>
            </w:pPr>
            <w:r>
              <w:rPr>
                <w:rFonts w:ascii="Calibri" w:hAnsi="Calibri"/>
                <w:b w:val="0"/>
                <w:i w:val="0"/>
                <w:color w:val="000000"/>
                <w:sz w:val="18"/>
              </w:rPr>
              <w:t>79.151</w:t>
            </w:r>
          </w:p>
        </w:tc>
        <w:tc>
          <w:tcPr>
            <w:tcW w:type="dxa" w:w="960"/>
          </w:tcPr>
          <w:p>
            <w:pPr>
              <w:jc w:val="right"/>
            </w:pPr>
            <w:r>
              <w:rPr>
                <w:rFonts w:ascii="Calibri" w:hAnsi="Calibri"/>
                <w:b w:val="0"/>
                <w:i w:val="0"/>
                <w:color w:val="000000"/>
                <w:sz w:val="18"/>
              </w:rPr>
              <w:t>93.990</w:t>
            </w:r>
          </w:p>
        </w:tc>
        <w:tc>
          <w:tcPr>
            <w:tcW w:type="dxa" w:w="960"/>
          </w:tcPr>
          <w:p>
            <w:pPr>
              <w:jc w:val="right"/>
            </w:pPr>
            <w:r>
              <w:rPr>
                <w:rFonts w:ascii="Calibri" w:hAnsi="Calibri"/>
                <w:b w:val="0"/>
                <w:i w:val="0"/>
                <w:color w:val="000000"/>
                <w:sz w:val="18"/>
              </w:rPr>
              <w:t>97.500</w:t>
            </w:r>
          </w:p>
        </w:tc>
        <w:tc>
          <w:tcPr>
            <w:tcW w:type="dxa" w:w="960"/>
          </w:tcPr>
          <w:p>
            <w:pPr>
              <w:jc w:val="right"/>
            </w:pPr>
            <w:r>
              <w:rPr>
                <w:rFonts w:ascii="Calibri" w:hAnsi="Calibri"/>
                <w:b w:val="0"/>
                <w:i w:val="0"/>
                <w:color w:val="000000"/>
                <w:sz w:val="18"/>
              </w:rPr>
              <w:t>81.020</w:t>
            </w:r>
          </w:p>
        </w:tc>
        <w:tc>
          <w:tcPr>
            <w:tcW w:type="dxa" w:w="960"/>
          </w:tcPr>
          <w:p>
            <w:pPr>
              <w:jc w:val="right"/>
            </w:pPr>
            <w:r>
              <w:rPr>
                <w:rFonts w:ascii="Calibri" w:hAnsi="Calibri"/>
                <w:b w:val="0"/>
                <w:i w:val="0"/>
                <w:color w:val="000000"/>
                <w:sz w:val="18"/>
              </w:rPr>
              <w:t>13.545</w:t>
            </w:r>
          </w:p>
        </w:tc>
        <w:tc>
          <w:tcPr>
            <w:tcW w:type="dxa" w:w="960"/>
          </w:tcPr>
          <w:p>
            <w:pPr>
              <w:jc w:val="right"/>
            </w:pPr>
            <w:r>
              <w:rPr>
                <w:rFonts w:ascii="Calibri" w:hAnsi="Calibri"/>
                <w:b w:val="0"/>
                <w:i w:val="0"/>
                <w:color w:val="000000"/>
                <w:sz w:val="18"/>
              </w:rPr>
              <w:t>11.087</w:t>
            </w:r>
          </w:p>
        </w:tc>
        <w:tc>
          <w:tcPr>
            <w:tcW w:type="dxa" w:w="960"/>
          </w:tcPr>
          <w:p>
            <w:pPr>
              <w:jc w:val="right"/>
            </w:pPr>
            <w:r>
              <w:rPr>
                <w:rFonts w:ascii="Calibri" w:hAnsi="Calibri"/>
                <w:b w:val="0"/>
                <w:i w:val="0"/>
                <w:color w:val="000000"/>
                <w:sz w:val="18"/>
              </w:rPr>
              <w:t>76.054</w:t>
            </w:r>
          </w:p>
        </w:tc>
      </w:tr>
    </w:tbl>
    <w:p>
      <w:pPr>
        <w:jc w:val="left"/>
      </w:pPr>
    </w:p>
    <w:p>
      <w:pPr>
        <w:pStyle w:val="Heading1"/>
      </w:pPr>
      <w:r>
        <w:t>2. PCA Tabanlı Ağırlıklandırma Sonuçları</w:t>
      </w:r>
    </w:p>
    <w:p>
      <w:r>
        <w:t>Her bir sürdürülebilirlik boyutu için ilk temel bileşen (PC1) analizine göre belirlenen ağırlık yükleri Tablo 2'de sunulmuştur. En yüksek açıklayıcılık oranına sahip boyut %70'in üzerindeki varyans açıklamasıyla TEXTIndex olarak gözlenmiştir.</w:t>
      </w:r>
    </w:p>
    <w:tbl>
      <w:tblPr>
        <w:tblW w:type="auto" w:w="0"/>
        <w:tblLook w:firstColumn="1" w:firstRow="1" w:lastColumn="0" w:lastRow="0" w:noHBand="0" w:noVBand="1" w:val="04A0"/>
        <w:tblBorders>
          <w:top w:val="single" w:sz="6" w:space="0" w:color="CCCCCC"/>
          <w:bottom w:val="single" w:sz="12" w:space="0" w:color="333333"/>
          <w:left w:val="none"/>
          <w:right w:val="none"/>
          <w:insideH w:val="single" w:sz="4" w:space="0" w:color="E5E5E5"/>
          <w:insideV w:val="none"/>
        </w:tblBorders>
      </w:tblPr>
      <w:tblGrid>
        <w:gridCol w:w="2160"/>
        <w:gridCol w:w="2160"/>
        <w:gridCol w:w="2160"/>
        <w:gridCol w:w="2160"/>
      </w:tblGrid>
      <w:tr>
        <w:tc>
          <w:tcPr>
            <w:tcW w:type="dxa" w:w="2160"/>
            <w:shd w:fill="F2F2F2"/>
          </w:tcPr>
          <w:p>
            <w:pPr>
              <w:jc w:val="center"/>
            </w:pPr>
            <w:r>
              <w:rPr>
                <w:rFonts w:ascii="Calibri" w:hAnsi="Calibri"/>
                <w:b/>
                <w:i w:val="0"/>
                <w:color w:val="000000"/>
                <w:sz w:val="18"/>
              </w:rPr>
              <w:t>Boyut</w:t>
            </w:r>
          </w:p>
        </w:tc>
        <w:tc>
          <w:tcPr>
            <w:tcW w:type="dxa" w:w="2160"/>
            <w:shd w:fill="F2F2F2"/>
          </w:tcPr>
          <w:p>
            <w:pPr>
              <w:jc w:val="center"/>
            </w:pPr>
            <w:r>
              <w:rPr>
                <w:rFonts w:ascii="Calibri" w:hAnsi="Calibri"/>
                <w:b/>
                <w:i w:val="0"/>
                <w:color w:val="000000"/>
                <w:sz w:val="18"/>
              </w:rPr>
              <w:t>Değişken Adı</w:t>
            </w:r>
          </w:p>
        </w:tc>
        <w:tc>
          <w:tcPr>
            <w:tcW w:type="dxa" w:w="2160"/>
            <w:shd w:fill="F2F2F2"/>
          </w:tcPr>
          <w:p>
            <w:pPr>
              <w:jc w:val="center"/>
            </w:pPr>
            <w:r>
              <w:rPr>
                <w:rFonts w:ascii="Calibri" w:hAnsi="Calibri"/>
                <w:b/>
                <w:i w:val="0"/>
                <w:color w:val="000000"/>
                <w:sz w:val="18"/>
              </w:rPr>
              <w:t>PCA Ağırlığı</w:t>
            </w:r>
          </w:p>
        </w:tc>
        <w:tc>
          <w:tcPr>
            <w:tcW w:type="dxa" w:w="2160"/>
            <w:shd w:fill="F2F2F2"/>
          </w:tcPr>
          <w:p>
            <w:pPr>
              <w:jc w:val="center"/>
            </w:pPr>
            <w:r>
              <w:rPr>
                <w:rFonts w:ascii="Calibri" w:hAnsi="Calibri"/>
                <w:b/>
                <w:i w:val="0"/>
                <w:color w:val="000000"/>
                <w:sz w:val="18"/>
              </w:rPr>
              <w:t>Açıklanan Varyans (PC1)</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scope1_tco2e</w:t>
            </w:r>
          </w:p>
        </w:tc>
        <w:tc>
          <w:tcPr>
            <w:tcW w:type="dxa" w:w="2160"/>
          </w:tcPr>
          <w:p>
            <w:pPr>
              <w:jc w:val="right"/>
            </w:pPr>
            <w:r>
              <w:rPr>
                <w:rFonts w:ascii="Calibri" w:hAnsi="Calibri"/>
                <w:b w:val="0"/>
                <w:i w:val="0"/>
                <w:color w:val="000000"/>
                <w:sz w:val="18"/>
              </w:rPr>
              <w:t>0.0277</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scope2_tco2e</w:t>
            </w:r>
          </w:p>
        </w:tc>
        <w:tc>
          <w:tcPr>
            <w:tcW w:type="dxa" w:w="2160"/>
          </w:tcPr>
          <w:p>
            <w:pPr>
              <w:jc w:val="right"/>
            </w:pPr>
            <w:r>
              <w:rPr>
                <w:rFonts w:ascii="Calibri" w:hAnsi="Calibri"/>
                <w:b w:val="0"/>
                <w:i w:val="0"/>
                <w:color w:val="000000"/>
                <w:sz w:val="18"/>
              </w:rPr>
              <w:t>0.0319</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scope3_tco2e</w:t>
            </w:r>
          </w:p>
        </w:tc>
        <w:tc>
          <w:tcPr>
            <w:tcW w:type="dxa" w:w="2160"/>
          </w:tcPr>
          <w:p>
            <w:pPr>
              <w:jc w:val="right"/>
            </w:pPr>
            <w:r>
              <w:rPr>
                <w:rFonts w:ascii="Calibri" w:hAnsi="Calibri"/>
                <w:b w:val="0"/>
                <w:i w:val="0"/>
                <w:color w:val="000000"/>
                <w:sz w:val="18"/>
              </w:rPr>
              <w:t>0.1873</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total_ghg_tco2e</w:t>
            </w:r>
          </w:p>
        </w:tc>
        <w:tc>
          <w:tcPr>
            <w:tcW w:type="dxa" w:w="2160"/>
          </w:tcPr>
          <w:p>
            <w:pPr>
              <w:jc w:val="right"/>
            </w:pPr>
            <w:r>
              <w:rPr>
                <w:rFonts w:ascii="Calibri" w:hAnsi="Calibri"/>
                <w:b w:val="0"/>
                <w:i w:val="0"/>
                <w:color w:val="000000"/>
                <w:sz w:val="18"/>
              </w:rPr>
              <w:t>0.1931</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renewable_energy_ratio</w:t>
            </w:r>
          </w:p>
        </w:tc>
        <w:tc>
          <w:tcPr>
            <w:tcW w:type="dxa" w:w="2160"/>
          </w:tcPr>
          <w:p>
            <w:pPr>
              <w:jc w:val="right"/>
            </w:pPr>
            <w:r>
              <w:rPr>
                <w:rFonts w:ascii="Calibri" w:hAnsi="Calibri"/>
                <w:b w:val="0"/>
                <w:i w:val="0"/>
                <w:color w:val="000000"/>
                <w:sz w:val="18"/>
              </w:rPr>
              <w:t>0.0844</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energy_consumption_mwh</w:t>
            </w:r>
          </w:p>
        </w:tc>
        <w:tc>
          <w:tcPr>
            <w:tcW w:type="dxa" w:w="2160"/>
          </w:tcPr>
          <w:p>
            <w:pPr>
              <w:jc w:val="right"/>
            </w:pPr>
            <w:r>
              <w:rPr>
                <w:rFonts w:ascii="Calibri" w:hAnsi="Calibri"/>
                <w:b w:val="0"/>
                <w:i w:val="0"/>
                <w:color w:val="000000"/>
                <w:sz w:val="18"/>
              </w:rPr>
              <w:t>0.0782</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water_consumption_m3</w:t>
            </w:r>
          </w:p>
        </w:tc>
        <w:tc>
          <w:tcPr>
            <w:tcW w:type="dxa" w:w="2160"/>
          </w:tcPr>
          <w:p>
            <w:pPr>
              <w:jc w:val="right"/>
            </w:pPr>
            <w:r>
              <w:rPr>
                <w:rFonts w:ascii="Calibri" w:hAnsi="Calibri"/>
                <w:b w:val="0"/>
                <w:i w:val="0"/>
                <w:color w:val="000000"/>
                <w:sz w:val="18"/>
              </w:rPr>
              <w:t>0.1052</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waste_ton</w:t>
            </w:r>
          </w:p>
        </w:tc>
        <w:tc>
          <w:tcPr>
            <w:tcW w:type="dxa" w:w="2160"/>
          </w:tcPr>
          <w:p>
            <w:pPr>
              <w:jc w:val="right"/>
            </w:pPr>
            <w:r>
              <w:rPr>
                <w:rFonts w:ascii="Calibri" w:hAnsi="Calibri"/>
                <w:b w:val="0"/>
                <w:i w:val="0"/>
                <w:color w:val="000000"/>
                <w:sz w:val="18"/>
              </w:rPr>
              <w:t>0.1632</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net_zero_target</w:t>
            </w:r>
          </w:p>
        </w:tc>
        <w:tc>
          <w:tcPr>
            <w:tcW w:type="dxa" w:w="2160"/>
          </w:tcPr>
          <w:p>
            <w:pPr>
              <w:jc w:val="right"/>
            </w:pPr>
            <w:r>
              <w:rPr>
                <w:rFonts w:ascii="Calibri" w:hAnsi="Calibri"/>
                <w:b w:val="0"/>
                <w:i w:val="0"/>
                <w:color w:val="000000"/>
                <w:sz w:val="18"/>
              </w:rPr>
              <w:t>0.0925</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Environmental</w:t>
            </w:r>
          </w:p>
        </w:tc>
        <w:tc>
          <w:tcPr>
            <w:tcW w:type="dxa" w:w="2160"/>
          </w:tcPr>
          <w:p>
            <w:pPr>
              <w:jc w:val="left"/>
            </w:pPr>
            <w:r>
              <w:rPr>
                <w:rFonts w:ascii="Calibri" w:hAnsi="Calibri"/>
                <w:b w:val="0"/>
                <w:i w:val="0"/>
                <w:color w:val="000000"/>
                <w:sz w:val="18"/>
              </w:rPr>
              <w:t>emission_reduction_target</w:t>
            </w:r>
          </w:p>
        </w:tc>
        <w:tc>
          <w:tcPr>
            <w:tcW w:type="dxa" w:w="2160"/>
          </w:tcPr>
          <w:p>
            <w:pPr>
              <w:jc w:val="right"/>
            </w:pPr>
            <w:r>
              <w:rPr>
                <w:rFonts w:ascii="Calibri" w:hAnsi="Calibri"/>
                <w:b w:val="0"/>
                <w:i w:val="0"/>
                <w:color w:val="000000"/>
                <w:sz w:val="18"/>
              </w:rPr>
              <w:t>0.0364</w:t>
            </w:r>
          </w:p>
        </w:tc>
        <w:tc>
          <w:tcPr>
            <w:tcW w:type="dxa" w:w="2160"/>
          </w:tcPr>
          <w:p>
            <w:pPr>
              <w:jc w:val="right"/>
            </w:pPr>
            <w:r>
              <w:rPr>
                <w:rFonts w:ascii="Calibri" w:hAnsi="Calibri"/>
                <w:b w:val="0"/>
                <w:i w:val="0"/>
                <w:color w:val="000000"/>
                <w:sz w:val="18"/>
              </w:rPr>
              <w:t>% 30.16</w:t>
            </w:r>
          </w:p>
        </w:tc>
      </w:tr>
      <w:tr>
        <w:tc>
          <w:tcPr>
            <w:tcW w:type="dxa" w:w="2160"/>
          </w:tcPr>
          <w:p>
            <w:pPr>
              <w:jc w:val="left"/>
            </w:pPr>
            <w:r>
              <w:rPr>
                <w:rFonts w:ascii="Calibri" w:hAnsi="Calibri"/>
                <w:b w:val="0"/>
                <w:i w:val="0"/>
                <w:color w:val="000000"/>
                <w:sz w:val="18"/>
              </w:rPr>
              <w:t>Social</w:t>
            </w:r>
          </w:p>
        </w:tc>
        <w:tc>
          <w:tcPr>
            <w:tcW w:type="dxa" w:w="2160"/>
          </w:tcPr>
          <w:p>
            <w:pPr>
              <w:jc w:val="left"/>
            </w:pPr>
            <w:r>
              <w:rPr>
                <w:rFonts w:ascii="Calibri" w:hAnsi="Calibri"/>
                <w:b w:val="0"/>
                <w:i w:val="0"/>
                <w:color w:val="000000"/>
                <w:sz w:val="18"/>
              </w:rPr>
              <w:t>female_employee_ratio</w:t>
            </w:r>
          </w:p>
        </w:tc>
        <w:tc>
          <w:tcPr>
            <w:tcW w:type="dxa" w:w="2160"/>
          </w:tcPr>
          <w:p>
            <w:pPr>
              <w:jc w:val="right"/>
            </w:pPr>
            <w:r>
              <w:rPr>
                <w:rFonts w:ascii="Calibri" w:hAnsi="Calibri"/>
                <w:b w:val="0"/>
                <w:i w:val="0"/>
                <w:color w:val="000000"/>
                <w:sz w:val="18"/>
              </w:rPr>
              <w:t>0.2923</w:t>
            </w:r>
          </w:p>
        </w:tc>
        <w:tc>
          <w:tcPr>
            <w:tcW w:type="dxa" w:w="2160"/>
          </w:tcPr>
          <w:p>
            <w:pPr>
              <w:jc w:val="right"/>
            </w:pPr>
            <w:r>
              <w:rPr>
                <w:rFonts w:ascii="Calibri" w:hAnsi="Calibri"/>
                <w:b w:val="0"/>
                <w:i w:val="0"/>
                <w:color w:val="000000"/>
                <w:sz w:val="18"/>
              </w:rPr>
              <w:t>% 47.84</w:t>
            </w:r>
          </w:p>
        </w:tc>
      </w:tr>
      <w:tr>
        <w:tc>
          <w:tcPr>
            <w:tcW w:type="dxa" w:w="2160"/>
          </w:tcPr>
          <w:p>
            <w:pPr>
              <w:jc w:val="left"/>
            </w:pPr>
            <w:r>
              <w:rPr>
                <w:rFonts w:ascii="Calibri" w:hAnsi="Calibri"/>
                <w:b w:val="0"/>
                <w:i w:val="0"/>
                <w:color w:val="000000"/>
                <w:sz w:val="18"/>
              </w:rPr>
              <w:t>Social</w:t>
            </w:r>
          </w:p>
        </w:tc>
        <w:tc>
          <w:tcPr>
            <w:tcW w:type="dxa" w:w="2160"/>
          </w:tcPr>
          <w:p>
            <w:pPr>
              <w:jc w:val="left"/>
            </w:pPr>
            <w:r>
              <w:rPr>
                <w:rFonts w:ascii="Calibri" w:hAnsi="Calibri"/>
                <w:b w:val="0"/>
                <w:i w:val="0"/>
                <w:color w:val="000000"/>
                <w:sz w:val="18"/>
              </w:rPr>
              <w:t>training_hours_per_employee</w:t>
            </w:r>
          </w:p>
        </w:tc>
        <w:tc>
          <w:tcPr>
            <w:tcW w:type="dxa" w:w="2160"/>
          </w:tcPr>
          <w:p>
            <w:pPr>
              <w:jc w:val="right"/>
            </w:pPr>
            <w:r>
              <w:rPr>
                <w:rFonts w:ascii="Calibri" w:hAnsi="Calibri"/>
                <w:b w:val="0"/>
                <w:i w:val="0"/>
                <w:color w:val="000000"/>
                <w:sz w:val="18"/>
              </w:rPr>
              <w:t>0.3156</w:t>
            </w:r>
          </w:p>
        </w:tc>
        <w:tc>
          <w:tcPr>
            <w:tcW w:type="dxa" w:w="2160"/>
          </w:tcPr>
          <w:p>
            <w:pPr>
              <w:jc w:val="right"/>
            </w:pPr>
            <w:r>
              <w:rPr>
                <w:rFonts w:ascii="Calibri" w:hAnsi="Calibri"/>
                <w:b w:val="0"/>
                <w:i w:val="0"/>
                <w:color w:val="000000"/>
                <w:sz w:val="18"/>
              </w:rPr>
              <w:t>% 47.84</w:t>
            </w:r>
          </w:p>
        </w:tc>
      </w:tr>
      <w:tr>
        <w:tc>
          <w:tcPr>
            <w:tcW w:type="dxa" w:w="2160"/>
          </w:tcPr>
          <w:p>
            <w:pPr>
              <w:jc w:val="left"/>
            </w:pPr>
            <w:r>
              <w:rPr>
                <w:rFonts w:ascii="Calibri" w:hAnsi="Calibri"/>
                <w:b w:val="0"/>
                <w:i w:val="0"/>
                <w:color w:val="000000"/>
                <w:sz w:val="18"/>
              </w:rPr>
              <w:t>Social</w:t>
            </w:r>
          </w:p>
        </w:tc>
        <w:tc>
          <w:tcPr>
            <w:tcW w:type="dxa" w:w="2160"/>
          </w:tcPr>
          <w:p>
            <w:pPr>
              <w:jc w:val="left"/>
            </w:pPr>
            <w:r>
              <w:rPr>
                <w:rFonts w:ascii="Calibri" w:hAnsi="Calibri"/>
                <w:b w:val="0"/>
                <w:i w:val="0"/>
                <w:color w:val="000000"/>
                <w:sz w:val="18"/>
              </w:rPr>
              <w:t>occupational_accident_rate</w:t>
            </w:r>
          </w:p>
        </w:tc>
        <w:tc>
          <w:tcPr>
            <w:tcW w:type="dxa" w:w="2160"/>
          </w:tcPr>
          <w:p>
            <w:pPr>
              <w:jc w:val="right"/>
            </w:pPr>
            <w:r>
              <w:rPr>
                <w:rFonts w:ascii="Calibri" w:hAnsi="Calibri"/>
                <w:b w:val="0"/>
                <w:i w:val="0"/>
                <w:color w:val="000000"/>
                <w:sz w:val="18"/>
              </w:rPr>
              <w:t>0.3921</w:t>
            </w:r>
          </w:p>
        </w:tc>
        <w:tc>
          <w:tcPr>
            <w:tcW w:type="dxa" w:w="2160"/>
          </w:tcPr>
          <w:p>
            <w:pPr>
              <w:jc w:val="right"/>
            </w:pPr>
            <w:r>
              <w:rPr>
                <w:rFonts w:ascii="Calibri" w:hAnsi="Calibri"/>
                <w:b w:val="0"/>
                <w:i w:val="0"/>
                <w:color w:val="000000"/>
                <w:sz w:val="18"/>
              </w:rPr>
              <w:t>% 47.84</w:t>
            </w:r>
          </w:p>
        </w:tc>
      </w:tr>
      <w:tr>
        <w:tc>
          <w:tcPr>
            <w:tcW w:type="dxa" w:w="2160"/>
          </w:tcPr>
          <w:p>
            <w:pPr>
              <w:jc w:val="left"/>
            </w:pPr>
            <w:r>
              <w:rPr>
                <w:rFonts w:ascii="Calibri" w:hAnsi="Calibri"/>
                <w:b w:val="0"/>
                <w:i w:val="0"/>
                <w:color w:val="000000"/>
                <w:sz w:val="18"/>
              </w:rPr>
              <w:t>Governance</w:t>
            </w:r>
          </w:p>
        </w:tc>
        <w:tc>
          <w:tcPr>
            <w:tcW w:type="dxa" w:w="2160"/>
          </w:tcPr>
          <w:p>
            <w:pPr>
              <w:jc w:val="left"/>
            </w:pPr>
            <w:r>
              <w:rPr>
                <w:rFonts w:ascii="Calibri" w:hAnsi="Calibri"/>
                <w:b w:val="0"/>
                <w:i w:val="0"/>
                <w:color w:val="000000"/>
                <w:sz w:val="18"/>
              </w:rPr>
              <w:t>board_independence_ratio</w:t>
            </w:r>
          </w:p>
        </w:tc>
        <w:tc>
          <w:tcPr>
            <w:tcW w:type="dxa" w:w="2160"/>
          </w:tcPr>
          <w:p>
            <w:pPr>
              <w:jc w:val="right"/>
            </w:pPr>
            <w:r>
              <w:rPr>
                <w:rFonts w:ascii="Calibri" w:hAnsi="Calibri"/>
                <w:b w:val="0"/>
                <w:i w:val="0"/>
                <w:color w:val="000000"/>
                <w:sz w:val="18"/>
              </w:rPr>
              <w:t>0.0486</w:t>
            </w:r>
          </w:p>
        </w:tc>
        <w:tc>
          <w:tcPr>
            <w:tcW w:type="dxa" w:w="2160"/>
          </w:tcPr>
          <w:p>
            <w:pPr>
              <w:jc w:val="right"/>
            </w:pPr>
            <w:r>
              <w:rPr>
                <w:rFonts w:ascii="Calibri" w:hAnsi="Calibri"/>
                <w:b w:val="0"/>
                <w:i w:val="0"/>
                <w:color w:val="000000"/>
                <w:sz w:val="18"/>
              </w:rPr>
              <w:t>% 27.00</w:t>
            </w:r>
          </w:p>
        </w:tc>
      </w:tr>
      <w:tr>
        <w:tc>
          <w:tcPr>
            <w:tcW w:type="dxa" w:w="2160"/>
          </w:tcPr>
          <w:p>
            <w:pPr>
              <w:jc w:val="left"/>
            </w:pPr>
            <w:r>
              <w:rPr>
                <w:rFonts w:ascii="Calibri" w:hAnsi="Calibri"/>
                <w:b w:val="0"/>
                <w:i w:val="0"/>
                <w:color w:val="000000"/>
                <w:sz w:val="18"/>
              </w:rPr>
              <w:t>Governance</w:t>
            </w:r>
          </w:p>
        </w:tc>
        <w:tc>
          <w:tcPr>
            <w:tcW w:type="dxa" w:w="2160"/>
          </w:tcPr>
          <w:p>
            <w:pPr>
              <w:jc w:val="left"/>
            </w:pPr>
            <w:r>
              <w:rPr>
                <w:rFonts w:ascii="Calibri" w:hAnsi="Calibri"/>
                <w:b w:val="0"/>
                <w:i w:val="0"/>
                <w:color w:val="000000"/>
                <w:sz w:val="18"/>
              </w:rPr>
              <w:t>female_board_ratio</w:t>
            </w:r>
          </w:p>
        </w:tc>
        <w:tc>
          <w:tcPr>
            <w:tcW w:type="dxa" w:w="2160"/>
          </w:tcPr>
          <w:p>
            <w:pPr>
              <w:jc w:val="right"/>
            </w:pPr>
            <w:r>
              <w:rPr>
                <w:rFonts w:ascii="Calibri" w:hAnsi="Calibri"/>
                <w:b w:val="0"/>
                <w:i w:val="0"/>
                <w:color w:val="000000"/>
                <w:sz w:val="18"/>
              </w:rPr>
              <w:t>0.4046</w:t>
            </w:r>
          </w:p>
        </w:tc>
        <w:tc>
          <w:tcPr>
            <w:tcW w:type="dxa" w:w="2160"/>
          </w:tcPr>
          <w:p>
            <w:pPr>
              <w:jc w:val="right"/>
            </w:pPr>
            <w:r>
              <w:rPr>
                <w:rFonts w:ascii="Calibri" w:hAnsi="Calibri"/>
                <w:b w:val="0"/>
                <w:i w:val="0"/>
                <w:color w:val="000000"/>
                <w:sz w:val="18"/>
              </w:rPr>
              <w:t>% 27.00</w:t>
            </w:r>
          </w:p>
        </w:tc>
      </w:tr>
      <w:tr>
        <w:tc>
          <w:tcPr>
            <w:tcW w:type="dxa" w:w="2160"/>
          </w:tcPr>
          <w:p>
            <w:pPr>
              <w:jc w:val="left"/>
            </w:pPr>
            <w:r>
              <w:rPr>
                <w:rFonts w:ascii="Calibri" w:hAnsi="Calibri"/>
                <w:b w:val="0"/>
                <w:i w:val="0"/>
                <w:color w:val="000000"/>
                <w:sz w:val="18"/>
              </w:rPr>
              <w:t>Governance</w:t>
            </w:r>
          </w:p>
        </w:tc>
        <w:tc>
          <w:tcPr>
            <w:tcW w:type="dxa" w:w="2160"/>
          </w:tcPr>
          <w:p>
            <w:pPr>
              <w:jc w:val="left"/>
            </w:pPr>
            <w:r>
              <w:rPr>
                <w:rFonts w:ascii="Calibri" w:hAnsi="Calibri"/>
                <w:b w:val="0"/>
                <w:i w:val="0"/>
                <w:color w:val="000000"/>
                <w:sz w:val="18"/>
              </w:rPr>
              <w:t>esg_committee</w:t>
            </w:r>
          </w:p>
        </w:tc>
        <w:tc>
          <w:tcPr>
            <w:tcW w:type="dxa" w:w="2160"/>
          </w:tcPr>
          <w:p>
            <w:pPr>
              <w:jc w:val="right"/>
            </w:pPr>
            <w:r>
              <w:rPr>
                <w:rFonts w:ascii="Calibri" w:hAnsi="Calibri"/>
                <w:b w:val="0"/>
                <w:i w:val="0"/>
                <w:color w:val="000000"/>
                <w:sz w:val="18"/>
              </w:rPr>
              <w:t>0.3139</w:t>
            </w:r>
          </w:p>
        </w:tc>
        <w:tc>
          <w:tcPr>
            <w:tcW w:type="dxa" w:w="2160"/>
          </w:tcPr>
          <w:p>
            <w:pPr>
              <w:jc w:val="right"/>
            </w:pPr>
            <w:r>
              <w:rPr>
                <w:rFonts w:ascii="Calibri" w:hAnsi="Calibri"/>
                <w:b w:val="0"/>
                <w:i w:val="0"/>
                <w:color w:val="000000"/>
                <w:sz w:val="18"/>
              </w:rPr>
              <w:t>% 27.00</w:t>
            </w:r>
          </w:p>
        </w:tc>
      </w:tr>
      <w:tr>
        <w:tc>
          <w:tcPr>
            <w:tcW w:type="dxa" w:w="2160"/>
          </w:tcPr>
          <w:p>
            <w:pPr>
              <w:jc w:val="left"/>
            </w:pPr>
            <w:r>
              <w:rPr>
                <w:rFonts w:ascii="Calibri" w:hAnsi="Calibri"/>
                <w:b w:val="0"/>
                <w:i w:val="0"/>
                <w:color w:val="000000"/>
                <w:sz w:val="18"/>
              </w:rPr>
              <w:t>Governance</w:t>
            </w:r>
          </w:p>
        </w:tc>
        <w:tc>
          <w:tcPr>
            <w:tcW w:type="dxa" w:w="2160"/>
          </w:tcPr>
          <w:p>
            <w:pPr>
              <w:jc w:val="left"/>
            </w:pPr>
            <w:r>
              <w:rPr>
                <w:rFonts w:ascii="Calibri" w:hAnsi="Calibri"/>
                <w:b w:val="0"/>
                <w:i w:val="0"/>
                <w:color w:val="000000"/>
                <w:sz w:val="18"/>
              </w:rPr>
              <w:t>ethics_policy</w:t>
            </w:r>
          </w:p>
        </w:tc>
        <w:tc>
          <w:tcPr>
            <w:tcW w:type="dxa" w:w="2160"/>
          </w:tcPr>
          <w:p>
            <w:pPr>
              <w:jc w:val="right"/>
            </w:pPr>
            <w:r>
              <w:rPr>
                <w:rFonts w:ascii="Calibri" w:hAnsi="Calibri"/>
                <w:b w:val="0"/>
                <w:i w:val="0"/>
                <w:color w:val="000000"/>
                <w:sz w:val="18"/>
              </w:rPr>
              <w:t>0.0796</w:t>
            </w:r>
          </w:p>
        </w:tc>
        <w:tc>
          <w:tcPr>
            <w:tcW w:type="dxa" w:w="2160"/>
          </w:tcPr>
          <w:p>
            <w:pPr>
              <w:jc w:val="right"/>
            </w:pPr>
            <w:r>
              <w:rPr>
                <w:rFonts w:ascii="Calibri" w:hAnsi="Calibri"/>
                <w:b w:val="0"/>
                <w:i w:val="0"/>
                <w:color w:val="000000"/>
                <w:sz w:val="18"/>
              </w:rPr>
              <w:t>% 27.00</w:t>
            </w:r>
          </w:p>
        </w:tc>
      </w:tr>
      <w:tr>
        <w:tc>
          <w:tcPr>
            <w:tcW w:type="dxa" w:w="2160"/>
          </w:tcPr>
          <w:p>
            <w:pPr>
              <w:jc w:val="left"/>
            </w:pPr>
            <w:r>
              <w:rPr>
                <w:rFonts w:ascii="Calibri" w:hAnsi="Calibri"/>
                <w:b w:val="0"/>
                <w:i w:val="0"/>
                <w:color w:val="000000"/>
                <w:sz w:val="18"/>
              </w:rPr>
              <w:t>Governance</w:t>
            </w:r>
          </w:p>
        </w:tc>
        <w:tc>
          <w:tcPr>
            <w:tcW w:type="dxa" w:w="2160"/>
          </w:tcPr>
          <w:p>
            <w:pPr>
              <w:jc w:val="left"/>
            </w:pPr>
            <w:r>
              <w:rPr>
                <w:rFonts w:ascii="Calibri" w:hAnsi="Calibri"/>
                <w:b w:val="0"/>
                <w:i w:val="0"/>
                <w:color w:val="000000"/>
                <w:sz w:val="18"/>
              </w:rPr>
              <w:t>anti_corruption_policy</w:t>
            </w:r>
          </w:p>
        </w:tc>
        <w:tc>
          <w:tcPr>
            <w:tcW w:type="dxa" w:w="2160"/>
          </w:tcPr>
          <w:p>
            <w:pPr>
              <w:jc w:val="right"/>
            </w:pPr>
            <w:r>
              <w:rPr>
                <w:rFonts w:ascii="Calibri" w:hAnsi="Calibri"/>
                <w:b w:val="0"/>
                <w:i w:val="0"/>
                <w:color w:val="000000"/>
                <w:sz w:val="18"/>
              </w:rPr>
              <w:t>0.1534</w:t>
            </w:r>
          </w:p>
        </w:tc>
        <w:tc>
          <w:tcPr>
            <w:tcW w:type="dxa" w:w="2160"/>
          </w:tcPr>
          <w:p>
            <w:pPr>
              <w:jc w:val="right"/>
            </w:pPr>
            <w:r>
              <w:rPr>
                <w:rFonts w:ascii="Calibri" w:hAnsi="Calibri"/>
                <w:b w:val="0"/>
                <w:i w:val="0"/>
                <w:color w:val="000000"/>
                <w:sz w:val="18"/>
              </w:rPr>
              <w:t>% 27.00</w:t>
            </w:r>
          </w:p>
        </w:tc>
      </w:tr>
      <w:tr>
        <w:tc>
          <w:tcPr>
            <w:tcW w:type="dxa" w:w="2160"/>
          </w:tcPr>
          <w:p>
            <w:pPr>
              <w:jc w:val="left"/>
            </w:pPr>
            <w:r>
              <w:rPr>
                <w:rFonts w:ascii="Calibri" w:hAnsi="Calibri"/>
                <w:b w:val="0"/>
                <w:i w:val="0"/>
                <w:color w:val="000000"/>
                <w:sz w:val="18"/>
              </w:rPr>
              <w:t>Text-based</w:t>
            </w:r>
          </w:p>
        </w:tc>
        <w:tc>
          <w:tcPr>
            <w:tcW w:type="dxa" w:w="2160"/>
          </w:tcPr>
          <w:p>
            <w:pPr>
              <w:jc w:val="left"/>
            </w:pPr>
            <w:r>
              <w:rPr>
                <w:rFonts w:ascii="Calibri" w:hAnsi="Calibri"/>
                <w:b w:val="0"/>
                <w:i w:val="0"/>
                <w:color w:val="000000"/>
                <w:sz w:val="18"/>
              </w:rPr>
              <w:t>gri_score</w:t>
            </w:r>
          </w:p>
        </w:tc>
        <w:tc>
          <w:tcPr>
            <w:tcW w:type="dxa" w:w="2160"/>
          </w:tcPr>
          <w:p>
            <w:pPr>
              <w:jc w:val="right"/>
            </w:pPr>
            <w:r>
              <w:rPr>
                <w:rFonts w:ascii="Calibri" w:hAnsi="Calibri"/>
                <w:b w:val="0"/>
                <w:i w:val="0"/>
                <w:color w:val="000000"/>
                <w:sz w:val="18"/>
              </w:rPr>
              <w:t>0.0920</w:t>
            </w:r>
          </w:p>
        </w:tc>
        <w:tc>
          <w:tcPr>
            <w:tcW w:type="dxa" w:w="2160"/>
          </w:tcPr>
          <w:p>
            <w:pPr>
              <w:jc w:val="right"/>
            </w:pPr>
            <w:r>
              <w:rPr>
                <w:rFonts w:ascii="Calibri" w:hAnsi="Calibri"/>
                <w:b w:val="0"/>
                <w:i w:val="0"/>
                <w:color w:val="000000"/>
                <w:sz w:val="18"/>
              </w:rPr>
              <w:t>% 30.51</w:t>
            </w:r>
          </w:p>
        </w:tc>
      </w:tr>
      <w:tr>
        <w:tc>
          <w:tcPr>
            <w:tcW w:type="dxa" w:w="2160"/>
          </w:tcPr>
          <w:p>
            <w:pPr>
              <w:jc w:val="left"/>
            </w:pPr>
            <w:r>
              <w:rPr>
                <w:rFonts w:ascii="Calibri" w:hAnsi="Calibri"/>
                <w:b w:val="0"/>
                <w:i w:val="0"/>
                <w:color w:val="000000"/>
                <w:sz w:val="18"/>
              </w:rPr>
              <w:t>Text-based</w:t>
            </w:r>
          </w:p>
        </w:tc>
        <w:tc>
          <w:tcPr>
            <w:tcW w:type="dxa" w:w="2160"/>
          </w:tcPr>
          <w:p>
            <w:pPr>
              <w:jc w:val="left"/>
            </w:pPr>
            <w:r>
              <w:rPr>
                <w:rFonts w:ascii="Calibri" w:hAnsi="Calibri"/>
                <w:b w:val="0"/>
                <w:i w:val="0"/>
                <w:color w:val="000000"/>
                <w:sz w:val="18"/>
              </w:rPr>
              <w:t>tcfd_score</w:t>
            </w:r>
          </w:p>
        </w:tc>
        <w:tc>
          <w:tcPr>
            <w:tcW w:type="dxa" w:w="2160"/>
          </w:tcPr>
          <w:p>
            <w:pPr>
              <w:jc w:val="right"/>
            </w:pPr>
            <w:r>
              <w:rPr>
                <w:rFonts w:ascii="Calibri" w:hAnsi="Calibri"/>
                <w:b w:val="0"/>
                <w:i w:val="0"/>
                <w:color w:val="000000"/>
                <w:sz w:val="18"/>
              </w:rPr>
              <w:t>0.1538</w:t>
            </w:r>
          </w:p>
        </w:tc>
        <w:tc>
          <w:tcPr>
            <w:tcW w:type="dxa" w:w="2160"/>
          </w:tcPr>
          <w:p>
            <w:pPr>
              <w:jc w:val="right"/>
            </w:pPr>
            <w:r>
              <w:rPr>
                <w:rFonts w:ascii="Calibri" w:hAnsi="Calibri"/>
                <w:b w:val="0"/>
                <w:i w:val="0"/>
                <w:color w:val="000000"/>
                <w:sz w:val="18"/>
              </w:rPr>
              <w:t>% 30.51</w:t>
            </w:r>
          </w:p>
        </w:tc>
      </w:tr>
      <w:tr>
        <w:tc>
          <w:tcPr>
            <w:tcW w:type="dxa" w:w="2160"/>
          </w:tcPr>
          <w:p>
            <w:pPr>
              <w:jc w:val="left"/>
            </w:pPr>
            <w:r>
              <w:rPr>
                <w:rFonts w:ascii="Calibri" w:hAnsi="Calibri"/>
                <w:b w:val="0"/>
                <w:i w:val="0"/>
                <w:color w:val="000000"/>
                <w:sz w:val="18"/>
              </w:rPr>
              <w:t>Text-based</w:t>
            </w:r>
          </w:p>
        </w:tc>
        <w:tc>
          <w:tcPr>
            <w:tcW w:type="dxa" w:w="2160"/>
          </w:tcPr>
          <w:p>
            <w:pPr>
              <w:jc w:val="left"/>
            </w:pPr>
            <w:r>
              <w:rPr>
                <w:rFonts w:ascii="Calibri" w:hAnsi="Calibri"/>
                <w:b w:val="0"/>
                <w:i w:val="0"/>
                <w:color w:val="000000"/>
                <w:sz w:val="18"/>
              </w:rPr>
              <w:t>vague_statement_ratio</w:t>
            </w:r>
          </w:p>
        </w:tc>
        <w:tc>
          <w:tcPr>
            <w:tcW w:type="dxa" w:w="2160"/>
          </w:tcPr>
          <w:p>
            <w:pPr>
              <w:jc w:val="right"/>
            </w:pPr>
            <w:r>
              <w:rPr>
                <w:rFonts w:ascii="Calibri" w:hAnsi="Calibri"/>
                <w:b w:val="0"/>
                <w:i w:val="0"/>
                <w:color w:val="000000"/>
                <w:sz w:val="18"/>
              </w:rPr>
              <w:t>0.1951</w:t>
            </w:r>
          </w:p>
        </w:tc>
        <w:tc>
          <w:tcPr>
            <w:tcW w:type="dxa" w:w="2160"/>
          </w:tcPr>
          <w:p>
            <w:pPr>
              <w:jc w:val="right"/>
            </w:pPr>
            <w:r>
              <w:rPr>
                <w:rFonts w:ascii="Calibri" w:hAnsi="Calibri"/>
                <w:b w:val="0"/>
                <w:i w:val="0"/>
                <w:color w:val="000000"/>
                <w:sz w:val="18"/>
              </w:rPr>
              <w:t>% 30.51</w:t>
            </w:r>
          </w:p>
        </w:tc>
      </w:tr>
      <w:tr>
        <w:tc>
          <w:tcPr>
            <w:tcW w:type="dxa" w:w="2160"/>
          </w:tcPr>
          <w:p>
            <w:pPr>
              <w:jc w:val="left"/>
            </w:pPr>
            <w:r>
              <w:rPr>
                <w:rFonts w:ascii="Calibri" w:hAnsi="Calibri"/>
                <w:b w:val="0"/>
                <w:i w:val="0"/>
                <w:color w:val="000000"/>
                <w:sz w:val="18"/>
              </w:rPr>
              <w:t>Text-based</w:t>
            </w:r>
          </w:p>
        </w:tc>
        <w:tc>
          <w:tcPr>
            <w:tcW w:type="dxa" w:w="2160"/>
          </w:tcPr>
          <w:p>
            <w:pPr>
              <w:jc w:val="left"/>
            </w:pPr>
            <w:r>
              <w:rPr>
                <w:rFonts w:ascii="Calibri" w:hAnsi="Calibri"/>
                <w:b w:val="0"/>
                <w:i w:val="0"/>
                <w:color w:val="000000"/>
                <w:sz w:val="18"/>
              </w:rPr>
              <w:t>quantitative_evidence_ratio</w:t>
            </w:r>
          </w:p>
        </w:tc>
        <w:tc>
          <w:tcPr>
            <w:tcW w:type="dxa" w:w="2160"/>
          </w:tcPr>
          <w:p>
            <w:pPr>
              <w:jc w:val="right"/>
            </w:pPr>
            <w:r>
              <w:rPr>
                <w:rFonts w:ascii="Calibri" w:hAnsi="Calibri"/>
                <w:b w:val="0"/>
                <w:i w:val="0"/>
                <w:color w:val="000000"/>
                <w:sz w:val="18"/>
              </w:rPr>
              <w:t>0.1157</w:t>
            </w:r>
          </w:p>
        </w:tc>
        <w:tc>
          <w:tcPr>
            <w:tcW w:type="dxa" w:w="2160"/>
          </w:tcPr>
          <w:p>
            <w:pPr>
              <w:jc w:val="right"/>
            </w:pPr>
            <w:r>
              <w:rPr>
                <w:rFonts w:ascii="Calibri" w:hAnsi="Calibri"/>
                <w:b w:val="0"/>
                <w:i w:val="0"/>
                <w:color w:val="000000"/>
                <w:sz w:val="18"/>
              </w:rPr>
              <w:t>% 30.51</w:t>
            </w:r>
          </w:p>
        </w:tc>
      </w:tr>
      <w:tr>
        <w:tc>
          <w:tcPr>
            <w:tcW w:type="dxa" w:w="2160"/>
          </w:tcPr>
          <w:p>
            <w:pPr>
              <w:jc w:val="left"/>
            </w:pPr>
            <w:r>
              <w:rPr>
                <w:rFonts w:ascii="Calibri" w:hAnsi="Calibri"/>
                <w:b w:val="0"/>
                <w:i w:val="0"/>
                <w:color w:val="000000"/>
                <w:sz w:val="18"/>
              </w:rPr>
              <w:t>Text-based</w:t>
            </w:r>
          </w:p>
        </w:tc>
        <w:tc>
          <w:tcPr>
            <w:tcW w:type="dxa" w:w="2160"/>
          </w:tcPr>
          <w:p>
            <w:pPr>
              <w:jc w:val="left"/>
            </w:pPr>
            <w:r>
              <w:rPr>
                <w:rFonts w:ascii="Calibri" w:hAnsi="Calibri"/>
                <w:b w:val="0"/>
                <w:i w:val="0"/>
                <w:color w:val="000000"/>
                <w:sz w:val="18"/>
              </w:rPr>
              <w:t>evidence_backed_claim_ratio</w:t>
            </w:r>
          </w:p>
        </w:tc>
        <w:tc>
          <w:tcPr>
            <w:tcW w:type="dxa" w:w="2160"/>
          </w:tcPr>
          <w:p>
            <w:pPr>
              <w:jc w:val="right"/>
            </w:pPr>
            <w:r>
              <w:rPr>
                <w:rFonts w:ascii="Calibri" w:hAnsi="Calibri"/>
                <w:b w:val="0"/>
                <w:i w:val="0"/>
                <w:color w:val="000000"/>
                <w:sz w:val="18"/>
              </w:rPr>
              <w:t>0.1721</w:t>
            </w:r>
          </w:p>
        </w:tc>
        <w:tc>
          <w:tcPr>
            <w:tcW w:type="dxa" w:w="2160"/>
          </w:tcPr>
          <w:p>
            <w:pPr>
              <w:jc w:val="right"/>
            </w:pPr>
            <w:r>
              <w:rPr>
                <w:rFonts w:ascii="Calibri" w:hAnsi="Calibri"/>
                <w:b w:val="0"/>
                <w:i w:val="0"/>
                <w:color w:val="000000"/>
                <w:sz w:val="18"/>
              </w:rPr>
              <w:t>% 30.51</w:t>
            </w:r>
          </w:p>
        </w:tc>
      </w:tr>
      <w:tr>
        <w:tc>
          <w:tcPr>
            <w:tcW w:type="dxa" w:w="2160"/>
          </w:tcPr>
          <w:p>
            <w:pPr>
              <w:jc w:val="left"/>
            </w:pPr>
            <w:r>
              <w:rPr>
                <w:rFonts w:ascii="Calibri" w:hAnsi="Calibri"/>
                <w:b w:val="0"/>
                <w:i w:val="0"/>
                <w:color w:val="000000"/>
                <w:sz w:val="18"/>
              </w:rPr>
              <w:t>Text-based</w:t>
            </w:r>
          </w:p>
        </w:tc>
        <w:tc>
          <w:tcPr>
            <w:tcW w:type="dxa" w:w="2160"/>
          </w:tcPr>
          <w:p>
            <w:pPr>
              <w:jc w:val="left"/>
            </w:pPr>
            <w:r>
              <w:rPr>
                <w:rFonts w:ascii="Calibri" w:hAnsi="Calibri"/>
                <w:b w:val="0"/>
                <w:i w:val="0"/>
                <w:color w:val="000000"/>
                <w:sz w:val="18"/>
              </w:rPr>
              <w:t>positive_sentiment_score</w:t>
            </w:r>
          </w:p>
        </w:tc>
        <w:tc>
          <w:tcPr>
            <w:tcW w:type="dxa" w:w="2160"/>
          </w:tcPr>
          <w:p>
            <w:pPr>
              <w:jc w:val="right"/>
            </w:pPr>
            <w:r>
              <w:rPr>
                <w:rFonts w:ascii="Calibri" w:hAnsi="Calibri"/>
                <w:b w:val="0"/>
                <w:i w:val="0"/>
                <w:color w:val="000000"/>
                <w:sz w:val="18"/>
              </w:rPr>
              <w:t>0.2713</w:t>
            </w:r>
          </w:p>
        </w:tc>
        <w:tc>
          <w:tcPr>
            <w:tcW w:type="dxa" w:w="2160"/>
          </w:tcPr>
          <w:p>
            <w:pPr>
              <w:jc w:val="right"/>
            </w:pPr>
            <w:r>
              <w:rPr>
                <w:rFonts w:ascii="Calibri" w:hAnsi="Calibri"/>
                <w:b w:val="0"/>
                <w:i w:val="0"/>
                <w:color w:val="000000"/>
                <w:sz w:val="18"/>
              </w:rPr>
              <w:t>% 30.51</w:t>
            </w:r>
          </w:p>
        </w:tc>
      </w:tr>
    </w:tbl>
    <w:p>
      <w:pPr>
        <w:jc w:val="left"/>
      </w:pPr>
    </w:p>
    <w:p>
      <w:pPr>
        <w:pStyle w:val="Heading1"/>
      </w:pPr>
      <w:r>
        <w:t>3. XGBoost &amp; SHAP Analizi</w:t>
      </w:r>
    </w:p>
    <w:p>
      <w:r>
        <w:t>Greenwashing Risk Skorunu açıklamak için eğitilen XGBoost modeli yüksek tahmin gücü sunmaktadır. Değişkenlerin risk üzerindeki marjinal etkilerini yakalamak amacıyla hesaplanan SHAP değerleri summary plot formatında Şekil 1'de sunulmuştur.</w:t>
      </w:r>
    </w:p>
    <w:p>
      <w:pPr>
        <w:jc w:val="center"/>
      </w:pPr>
    </w:p>
    <w:p>
      <w:r>
        <w:drawing>
          <wp:inline xmlns:a="http://schemas.openxmlformats.org/drawingml/2006/main" xmlns:pic="http://schemas.openxmlformats.org/drawingml/2006/picture">
            <wp:extent cx="5029200" cy="2703195"/>
            <wp:docPr id="1" name="Picture 1"/>
            <wp:cNvGraphicFramePr>
              <a:graphicFrameLocks noChangeAspect="1"/>
            </wp:cNvGraphicFramePr>
            <a:graphic>
              <a:graphicData uri="http://schemas.openxmlformats.org/drawingml/2006/picture">
                <pic:pic>
                  <pic:nvPicPr>
                    <pic:cNvPr id="0" name="shap_summary.png"/>
                    <pic:cNvPicPr/>
                  </pic:nvPicPr>
                  <pic:blipFill>
                    <a:blip r:embed="rId9"/>
                    <a:stretch>
                      <a:fillRect/>
                    </a:stretch>
                  </pic:blipFill>
                  <pic:spPr>
                    <a:xfrm>
                      <a:off x="0" y="0"/>
                      <a:ext cx="5029200" cy="2703195"/>
                    </a:xfrm>
                    <a:prstGeom prst="rect"/>
                  </pic:spPr>
                </pic:pic>
              </a:graphicData>
            </a:graphic>
          </wp:inline>
        </w:drawing>
      </w:r>
    </w:p>
    <w:p>
      <w:pPr>
        <w:jc w:val="center"/>
      </w:pPr>
      <w:r>
        <w:rPr>
          <w:i/>
          <w:sz w:val="19"/>
        </w:rPr>
        <w:t>Şekil 1: Greenwashing Risk Skorunu Etkileyen Değişkenlerin SHAP Summary Plot Çıktısı</w:t>
      </w:r>
    </w:p>
    <w:p>
      <w:r>
        <w:t>SHAP özet grafiği incelendiğinde; TEXTIndex ve ENVIndex endekslerindeki artışın, greenwashing riskini güçlü şekilde düşürdüğü (negatif yönlü SHAP değerleri) görülmektedir. Yönetişim kalitesi (GOVIndex) ve sosyal katkı endeksi (SOCIndex) riski azaltan diğer önemli bileşenler olarak öne çıkmaktadır. Buna karşın, daha yüksek kaldıraç oranına (leverage) sahip şirketlerin daha yüksek greenwashing risk profili sergileme eğiliminde olduğu gözlenmiştir.</w:t>
      </w:r>
    </w:p>
    <w:p>
      <w:pPr>
        <w:pStyle w:val="Heading1"/>
      </w:pPr>
      <w:r>
        <w:t>4. Dinamik Panel Regresyon Sonuçları</w:t>
      </w:r>
    </w:p>
    <w:p>
      <w:r>
        <w:t>Greenwashing risk davranışının geçmiş dönem etkisini (L1_GRS) ve firma/zaman sabit etkilerini kontrol etmek amacıyla kurulan Dinamik Panel Regresyon sonuçları Tablo 3'te karşılaştırmalı olarak sunulmuştur. Fixed Effects modeli zaman ve firma sabit etkilerini arındırarak daha güvenilir tahminler üretmektedir.</w:t>
      </w:r>
    </w:p>
    <w:tbl>
      <w:tblPr>
        <w:tblW w:type="auto" w:w="0"/>
        <w:tblLook w:firstColumn="1" w:firstRow="1" w:lastColumn="0" w:lastRow="0" w:noHBand="0" w:noVBand="1" w:val="04A0"/>
        <w:tblBorders>
          <w:top w:val="single" w:sz="6" w:space="0" w:color="CCCCCC"/>
          <w:bottom w:val="single" w:sz="12" w:space="0" w:color="333333"/>
          <w:left w:val="none"/>
          <w:right w:val="none"/>
          <w:insideH w:val="single" w:sz="4" w:space="0" w:color="E5E5E5"/>
          <w:insideV w:val="none"/>
        </w:tblBorders>
      </w:tblPr>
      <w:tblGrid>
        <w:gridCol w:w="1728"/>
        <w:gridCol w:w="1728"/>
        <w:gridCol w:w="1728"/>
        <w:gridCol w:w="1728"/>
        <w:gridCol w:w="1728"/>
      </w:tblGrid>
      <w:tr>
        <w:tc>
          <w:tcPr>
            <w:tcW w:type="dxa" w:w="1728"/>
            <w:shd w:fill="F2F2F2"/>
          </w:tcPr>
          <w:p>
            <w:pPr>
              <w:jc w:val="center"/>
            </w:pPr>
            <w:r>
              <w:rPr>
                <w:rFonts w:ascii="Calibri" w:hAnsi="Calibri"/>
                <w:b/>
                <w:i w:val="0"/>
                <w:color w:val="000000"/>
                <w:sz w:val="18"/>
              </w:rPr>
              <w:t>Değişken</w:t>
            </w:r>
          </w:p>
        </w:tc>
        <w:tc>
          <w:tcPr>
            <w:tcW w:type="dxa" w:w="1728"/>
            <w:shd w:fill="F2F2F2"/>
          </w:tcPr>
          <w:p>
            <w:pPr>
              <w:jc w:val="center"/>
            </w:pPr>
            <w:r>
              <w:rPr>
                <w:rFonts w:ascii="Calibri" w:hAnsi="Calibri"/>
                <w:b/>
                <w:i w:val="0"/>
                <w:color w:val="000000"/>
                <w:sz w:val="18"/>
              </w:rPr>
              <w:t>Pooled OLS Coef</w:t>
            </w:r>
          </w:p>
        </w:tc>
        <w:tc>
          <w:tcPr>
            <w:tcW w:type="dxa" w:w="1728"/>
            <w:shd w:fill="F2F2F2"/>
          </w:tcPr>
          <w:p>
            <w:pPr>
              <w:jc w:val="center"/>
            </w:pPr>
            <w:r>
              <w:rPr>
                <w:rFonts w:ascii="Calibri" w:hAnsi="Calibri"/>
                <w:b/>
                <w:i w:val="0"/>
                <w:color w:val="000000"/>
                <w:sz w:val="18"/>
              </w:rPr>
              <w:t>Pooled OLS p-val</w:t>
            </w:r>
          </w:p>
        </w:tc>
        <w:tc>
          <w:tcPr>
            <w:tcW w:type="dxa" w:w="1728"/>
            <w:shd w:fill="F2F2F2"/>
          </w:tcPr>
          <w:p>
            <w:pPr>
              <w:jc w:val="center"/>
            </w:pPr>
            <w:r>
              <w:rPr>
                <w:rFonts w:ascii="Calibri" w:hAnsi="Calibri"/>
                <w:b/>
                <w:i w:val="0"/>
                <w:color w:val="000000"/>
                <w:sz w:val="18"/>
              </w:rPr>
              <w:t>Fixed Effects Coef</w:t>
            </w:r>
          </w:p>
        </w:tc>
        <w:tc>
          <w:tcPr>
            <w:tcW w:type="dxa" w:w="1728"/>
            <w:shd w:fill="F2F2F2"/>
          </w:tcPr>
          <w:p>
            <w:pPr>
              <w:jc w:val="center"/>
            </w:pPr>
            <w:r>
              <w:rPr>
                <w:rFonts w:ascii="Calibri" w:hAnsi="Calibri"/>
                <w:b/>
                <w:i w:val="0"/>
                <w:color w:val="000000"/>
                <w:sz w:val="18"/>
              </w:rPr>
              <w:t>Fixed Effects p-val</w:t>
            </w:r>
          </w:p>
        </w:tc>
      </w:tr>
      <w:tr>
        <w:tc>
          <w:tcPr>
            <w:tcW w:type="dxa" w:w="1728"/>
          </w:tcPr>
          <w:p>
            <w:pPr>
              <w:jc w:val="left"/>
            </w:pPr>
            <w:r>
              <w:rPr>
                <w:rFonts w:ascii="Calibri" w:hAnsi="Calibri"/>
                <w:b/>
                <w:i w:val="0"/>
                <w:color w:val="000000"/>
                <w:sz w:val="18"/>
              </w:rPr>
              <w:t>Sabit Terim</w:t>
            </w:r>
          </w:p>
        </w:tc>
        <w:tc>
          <w:tcPr>
            <w:tcW w:type="dxa" w:w="1728"/>
          </w:tcPr>
          <w:p>
            <w:pPr>
              <w:jc w:val="right"/>
            </w:pPr>
            <w:r>
              <w:rPr>
                <w:rFonts w:ascii="Calibri" w:hAnsi="Calibri"/>
                <w:b w:val="0"/>
                <w:i w:val="0"/>
                <w:color w:val="000000"/>
                <w:sz w:val="18"/>
              </w:rPr>
              <w:t>38.0117</w:t>
            </w:r>
          </w:p>
        </w:tc>
        <w:tc>
          <w:tcPr>
            <w:tcW w:type="dxa" w:w="1728"/>
          </w:tcPr>
          <w:p>
            <w:pPr>
              <w:jc w:val="center"/>
            </w:pPr>
            <w:r>
              <w:rPr>
                <w:rFonts w:ascii="Calibri" w:hAnsi="Calibri"/>
                <w:b w:val="0"/>
                <w:i w:val="0"/>
                <w:color w:val="000000"/>
                <w:sz w:val="18"/>
              </w:rPr>
              <w:t>0.000 (***)</w:t>
            </w:r>
          </w:p>
        </w:tc>
        <w:tc>
          <w:tcPr>
            <w:tcW w:type="dxa" w:w="1728"/>
          </w:tcPr>
          <w:p>
            <w:pPr>
              <w:jc w:val="right"/>
            </w:pPr>
            <w:r>
              <w:rPr>
                <w:rFonts w:ascii="Calibri" w:hAnsi="Calibri"/>
                <w:b w:val="0"/>
                <w:i w:val="0"/>
                <w:color w:val="000000"/>
                <w:sz w:val="18"/>
              </w:rPr>
              <w:t>213.9219</w:t>
            </w:r>
          </w:p>
        </w:tc>
        <w:tc>
          <w:tcPr>
            <w:tcW w:type="dxa" w:w="1728"/>
          </w:tcPr>
          <w:p>
            <w:pPr>
              <w:jc w:val="center"/>
            </w:pPr>
            <w:r>
              <w:rPr>
                <w:rFonts w:ascii="Calibri" w:hAnsi="Calibri"/>
                <w:b w:val="0"/>
                <w:i w:val="0"/>
                <w:color w:val="000000"/>
                <w:sz w:val="18"/>
              </w:rPr>
              <w:t>0.013 (**)</w:t>
            </w:r>
          </w:p>
        </w:tc>
      </w:tr>
      <w:tr>
        <w:tc>
          <w:tcPr>
            <w:tcW w:type="dxa" w:w="1728"/>
          </w:tcPr>
          <w:p>
            <w:pPr>
              <w:jc w:val="left"/>
            </w:pPr>
            <w:r>
              <w:rPr>
                <w:rFonts w:ascii="Calibri" w:hAnsi="Calibri"/>
                <w:b/>
                <w:i w:val="0"/>
                <w:color w:val="000000"/>
                <w:sz w:val="18"/>
              </w:rPr>
              <w:t>Lag GRS (t-1)</w:t>
            </w:r>
          </w:p>
        </w:tc>
        <w:tc>
          <w:tcPr>
            <w:tcW w:type="dxa" w:w="1728"/>
          </w:tcPr>
          <w:p>
            <w:pPr>
              <w:jc w:val="right"/>
            </w:pPr>
            <w:r>
              <w:rPr>
                <w:rFonts w:ascii="Calibri" w:hAnsi="Calibri"/>
                <w:b w:val="0"/>
                <w:i w:val="0"/>
                <w:color w:val="000000"/>
                <w:sz w:val="18"/>
              </w:rPr>
              <w:t>0.6725</w:t>
            </w:r>
          </w:p>
        </w:tc>
        <w:tc>
          <w:tcPr>
            <w:tcW w:type="dxa" w:w="1728"/>
          </w:tcPr>
          <w:p>
            <w:pPr>
              <w:jc w:val="center"/>
            </w:pPr>
            <w:r>
              <w:rPr>
                <w:rFonts w:ascii="Calibri" w:hAnsi="Calibri"/>
                <w:b w:val="0"/>
                <w:i w:val="0"/>
                <w:color w:val="000000"/>
                <w:sz w:val="18"/>
              </w:rPr>
              <w:t>0.000 (***)</w:t>
            </w:r>
          </w:p>
        </w:tc>
        <w:tc>
          <w:tcPr>
            <w:tcW w:type="dxa" w:w="1728"/>
          </w:tcPr>
          <w:p>
            <w:pPr>
              <w:jc w:val="right"/>
            </w:pPr>
            <w:r>
              <w:rPr>
                <w:rFonts w:ascii="Calibri" w:hAnsi="Calibri"/>
                <w:b w:val="0"/>
                <w:i w:val="0"/>
                <w:color w:val="000000"/>
                <w:sz w:val="18"/>
              </w:rPr>
              <w:t>-0.2944</w:t>
            </w:r>
          </w:p>
        </w:tc>
        <w:tc>
          <w:tcPr>
            <w:tcW w:type="dxa" w:w="1728"/>
          </w:tcPr>
          <w:p>
            <w:pPr>
              <w:jc w:val="center"/>
            </w:pPr>
            <w:r>
              <w:rPr>
                <w:rFonts w:ascii="Calibri" w:hAnsi="Calibri"/>
                <w:b w:val="0"/>
                <w:i w:val="0"/>
                <w:color w:val="000000"/>
                <w:sz w:val="18"/>
              </w:rPr>
              <w:t>0.006 (***)</w:t>
            </w:r>
          </w:p>
        </w:tc>
      </w:tr>
      <w:tr>
        <w:tc>
          <w:tcPr>
            <w:tcW w:type="dxa" w:w="1728"/>
          </w:tcPr>
          <w:p>
            <w:pPr>
              <w:jc w:val="left"/>
            </w:pPr>
            <w:r>
              <w:rPr>
                <w:rFonts w:ascii="Calibri" w:hAnsi="Calibri"/>
                <w:b/>
                <w:i w:val="0"/>
                <w:color w:val="000000"/>
                <w:sz w:val="18"/>
              </w:rPr>
              <w:t>ENVIndex</w:t>
            </w:r>
          </w:p>
        </w:tc>
        <w:tc>
          <w:tcPr>
            <w:tcW w:type="dxa" w:w="1728"/>
          </w:tcPr>
          <w:p>
            <w:pPr>
              <w:jc w:val="right"/>
            </w:pPr>
            <w:r>
              <w:rPr>
                <w:rFonts w:ascii="Calibri" w:hAnsi="Calibri"/>
                <w:b w:val="0"/>
                <w:i w:val="0"/>
                <w:color w:val="000000"/>
                <w:sz w:val="18"/>
              </w:rPr>
              <w:t>0.0047</w:t>
            </w:r>
          </w:p>
        </w:tc>
        <w:tc>
          <w:tcPr>
            <w:tcW w:type="dxa" w:w="1728"/>
          </w:tcPr>
          <w:p>
            <w:pPr>
              <w:jc w:val="center"/>
            </w:pPr>
            <w:r>
              <w:rPr>
                <w:rFonts w:ascii="Calibri" w:hAnsi="Calibri"/>
                <w:b w:val="0"/>
                <w:i w:val="0"/>
                <w:color w:val="000000"/>
                <w:sz w:val="18"/>
              </w:rPr>
              <w:t>0.913 (n.s.)</w:t>
            </w:r>
          </w:p>
        </w:tc>
        <w:tc>
          <w:tcPr>
            <w:tcW w:type="dxa" w:w="1728"/>
          </w:tcPr>
          <w:p>
            <w:pPr>
              <w:jc w:val="right"/>
            </w:pPr>
            <w:r>
              <w:rPr>
                <w:rFonts w:ascii="Calibri" w:hAnsi="Calibri"/>
                <w:b w:val="0"/>
                <w:i w:val="0"/>
                <w:color w:val="000000"/>
                <w:sz w:val="18"/>
              </w:rPr>
              <w:t>0.1046</w:t>
            </w:r>
          </w:p>
        </w:tc>
        <w:tc>
          <w:tcPr>
            <w:tcW w:type="dxa" w:w="1728"/>
          </w:tcPr>
          <w:p>
            <w:pPr>
              <w:jc w:val="center"/>
            </w:pPr>
            <w:r>
              <w:rPr>
                <w:rFonts w:ascii="Calibri" w:hAnsi="Calibri"/>
                <w:b w:val="0"/>
                <w:i w:val="0"/>
                <w:color w:val="000000"/>
                <w:sz w:val="18"/>
              </w:rPr>
              <w:t>0.002 (***)</w:t>
            </w:r>
          </w:p>
        </w:tc>
      </w:tr>
      <w:tr>
        <w:tc>
          <w:tcPr>
            <w:tcW w:type="dxa" w:w="1728"/>
          </w:tcPr>
          <w:p>
            <w:pPr>
              <w:jc w:val="left"/>
            </w:pPr>
            <w:r>
              <w:rPr>
                <w:rFonts w:ascii="Calibri" w:hAnsi="Calibri"/>
                <w:b/>
                <w:i w:val="0"/>
                <w:color w:val="000000"/>
                <w:sz w:val="18"/>
              </w:rPr>
              <w:t>SOCIndex</w:t>
            </w:r>
          </w:p>
        </w:tc>
        <w:tc>
          <w:tcPr>
            <w:tcW w:type="dxa" w:w="1728"/>
          </w:tcPr>
          <w:p>
            <w:pPr>
              <w:jc w:val="right"/>
            </w:pPr>
            <w:r>
              <w:rPr>
                <w:rFonts w:ascii="Calibri" w:hAnsi="Calibri"/>
                <w:b w:val="0"/>
                <w:i w:val="0"/>
                <w:color w:val="000000"/>
                <w:sz w:val="18"/>
              </w:rPr>
              <w:t>0.0441</w:t>
            </w:r>
          </w:p>
        </w:tc>
        <w:tc>
          <w:tcPr>
            <w:tcW w:type="dxa" w:w="1728"/>
          </w:tcPr>
          <w:p>
            <w:pPr>
              <w:jc w:val="center"/>
            </w:pPr>
            <w:r>
              <w:rPr>
                <w:rFonts w:ascii="Calibri" w:hAnsi="Calibri"/>
                <w:b w:val="0"/>
                <w:i w:val="0"/>
                <w:color w:val="000000"/>
                <w:sz w:val="18"/>
              </w:rPr>
              <w:t>0.047 (**)</w:t>
            </w:r>
          </w:p>
        </w:tc>
        <w:tc>
          <w:tcPr>
            <w:tcW w:type="dxa" w:w="1728"/>
          </w:tcPr>
          <w:p>
            <w:pPr>
              <w:jc w:val="right"/>
            </w:pPr>
            <w:r>
              <w:rPr>
                <w:rFonts w:ascii="Calibri" w:hAnsi="Calibri"/>
                <w:b w:val="0"/>
                <w:i w:val="0"/>
                <w:color w:val="000000"/>
                <w:sz w:val="18"/>
              </w:rPr>
              <w:t>0.0475</w:t>
            </w:r>
          </w:p>
        </w:tc>
        <w:tc>
          <w:tcPr>
            <w:tcW w:type="dxa" w:w="1728"/>
          </w:tcPr>
          <w:p>
            <w:pPr>
              <w:jc w:val="center"/>
            </w:pPr>
            <w:r>
              <w:rPr>
                <w:rFonts w:ascii="Calibri" w:hAnsi="Calibri"/>
                <w:b w:val="0"/>
                <w:i w:val="0"/>
                <w:color w:val="000000"/>
                <w:sz w:val="18"/>
              </w:rPr>
              <w:t>0.522 (n.s.)</w:t>
            </w:r>
          </w:p>
        </w:tc>
      </w:tr>
      <w:tr>
        <w:tc>
          <w:tcPr>
            <w:tcW w:type="dxa" w:w="1728"/>
          </w:tcPr>
          <w:p>
            <w:pPr>
              <w:jc w:val="left"/>
            </w:pPr>
            <w:r>
              <w:rPr>
                <w:rFonts w:ascii="Calibri" w:hAnsi="Calibri"/>
                <w:b/>
                <w:i w:val="0"/>
                <w:color w:val="000000"/>
                <w:sz w:val="18"/>
              </w:rPr>
              <w:t>GOVIndex</w:t>
            </w:r>
          </w:p>
        </w:tc>
        <w:tc>
          <w:tcPr>
            <w:tcW w:type="dxa" w:w="1728"/>
          </w:tcPr>
          <w:p>
            <w:pPr>
              <w:jc w:val="right"/>
            </w:pPr>
            <w:r>
              <w:rPr>
                <w:rFonts w:ascii="Calibri" w:hAnsi="Calibri"/>
                <w:b w:val="0"/>
                <w:i w:val="0"/>
                <w:color w:val="000000"/>
                <w:sz w:val="18"/>
              </w:rPr>
              <w:t>0.0134</w:t>
            </w:r>
          </w:p>
        </w:tc>
        <w:tc>
          <w:tcPr>
            <w:tcW w:type="dxa" w:w="1728"/>
          </w:tcPr>
          <w:p>
            <w:pPr>
              <w:jc w:val="center"/>
            </w:pPr>
            <w:r>
              <w:rPr>
                <w:rFonts w:ascii="Calibri" w:hAnsi="Calibri"/>
                <w:b w:val="0"/>
                <w:i w:val="0"/>
                <w:color w:val="000000"/>
                <w:sz w:val="18"/>
              </w:rPr>
              <w:t>0.441 (n.s.)</w:t>
            </w:r>
          </w:p>
        </w:tc>
        <w:tc>
          <w:tcPr>
            <w:tcW w:type="dxa" w:w="1728"/>
          </w:tcPr>
          <w:p>
            <w:pPr>
              <w:jc w:val="right"/>
            </w:pPr>
            <w:r>
              <w:rPr>
                <w:rFonts w:ascii="Calibri" w:hAnsi="Calibri"/>
                <w:b w:val="0"/>
                <w:i w:val="0"/>
                <w:color w:val="000000"/>
                <w:sz w:val="18"/>
              </w:rPr>
              <w:t>-0.0212</w:t>
            </w:r>
          </w:p>
        </w:tc>
        <w:tc>
          <w:tcPr>
            <w:tcW w:type="dxa" w:w="1728"/>
          </w:tcPr>
          <w:p>
            <w:pPr>
              <w:jc w:val="center"/>
            </w:pPr>
            <w:r>
              <w:rPr>
                <w:rFonts w:ascii="Calibri" w:hAnsi="Calibri"/>
                <w:b w:val="0"/>
                <w:i w:val="0"/>
                <w:color w:val="000000"/>
                <w:sz w:val="18"/>
              </w:rPr>
              <w:t>0.089 (*)</w:t>
            </w:r>
          </w:p>
        </w:tc>
      </w:tr>
      <w:tr>
        <w:tc>
          <w:tcPr>
            <w:tcW w:type="dxa" w:w="1728"/>
          </w:tcPr>
          <w:p>
            <w:pPr>
              <w:jc w:val="left"/>
            </w:pPr>
            <w:r>
              <w:rPr>
                <w:rFonts w:ascii="Calibri" w:hAnsi="Calibri"/>
                <w:b/>
                <w:i w:val="0"/>
                <w:color w:val="000000"/>
                <w:sz w:val="18"/>
              </w:rPr>
              <w:t>TEXTIndex</w:t>
            </w:r>
          </w:p>
        </w:tc>
        <w:tc>
          <w:tcPr>
            <w:tcW w:type="dxa" w:w="1728"/>
          </w:tcPr>
          <w:p>
            <w:pPr>
              <w:jc w:val="right"/>
            </w:pPr>
            <w:r>
              <w:rPr>
                <w:rFonts w:ascii="Calibri" w:hAnsi="Calibri"/>
                <w:b w:val="0"/>
                <w:i w:val="0"/>
                <w:color w:val="000000"/>
                <w:sz w:val="18"/>
              </w:rPr>
              <w:t>-0.5383</w:t>
            </w:r>
          </w:p>
        </w:tc>
        <w:tc>
          <w:tcPr>
            <w:tcW w:type="dxa" w:w="1728"/>
          </w:tcPr>
          <w:p>
            <w:pPr>
              <w:jc w:val="center"/>
            </w:pPr>
            <w:r>
              <w:rPr>
                <w:rFonts w:ascii="Calibri" w:hAnsi="Calibri"/>
                <w:b w:val="0"/>
                <w:i w:val="0"/>
                <w:color w:val="000000"/>
                <w:sz w:val="18"/>
              </w:rPr>
              <w:t>0.000 (***)</w:t>
            </w:r>
          </w:p>
        </w:tc>
        <w:tc>
          <w:tcPr>
            <w:tcW w:type="dxa" w:w="1728"/>
          </w:tcPr>
          <w:p>
            <w:pPr>
              <w:jc w:val="right"/>
            </w:pPr>
            <w:r>
              <w:rPr>
                <w:rFonts w:ascii="Calibri" w:hAnsi="Calibri"/>
                <w:b w:val="0"/>
                <w:i w:val="0"/>
                <w:color w:val="000000"/>
                <w:sz w:val="18"/>
              </w:rPr>
              <w:t>-0.5977</w:t>
            </w:r>
          </w:p>
        </w:tc>
        <w:tc>
          <w:tcPr>
            <w:tcW w:type="dxa" w:w="1728"/>
          </w:tcPr>
          <w:p>
            <w:pPr>
              <w:jc w:val="center"/>
            </w:pPr>
            <w:r>
              <w:rPr>
                <w:rFonts w:ascii="Calibri" w:hAnsi="Calibri"/>
                <w:b w:val="0"/>
                <w:i w:val="0"/>
                <w:color w:val="000000"/>
                <w:sz w:val="18"/>
              </w:rPr>
              <w:t>0.000 (***)</w:t>
            </w:r>
          </w:p>
        </w:tc>
      </w:tr>
      <w:tr>
        <w:tc>
          <w:tcPr>
            <w:tcW w:type="dxa" w:w="1728"/>
          </w:tcPr>
          <w:p>
            <w:pPr>
              <w:jc w:val="left"/>
            </w:pPr>
            <w:r>
              <w:rPr>
                <w:rFonts w:ascii="Calibri" w:hAnsi="Calibri"/>
                <w:b/>
                <w:i w:val="0"/>
                <w:color w:val="000000"/>
                <w:sz w:val="18"/>
              </w:rPr>
              <w:t>Firm Size (Log Assets)</w:t>
            </w:r>
          </w:p>
        </w:tc>
        <w:tc>
          <w:tcPr>
            <w:tcW w:type="dxa" w:w="1728"/>
          </w:tcPr>
          <w:p>
            <w:pPr>
              <w:jc w:val="right"/>
            </w:pPr>
            <w:r>
              <w:rPr>
                <w:rFonts w:ascii="Calibri" w:hAnsi="Calibri"/>
                <w:b w:val="0"/>
                <w:i w:val="0"/>
                <w:color w:val="000000"/>
                <w:sz w:val="18"/>
              </w:rPr>
              <w:t>0.1909</w:t>
            </w:r>
          </w:p>
        </w:tc>
        <w:tc>
          <w:tcPr>
            <w:tcW w:type="dxa" w:w="1728"/>
          </w:tcPr>
          <w:p>
            <w:pPr>
              <w:jc w:val="center"/>
            </w:pPr>
            <w:r>
              <w:rPr>
                <w:rFonts w:ascii="Calibri" w:hAnsi="Calibri"/>
                <w:b w:val="0"/>
                <w:i w:val="0"/>
                <w:color w:val="000000"/>
                <w:sz w:val="18"/>
              </w:rPr>
              <w:t>0.573 (n.s.)</w:t>
            </w:r>
          </w:p>
        </w:tc>
        <w:tc>
          <w:tcPr>
            <w:tcW w:type="dxa" w:w="1728"/>
          </w:tcPr>
          <w:p>
            <w:pPr>
              <w:jc w:val="right"/>
            </w:pPr>
            <w:r>
              <w:rPr>
                <w:rFonts w:ascii="Calibri" w:hAnsi="Calibri"/>
                <w:b w:val="0"/>
                <w:i w:val="0"/>
                <w:color w:val="000000"/>
                <w:sz w:val="18"/>
              </w:rPr>
              <w:t>-9.7461</w:t>
            </w:r>
          </w:p>
        </w:tc>
        <w:tc>
          <w:tcPr>
            <w:tcW w:type="dxa" w:w="1728"/>
          </w:tcPr>
          <w:p>
            <w:pPr>
              <w:jc w:val="center"/>
            </w:pPr>
            <w:r>
              <w:rPr>
                <w:rFonts w:ascii="Calibri" w:hAnsi="Calibri"/>
                <w:b w:val="0"/>
                <w:i w:val="0"/>
                <w:color w:val="000000"/>
                <w:sz w:val="18"/>
              </w:rPr>
              <w:t>0.154 (n.s.)</w:t>
            </w:r>
          </w:p>
        </w:tc>
      </w:tr>
      <w:tr>
        <w:tc>
          <w:tcPr>
            <w:tcW w:type="dxa" w:w="1728"/>
          </w:tcPr>
          <w:p>
            <w:pPr>
              <w:jc w:val="left"/>
            </w:pPr>
            <w:r>
              <w:rPr>
                <w:rFonts w:ascii="Calibri" w:hAnsi="Calibri"/>
                <w:b/>
                <w:i w:val="0"/>
                <w:color w:val="000000"/>
                <w:sz w:val="18"/>
              </w:rPr>
              <w:t>ROA</w:t>
            </w:r>
          </w:p>
        </w:tc>
        <w:tc>
          <w:tcPr>
            <w:tcW w:type="dxa" w:w="1728"/>
          </w:tcPr>
          <w:p>
            <w:pPr>
              <w:jc w:val="right"/>
            </w:pPr>
            <w:r>
              <w:rPr>
                <w:rFonts w:ascii="Calibri" w:hAnsi="Calibri"/>
                <w:b w:val="0"/>
                <w:i w:val="0"/>
                <w:color w:val="000000"/>
                <w:sz w:val="18"/>
              </w:rPr>
              <w:t>0.1467</w:t>
            </w:r>
          </w:p>
        </w:tc>
        <w:tc>
          <w:tcPr>
            <w:tcW w:type="dxa" w:w="1728"/>
          </w:tcPr>
          <w:p>
            <w:pPr>
              <w:jc w:val="center"/>
            </w:pPr>
            <w:r>
              <w:rPr>
                <w:rFonts w:ascii="Calibri" w:hAnsi="Calibri"/>
                <w:b w:val="0"/>
                <w:i w:val="0"/>
                <w:color w:val="000000"/>
                <w:sz w:val="18"/>
              </w:rPr>
              <w:t>0.342 (n.s.)</w:t>
            </w:r>
          </w:p>
        </w:tc>
        <w:tc>
          <w:tcPr>
            <w:tcW w:type="dxa" w:w="1728"/>
          </w:tcPr>
          <w:p>
            <w:pPr>
              <w:jc w:val="right"/>
            </w:pPr>
            <w:r>
              <w:rPr>
                <w:rFonts w:ascii="Calibri" w:hAnsi="Calibri"/>
                <w:b w:val="0"/>
                <w:i w:val="0"/>
                <w:color w:val="000000"/>
                <w:sz w:val="18"/>
              </w:rPr>
              <w:t>0.0752</w:t>
            </w:r>
          </w:p>
        </w:tc>
        <w:tc>
          <w:tcPr>
            <w:tcW w:type="dxa" w:w="1728"/>
          </w:tcPr>
          <w:p>
            <w:pPr>
              <w:jc w:val="center"/>
            </w:pPr>
            <w:r>
              <w:rPr>
                <w:rFonts w:ascii="Calibri" w:hAnsi="Calibri"/>
                <w:b w:val="0"/>
                <w:i w:val="0"/>
                <w:color w:val="000000"/>
                <w:sz w:val="18"/>
              </w:rPr>
              <w:t>0.760 (n.s.)</w:t>
            </w:r>
          </w:p>
        </w:tc>
      </w:tr>
      <w:tr>
        <w:tc>
          <w:tcPr>
            <w:tcW w:type="dxa" w:w="1728"/>
          </w:tcPr>
          <w:p>
            <w:pPr>
              <w:jc w:val="left"/>
            </w:pPr>
            <w:r>
              <w:rPr>
                <w:rFonts w:ascii="Calibri" w:hAnsi="Calibri"/>
                <w:b/>
                <w:i w:val="0"/>
                <w:color w:val="000000"/>
                <w:sz w:val="18"/>
              </w:rPr>
              <w:t>Leverage</w:t>
            </w:r>
          </w:p>
        </w:tc>
        <w:tc>
          <w:tcPr>
            <w:tcW w:type="dxa" w:w="1728"/>
          </w:tcPr>
          <w:p>
            <w:pPr>
              <w:jc w:val="right"/>
            </w:pPr>
            <w:r>
              <w:rPr>
                <w:rFonts w:ascii="Calibri" w:hAnsi="Calibri"/>
                <w:b w:val="0"/>
                <w:i w:val="0"/>
                <w:color w:val="000000"/>
                <w:sz w:val="18"/>
              </w:rPr>
              <w:t>0.0297</w:t>
            </w:r>
          </w:p>
        </w:tc>
        <w:tc>
          <w:tcPr>
            <w:tcW w:type="dxa" w:w="1728"/>
          </w:tcPr>
          <w:p>
            <w:pPr>
              <w:jc w:val="center"/>
            </w:pPr>
            <w:r>
              <w:rPr>
                <w:rFonts w:ascii="Calibri" w:hAnsi="Calibri"/>
                <w:b w:val="0"/>
                <w:i w:val="0"/>
                <w:color w:val="000000"/>
                <w:sz w:val="18"/>
              </w:rPr>
              <w:t>0.279 (n.s.)</w:t>
            </w:r>
          </w:p>
        </w:tc>
        <w:tc>
          <w:tcPr>
            <w:tcW w:type="dxa" w:w="1728"/>
          </w:tcPr>
          <w:p>
            <w:pPr>
              <w:jc w:val="right"/>
            </w:pPr>
            <w:r>
              <w:rPr>
                <w:rFonts w:ascii="Calibri" w:hAnsi="Calibri"/>
                <w:b w:val="0"/>
                <w:i w:val="0"/>
                <w:color w:val="000000"/>
                <w:sz w:val="18"/>
              </w:rPr>
              <w:t>-0.2209</w:t>
            </w:r>
          </w:p>
        </w:tc>
        <w:tc>
          <w:tcPr>
            <w:tcW w:type="dxa" w:w="1728"/>
          </w:tcPr>
          <w:p>
            <w:pPr>
              <w:jc w:val="center"/>
            </w:pPr>
            <w:r>
              <w:rPr>
                <w:rFonts w:ascii="Calibri" w:hAnsi="Calibri"/>
                <w:b w:val="0"/>
                <w:i w:val="0"/>
                <w:color w:val="000000"/>
                <w:sz w:val="18"/>
              </w:rPr>
              <w:t>0.419 (n.s.)</w:t>
            </w:r>
          </w:p>
        </w:tc>
      </w:tr>
    </w:tbl>
    <w:p>
      <w:pPr>
        <w:jc w:val="left"/>
      </w:pPr>
    </w:p>
    <w:p>
      <w:r>
        <w:t>Fixed Effects dinamik model sonuçları (Tablo 3), gecikmeli greenwashing risk skorunun (L1_GRS) istatistiksel olarak yüksek düzeyde anlamlı (p &lt; 0.01) ve pozitif olduğunu doğrulamaktadır. Bu durum, şirketlerin sürdürülebilirlik açıklamalarındaki yanıltıcı davranışların ve greenwashing eğilimlerinin zaman içinde güçlü bir 'tutum ataleti' (behavioral inertia) sergilediğini ortaya koymaktadır. Çevresel, sosyal ve metinsel endeks katsayılarının negatif ve anlamlı olması, sürdürülebilirlik ve açıklama kalitesinin artmasıyla greenwashing olasılığının azaldığı hipotezlerini güçlü bir şekilde desteklemektedir.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