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Tablo 1. Bağımlı değişken: ln_co2_pc — Tahminci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pPr>
              <w:jc w:val="center"/>
            </w:pPr>
            <w:r>
              <w:rPr>
                <w:b/>
                <w:sz w:val="18"/>
              </w:rPr>
              <w:t>Değişken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>
              <w:rPr>
                <w:b/>
                <w:sz w:val="18"/>
              </w:rPr>
              <w:t>Havuzlanmış OLS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>
              <w:rPr>
                <w:b/>
                <w:sz w:val="18"/>
              </w:rPr>
              <w:t>Sabit Etki (FE)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>
              <w:rPr>
                <w:b/>
                <w:sz w:val="18"/>
              </w:rPr>
              <w:t>Rassal Etki (RE)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>
              <w:rPr>
                <w:b/>
                <w:sz w:val="18"/>
              </w:rPr>
              <w:t>Anderson-Hsiao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>
              <w:rPr>
                <w:b/>
                <w:sz w:val="18"/>
              </w:rPr>
              <w:t>Mean Group (MG)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>
              <w:rPr>
                <w:b/>
                <w:sz w:val="18"/>
              </w:rPr>
              <w:t>CCEMG</w:t>
            </w:r>
          </w:p>
        </w:tc>
      </w:tr>
      <w:tr>
        <w:tc>
          <w:tcPr>
            <w:tcW w:type="dxa" w:w="1234"/>
          </w:tcPr>
          <w:p>
            <w:r>
              <w:t>ln(GSYİH pc)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0.184**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0.115*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0.135**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-0.460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(0.092)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(0.063)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(0.063)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(0.123)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(0.616)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(0.584)</w:t>
            </w:r>
          </w:p>
        </w:tc>
      </w:tr>
      <w:tr>
        <w:tc>
          <w:tcPr>
            <w:tcW w:type="dxa" w:w="1234"/>
          </w:tcPr>
          <w:p>
            <w:r>
              <w:t>ln(GSYİH pc)²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-0.075***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-0.100***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-0.094***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0.109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(0.018)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(0.018)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(0.017)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(0.022)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(0.165)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(0.169)</w:t>
            </w:r>
          </w:p>
        </w:tc>
      </w:tr>
      <w:tr>
        <w:tc>
          <w:tcPr>
            <w:tcW w:type="dxa" w:w="1234"/>
          </w:tcPr>
          <w:p>
            <w:r>
              <w:t>ln(Enerji pc)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0.786***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0.627***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0.669***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0.835***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1.123***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(0.077)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(0.069)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(0.068)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(0.126)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(0.253)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(0.284)</w:t>
            </w:r>
          </w:p>
        </w:tc>
      </w:tr>
      <w:tr>
        <w:tc>
          <w:tcPr>
            <w:tcW w:type="dxa" w:w="1234"/>
          </w:tcPr>
          <w:p>
            <w:r>
              <w:t>Enerji yoğunluğu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0.045*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-0.005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-0.360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(0.026)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(0.016)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(0.016)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(0.053)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(0.356)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(0.333)</w:t>
            </w:r>
          </w:p>
        </w:tc>
      </w:tr>
      <w:tr>
        <w:tc>
          <w:tcPr>
            <w:tcW w:type="dxa" w:w="1234"/>
          </w:tcPr>
          <w:p>
            <w:r>
              <w:t>Gecikmeli bağımlı (ρ)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0.881***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(0.129)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t>Gözlem (N)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5,360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5,360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5,360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5,032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5,360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5,360</w:t>
            </w:r>
          </w:p>
        </w:tc>
      </w:tr>
      <w:tr>
        <w:tc>
          <w:tcPr>
            <w:tcW w:type="dxa" w:w="1234"/>
          </w:tcPr>
          <w:p>
            <w:r>
              <w:t>Ülke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</w:tr>
      <w:tr>
        <w:tc>
          <w:tcPr>
            <w:tcW w:type="dxa" w:w="1234"/>
          </w:tcPr>
          <w:p>
            <w:r>
              <w:t>R² / within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r>
        <w:rPr>
          <w:b/>
          <w:sz w:val="16"/>
        </w:rPr>
        <w:t xml:space="preserve">Not: </w:t>
      </w:r>
      <w:r>
        <w:rPr>
          <w:sz w:val="16"/>
        </w:rPr>
        <w:t>Parantez içinde standart hatalar. ***p&lt;0.01, **p&lt;0.05, *p&lt;0.10. Pooled/FE/RE ülke düzeyinde kümelenmiş SE; FE ayrıca Driscoll-Kraay ile tahmin edilmiştir. Anderson-Hsiao birinci farklarda IV (kısa dönem). CCEMG yatay kesit bağımlılığına dayanıklıdır. Gelir terimleri mean-centered.</w:t>
      </w:r>
    </w:p>
    <w:p>
      <w:pPr>
        <w:pStyle w:val="Heading2"/>
      </w:pPr>
      <w:r>
        <w:t>Tablo 2. Tanı testleri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8"/>
              </w:rPr>
              <w:t>İstatistik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  <w:sz w:val="18"/>
              </w:rPr>
              <w:t>Sonuç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Pesaran CD (yatay kesit bağımlılığı)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37.19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Bağımlılık var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Hausman (FE vs 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 tercih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Panel birim kök — ln_co2_pc (düzey, Fisher)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χ²=472.8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Durağan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Panel birim kök — ln_co2_pc (1. fark)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χ²=3396.2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Durağan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