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Transmission of Green Transition Shocks to Domestic Inflation: Findings</w:t>
      </w:r>
    </w:p>
    <w:p>
      <w:pPr>
        <w:pStyle w:val="Heading1"/>
      </w:pPr>
      <w:r>
        <w:t>1. Descriptive Statistics</w:t>
      </w:r>
    </w:p>
    <w:p>
      <w:r>
        <w:t>Table 1 presents the descriptive statistics for the core variables used in our dynamic panel and machine learning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Variable</w:t>
            </w:r>
          </w:p>
        </w:tc>
        <w:tc>
          <w:tcPr>
            <w:tcW w:type="dxa" w:w="1234"/>
          </w:tcPr>
          <w:p>
            <w:r>
              <w:t>Inflation_Rate</w:t>
            </w:r>
          </w:p>
        </w:tc>
        <w:tc>
          <w:tcPr>
            <w:tcW w:type="dxa" w:w="1234"/>
          </w:tcPr>
          <w:p>
            <w:r>
              <w:t>Inflation_Lag1</w:t>
            </w:r>
          </w:p>
        </w:tc>
        <w:tc>
          <w:tcPr>
            <w:tcW w:type="dxa" w:w="1234"/>
          </w:tcPr>
          <w:p>
            <w:r>
              <w:t>CO2_Emissions_PC</w:t>
            </w:r>
          </w:p>
        </w:tc>
        <w:tc>
          <w:tcPr>
            <w:tcW w:type="dxa" w:w="1234"/>
          </w:tcPr>
          <w:p>
            <w:r>
              <w:t>GDP_Growth</w:t>
            </w:r>
          </w:p>
        </w:tc>
        <w:tc>
          <w:tcPr>
            <w:tcW w:type="dxa" w:w="1234"/>
          </w:tcPr>
          <w:p>
            <w:r>
              <w:t>Trade_Openness</w:t>
            </w:r>
          </w:p>
        </w:tc>
        <w:tc>
          <w:tcPr>
            <w:tcW w:type="dxa" w:w="1234"/>
          </w:tcPr>
          <w:p>
            <w:r>
              <w:t>Real_Interest_Rate</w:t>
            </w:r>
          </w:p>
        </w:tc>
      </w:tr>
      <w:tr>
        <w:tc>
          <w:tcPr>
            <w:tcW w:type="dxa" w:w="1234"/>
          </w:tcPr>
          <w:p>
            <w:r>
              <w:t>count</w:t>
            </w:r>
          </w:p>
        </w:tc>
        <w:tc>
          <w:tcPr>
            <w:tcW w:type="dxa" w:w="1234"/>
          </w:tcPr>
          <w:p>
            <w:r>
              <w:t>1600.0</w:t>
            </w:r>
          </w:p>
        </w:tc>
        <w:tc>
          <w:tcPr>
            <w:tcW w:type="dxa" w:w="1234"/>
          </w:tcPr>
          <w:p>
            <w:r>
              <w:t>1600.0</w:t>
            </w:r>
          </w:p>
        </w:tc>
        <w:tc>
          <w:tcPr>
            <w:tcW w:type="dxa" w:w="1234"/>
          </w:tcPr>
          <w:p>
            <w:r>
              <w:t>1600.0</w:t>
            </w:r>
          </w:p>
        </w:tc>
        <w:tc>
          <w:tcPr>
            <w:tcW w:type="dxa" w:w="1234"/>
          </w:tcPr>
          <w:p>
            <w:r>
              <w:t>1600.0</w:t>
            </w:r>
          </w:p>
        </w:tc>
        <w:tc>
          <w:tcPr>
            <w:tcW w:type="dxa" w:w="1234"/>
          </w:tcPr>
          <w:p>
            <w:r>
              <w:t>1600.0</w:t>
            </w:r>
          </w:p>
        </w:tc>
        <w:tc>
          <w:tcPr>
            <w:tcW w:type="dxa" w:w="1234"/>
          </w:tcPr>
          <w:p>
            <w:r>
              <w:t>1600.0</w:t>
            </w:r>
          </w:p>
        </w:tc>
      </w:tr>
      <w:tr>
        <w:tc>
          <w:tcPr>
            <w:tcW w:type="dxa" w:w="1234"/>
          </w:tcPr>
          <w:p>
            <w:r>
              <w:t>mean</w:t>
            </w:r>
          </w:p>
        </w:tc>
        <w:tc>
          <w:tcPr>
            <w:tcW w:type="dxa" w:w="1234"/>
          </w:tcPr>
          <w:p>
            <w:r>
              <w:t>14.308</w:t>
            </w:r>
          </w:p>
        </w:tc>
        <w:tc>
          <w:tcPr>
            <w:tcW w:type="dxa" w:w="1234"/>
          </w:tcPr>
          <w:p>
            <w:r>
              <w:t>14.125</w:t>
            </w:r>
          </w:p>
        </w:tc>
        <w:tc>
          <w:tcPr>
            <w:tcW w:type="dxa" w:w="1234"/>
          </w:tcPr>
          <w:p>
            <w:r>
              <w:t>4.99</w:t>
            </w:r>
          </w:p>
        </w:tc>
        <w:tc>
          <w:tcPr>
            <w:tcW w:type="dxa" w:w="1234"/>
          </w:tcPr>
          <w:p>
            <w:r>
              <w:t>3.118</w:t>
            </w:r>
          </w:p>
        </w:tc>
        <w:tc>
          <w:tcPr>
            <w:tcW w:type="dxa" w:w="1234"/>
          </w:tcPr>
          <w:p>
            <w:r>
              <w:t>59.424</w:t>
            </w:r>
          </w:p>
        </w:tc>
        <w:tc>
          <w:tcPr>
            <w:tcW w:type="dxa" w:w="1234"/>
          </w:tcPr>
          <w:p>
            <w:r>
              <w:t>1.843</w:t>
            </w:r>
          </w:p>
        </w:tc>
      </w:tr>
      <w:tr>
        <w:tc>
          <w:tcPr>
            <w:tcW w:type="dxa" w:w="1234"/>
          </w:tcPr>
          <w:p>
            <w:r>
              <w:t>std</w:t>
            </w:r>
          </w:p>
        </w:tc>
        <w:tc>
          <w:tcPr>
            <w:tcW w:type="dxa" w:w="1234"/>
          </w:tcPr>
          <w:p>
            <w:r>
              <w:t>2.906</w:t>
            </w:r>
          </w:p>
        </w:tc>
        <w:tc>
          <w:tcPr>
            <w:tcW w:type="dxa" w:w="1234"/>
          </w:tcPr>
          <w:p>
            <w:r>
              <w:t>3.032</w:t>
            </w:r>
          </w:p>
        </w:tc>
        <w:tc>
          <w:tcPr>
            <w:tcW w:type="dxa" w:w="1234"/>
          </w:tcPr>
          <w:p>
            <w:r>
              <w:t>1.497</w:t>
            </w:r>
          </w:p>
        </w:tc>
        <w:tc>
          <w:tcPr>
            <w:tcW w:type="dxa" w:w="1234"/>
          </w:tcPr>
          <w:p>
            <w:r>
              <w:t>2.501</w:t>
            </w:r>
          </w:p>
        </w:tc>
        <w:tc>
          <w:tcPr>
            <w:tcW w:type="dxa" w:w="1234"/>
          </w:tcPr>
          <w:p>
            <w:r>
              <w:t>23.134</w:t>
            </w:r>
          </w:p>
        </w:tc>
        <w:tc>
          <w:tcPr>
            <w:tcW w:type="dxa" w:w="1234"/>
          </w:tcPr>
          <w:p>
            <w:r>
              <w:t>2.069</w:t>
            </w:r>
          </w:p>
        </w:tc>
      </w:tr>
      <w:tr>
        <w:tc>
          <w:tcPr>
            <w:tcW w:type="dxa" w:w="1234"/>
          </w:tcPr>
          <w:p>
            <w:r>
              <w:t>min</w:t>
            </w:r>
          </w:p>
        </w:tc>
        <w:tc>
          <w:tcPr>
            <w:tcW w:type="dxa" w:w="1234"/>
          </w:tcPr>
          <w:p>
            <w:r>
              <w:t>5.832</w:t>
            </w:r>
          </w:p>
        </w:tc>
        <w:tc>
          <w:tcPr>
            <w:tcW w:type="dxa" w:w="1234"/>
          </w:tcPr>
          <w:p>
            <w:r>
              <w:t>3.564</w:t>
            </w:r>
          </w:p>
        </w:tc>
        <w:tc>
          <w:tcPr>
            <w:tcW w:type="dxa" w:w="1234"/>
          </w:tcPr>
          <w:p>
            <w:r>
              <w:t>0.513</w:t>
            </w:r>
          </w:p>
        </w:tc>
        <w:tc>
          <w:tcPr>
            <w:tcW w:type="dxa" w:w="1234"/>
          </w:tcPr>
          <w:p>
            <w:r>
              <w:t>-4.678</w:t>
            </w:r>
          </w:p>
        </w:tc>
        <w:tc>
          <w:tcPr>
            <w:tcW w:type="dxa" w:w="1234"/>
          </w:tcPr>
          <w:p>
            <w:r>
              <w:t>20.011</w:t>
            </w:r>
          </w:p>
        </w:tc>
        <w:tc>
          <w:tcPr>
            <w:tcW w:type="dxa" w:w="1234"/>
          </w:tcPr>
          <w:p>
            <w:r>
              <w:t>-4.442</w:t>
            </w:r>
          </w:p>
        </w:tc>
      </w:tr>
      <w:tr>
        <w:tc>
          <w:tcPr>
            <w:tcW w:type="dxa" w:w="1234"/>
          </w:tcPr>
          <w:p>
            <w:r>
              <w:t>25%</w:t>
            </w:r>
          </w:p>
        </w:tc>
        <w:tc>
          <w:tcPr>
            <w:tcW w:type="dxa" w:w="1234"/>
          </w:tcPr>
          <w:p>
            <w:r>
              <w:t>12.359</w:t>
            </w:r>
          </w:p>
        </w:tc>
        <w:tc>
          <w:tcPr>
            <w:tcW w:type="dxa" w:w="1234"/>
          </w:tcPr>
          <w:p>
            <w:r>
              <w:t>12.193</w:t>
            </w:r>
          </w:p>
        </w:tc>
        <w:tc>
          <w:tcPr>
            <w:tcW w:type="dxa" w:w="1234"/>
          </w:tcPr>
          <w:p>
            <w:r>
              <w:t>3.93</w:t>
            </w:r>
          </w:p>
        </w:tc>
        <w:tc>
          <w:tcPr>
            <w:tcW w:type="dxa" w:w="1234"/>
          </w:tcPr>
          <w:p>
            <w:r>
              <w:t>1.398</w:t>
            </w:r>
          </w:p>
        </w:tc>
        <w:tc>
          <w:tcPr>
            <w:tcW w:type="dxa" w:w="1234"/>
          </w:tcPr>
          <w:p>
            <w:r>
              <w:t>39.72</w:t>
            </w:r>
          </w:p>
        </w:tc>
        <w:tc>
          <w:tcPr>
            <w:tcW w:type="dxa" w:w="1234"/>
          </w:tcPr>
          <w:p>
            <w:r>
              <w:t>0.472</w:t>
            </w:r>
          </w:p>
        </w:tc>
      </w:tr>
      <w:tr>
        <w:tc>
          <w:tcPr>
            <w:tcW w:type="dxa" w:w="1234"/>
          </w:tcPr>
          <w:p>
            <w:r>
              <w:t>50%</w:t>
            </w:r>
          </w:p>
        </w:tc>
        <w:tc>
          <w:tcPr>
            <w:tcW w:type="dxa" w:w="1234"/>
          </w:tcPr>
          <w:p>
            <w:r>
              <w:t>14.222</w:t>
            </w:r>
          </w:p>
        </w:tc>
        <w:tc>
          <w:tcPr>
            <w:tcW w:type="dxa" w:w="1234"/>
          </w:tcPr>
          <w:p>
            <w:r>
              <w:t>14.089</w:t>
            </w:r>
          </w:p>
        </w:tc>
        <w:tc>
          <w:tcPr>
            <w:tcW w:type="dxa" w:w="1234"/>
          </w:tcPr>
          <w:p>
            <w:r>
              <w:t>5.024</w:t>
            </w:r>
          </w:p>
        </w:tc>
        <w:tc>
          <w:tcPr>
            <w:tcW w:type="dxa" w:w="1234"/>
          </w:tcPr>
          <w:p>
            <w:r>
              <w:t>3.055</w:t>
            </w:r>
          </w:p>
        </w:tc>
        <w:tc>
          <w:tcPr>
            <w:tcW w:type="dxa" w:w="1234"/>
          </w:tcPr>
          <w:p>
            <w:r>
              <w:t>58.782</w:t>
            </w:r>
          </w:p>
        </w:tc>
        <w:tc>
          <w:tcPr>
            <w:tcW w:type="dxa" w:w="1234"/>
          </w:tcPr>
          <w:p>
            <w:r>
              <w:t>1.814</w:t>
            </w:r>
          </w:p>
        </w:tc>
      </w:tr>
      <w:tr>
        <w:tc>
          <w:tcPr>
            <w:tcW w:type="dxa" w:w="1234"/>
          </w:tcPr>
          <w:p>
            <w:r>
              <w:t>75%</w:t>
            </w:r>
          </w:p>
        </w:tc>
        <w:tc>
          <w:tcPr>
            <w:tcW w:type="dxa" w:w="1234"/>
          </w:tcPr>
          <w:p>
            <w:r>
              <w:t>16.269</w:t>
            </w:r>
          </w:p>
        </w:tc>
        <w:tc>
          <w:tcPr>
            <w:tcW w:type="dxa" w:w="1234"/>
          </w:tcPr>
          <w:p>
            <w:r>
              <w:t>16.146</w:t>
            </w:r>
          </w:p>
        </w:tc>
        <w:tc>
          <w:tcPr>
            <w:tcW w:type="dxa" w:w="1234"/>
          </w:tcPr>
          <w:p>
            <w:r>
              <w:t>5.995</w:t>
            </w:r>
          </w:p>
        </w:tc>
        <w:tc>
          <w:tcPr>
            <w:tcW w:type="dxa" w:w="1234"/>
          </w:tcPr>
          <w:p>
            <w:r>
              <w:t>4.825</w:t>
            </w:r>
          </w:p>
        </w:tc>
        <w:tc>
          <w:tcPr>
            <w:tcW w:type="dxa" w:w="1234"/>
          </w:tcPr>
          <w:p>
            <w:r>
              <w:t>79.907</w:t>
            </w:r>
          </w:p>
        </w:tc>
        <w:tc>
          <w:tcPr>
            <w:tcW w:type="dxa" w:w="1234"/>
          </w:tcPr>
          <w:p>
            <w:r>
              <w:t>3.24</w:t>
            </w:r>
          </w:p>
        </w:tc>
      </w:tr>
      <w:tr>
        <w:tc>
          <w:tcPr>
            <w:tcW w:type="dxa" w:w="1234"/>
          </w:tcPr>
          <w:p>
            <w:r>
              <w:t>max</w:t>
            </w:r>
          </w:p>
        </w:tc>
        <w:tc>
          <w:tcPr>
            <w:tcW w:type="dxa" w:w="1234"/>
          </w:tcPr>
          <w:p>
            <w:r>
              <w:t>24.153</w:t>
            </w:r>
          </w:p>
        </w:tc>
        <w:tc>
          <w:tcPr>
            <w:tcW w:type="dxa" w:w="1234"/>
          </w:tcPr>
          <w:p>
            <w:r>
              <w:t>24.153</w:t>
            </w:r>
          </w:p>
        </w:tc>
        <w:tc>
          <w:tcPr>
            <w:tcW w:type="dxa" w:w="1234"/>
          </w:tcPr>
          <w:p>
            <w:r>
              <w:t>9.79</w:t>
            </w:r>
          </w:p>
        </w:tc>
        <w:tc>
          <w:tcPr>
            <w:tcW w:type="dxa" w:w="1234"/>
          </w:tcPr>
          <w:p>
            <w:r>
              <w:t>11.431</w:t>
            </w:r>
          </w:p>
        </w:tc>
        <w:tc>
          <w:tcPr>
            <w:tcW w:type="dxa" w:w="1234"/>
          </w:tcPr>
          <w:p>
            <w:r>
              <w:t>99.948</w:t>
            </w:r>
          </w:p>
        </w:tc>
        <w:tc>
          <w:tcPr>
            <w:tcW w:type="dxa" w:w="1234"/>
          </w:tcPr>
          <w:p>
            <w:r>
              <w:t>8.18</w:t>
            </w:r>
          </w:p>
        </w:tc>
      </w:tr>
    </w:tbl>
    <w:p>
      <w:pPr>
        <w:pStyle w:val="Heading1"/>
      </w:pPr>
      <w:r>
        <w:t>2. Dynamic Panel Data Analysis</w:t>
      </w:r>
    </w:p>
    <w:p>
      <w:r>
        <w:t>Table 2 shows the Fixed Effects estimation capturing the unobserved heterogeneity across countries.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Predictor</w:t>
            </w:r>
          </w:p>
        </w:tc>
        <w:tc>
          <w:tcPr>
            <w:tcW w:type="dxa" w:w="1234"/>
          </w:tcPr>
          <w:p>
            <w:r>
              <w:t>Parameter</w:t>
            </w:r>
          </w:p>
        </w:tc>
        <w:tc>
          <w:tcPr>
            <w:tcW w:type="dxa" w:w="1234"/>
          </w:tcPr>
          <w:p>
            <w:r>
              <w:t>Std. Err.</w:t>
            </w:r>
          </w:p>
        </w:tc>
        <w:tc>
          <w:tcPr>
            <w:tcW w:type="dxa" w:w="1234"/>
          </w:tcPr>
          <w:p>
            <w:r>
              <w:t>T-stat</w:t>
            </w:r>
          </w:p>
        </w:tc>
        <w:tc>
          <w:tcPr>
            <w:tcW w:type="dxa" w:w="1234"/>
          </w:tcPr>
          <w:p>
            <w:r>
              <w:t>P-value</w:t>
            </w:r>
          </w:p>
        </w:tc>
        <w:tc>
          <w:tcPr>
            <w:tcW w:type="dxa" w:w="1234"/>
          </w:tcPr>
          <w:p>
            <w:r>
              <w:t>Lower CI</w:t>
            </w:r>
          </w:p>
        </w:tc>
        <w:tc>
          <w:tcPr>
            <w:tcW w:type="dxa" w:w="1234"/>
          </w:tcPr>
          <w:p>
            <w:r>
              <w:t>Upper CI</w:t>
            </w:r>
          </w:p>
        </w:tc>
      </w:tr>
      <w:tr>
        <w:tc>
          <w:tcPr>
            <w:tcW w:type="dxa" w:w="1234"/>
          </w:tcPr>
          <w:p>
            <w:r>
              <w:t>const</w:t>
            </w:r>
          </w:p>
        </w:tc>
        <w:tc>
          <w:tcPr>
            <w:tcW w:type="dxa" w:w="1234"/>
          </w:tcPr>
          <w:p>
            <w:r>
              <w:t>0.7232</w:t>
            </w:r>
          </w:p>
        </w:tc>
        <w:tc>
          <w:tcPr>
            <w:tcW w:type="dxa" w:w="1234"/>
          </w:tcPr>
          <w:p>
            <w:r>
              <w:t>0.258</w:t>
            </w:r>
          </w:p>
        </w:tc>
        <w:tc>
          <w:tcPr>
            <w:tcW w:type="dxa" w:w="1234"/>
          </w:tcPr>
          <w:p>
            <w:r>
              <w:t>2.8032</w:t>
            </w:r>
          </w:p>
        </w:tc>
        <w:tc>
          <w:tcPr>
            <w:tcW w:type="dxa" w:w="1234"/>
          </w:tcPr>
          <w:p>
            <w:r>
              <w:t>0.0051</w:t>
            </w:r>
          </w:p>
        </w:tc>
        <w:tc>
          <w:tcPr>
            <w:tcW w:type="dxa" w:w="1234"/>
          </w:tcPr>
          <w:p>
            <w:r>
              <w:t>0.2172</w:t>
            </w:r>
          </w:p>
        </w:tc>
        <w:tc>
          <w:tcPr>
            <w:tcW w:type="dxa" w:w="1234"/>
          </w:tcPr>
          <w:p>
            <w:r>
              <w:t>1.2293</w:t>
            </w:r>
          </w:p>
        </w:tc>
      </w:tr>
      <w:tr>
        <w:tc>
          <w:tcPr>
            <w:tcW w:type="dxa" w:w="1234"/>
          </w:tcPr>
          <w:p>
            <w:r>
              <w:t>Inflation_Lag1</w:t>
            </w:r>
          </w:p>
        </w:tc>
        <w:tc>
          <w:tcPr>
            <w:tcW w:type="dxa" w:w="1234"/>
          </w:tcPr>
          <w:p>
            <w:r>
              <w:t>0.5617</w:t>
            </w:r>
          </w:p>
        </w:tc>
        <w:tc>
          <w:tcPr>
            <w:tcW w:type="dxa" w:w="1234"/>
          </w:tcPr>
          <w:p>
            <w:r>
              <w:t>0.0133</w:t>
            </w:r>
          </w:p>
        </w:tc>
        <w:tc>
          <w:tcPr>
            <w:tcW w:type="dxa" w:w="1234"/>
          </w:tcPr>
          <w:p>
            <w:r>
              <w:t>42.331</w:t>
            </w:r>
          </w:p>
        </w:tc>
        <w:tc>
          <w:tcPr>
            <w:tcW w:type="dxa" w:w="1234"/>
          </w:tcPr>
          <w:p>
            <w:r>
              <w:t>0.0</w:t>
            </w:r>
          </w:p>
        </w:tc>
        <w:tc>
          <w:tcPr>
            <w:tcW w:type="dxa" w:w="1234"/>
          </w:tcPr>
          <w:p>
            <w:r>
              <w:t>0.5357</w:t>
            </w:r>
          </w:p>
        </w:tc>
        <w:tc>
          <w:tcPr>
            <w:tcW w:type="dxa" w:w="1234"/>
          </w:tcPr>
          <w:p>
            <w:r>
              <w:t>0.5878</w:t>
            </w:r>
          </w:p>
        </w:tc>
      </w:tr>
      <w:tr>
        <w:tc>
          <w:tcPr>
            <w:tcW w:type="dxa" w:w="1234"/>
          </w:tcPr>
          <w:p>
            <w:r>
              <w:t>CO2_Emissions_PC</w:t>
            </w:r>
          </w:p>
        </w:tc>
        <w:tc>
          <w:tcPr>
            <w:tcW w:type="dxa" w:w="1234"/>
          </w:tcPr>
          <w:p>
            <w:r>
              <w:t>0.7588</w:t>
            </w:r>
          </w:p>
        </w:tc>
        <w:tc>
          <w:tcPr>
            <w:tcW w:type="dxa" w:w="1234"/>
          </w:tcPr>
          <w:p>
            <w:r>
              <w:t>0.0254</w:t>
            </w:r>
          </w:p>
        </w:tc>
        <w:tc>
          <w:tcPr>
            <w:tcW w:type="dxa" w:w="1234"/>
          </w:tcPr>
          <w:p>
            <w:r>
              <w:t>29.913</w:t>
            </w:r>
          </w:p>
        </w:tc>
        <w:tc>
          <w:tcPr>
            <w:tcW w:type="dxa" w:w="1234"/>
          </w:tcPr>
          <w:p>
            <w:r>
              <w:t>0.0</w:t>
            </w:r>
          </w:p>
        </w:tc>
        <w:tc>
          <w:tcPr>
            <w:tcW w:type="dxa" w:w="1234"/>
          </w:tcPr>
          <w:p>
            <w:r>
              <w:t>0.709</w:t>
            </w:r>
          </w:p>
        </w:tc>
        <w:tc>
          <w:tcPr>
            <w:tcW w:type="dxa" w:w="1234"/>
          </w:tcPr>
          <w:p>
            <w:r>
              <w:t>0.8085</w:t>
            </w:r>
          </w:p>
        </w:tc>
      </w:tr>
      <w:tr>
        <w:tc>
          <w:tcPr>
            <w:tcW w:type="dxa" w:w="1234"/>
          </w:tcPr>
          <w:p>
            <w:r>
              <w:t>GDP_Growth</w:t>
            </w:r>
          </w:p>
        </w:tc>
        <w:tc>
          <w:tcPr>
            <w:tcW w:type="dxa" w:w="1234"/>
          </w:tcPr>
          <w:p>
            <w:r>
              <w:t>-0.17</w:t>
            </w:r>
          </w:p>
        </w:tc>
        <w:tc>
          <w:tcPr>
            <w:tcW w:type="dxa" w:w="1234"/>
          </w:tcPr>
          <w:p>
            <w:r>
              <w:t>0.0152</w:t>
            </w:r>
          </w:p>
        </w:tc>
        <w:tc>
          <w:tcPr>
            <w:tcW w:type="dxa" w:w="1234"/>
          </w:tcPr>
          <w:p>
            <w:r>
              <w:t>-11.16</w:t>
            </w:r>
          </w:p>
        </w:tc>
        <w:tc>
          <w:tcPr>
            <w:tcW w:type="dxa" w:w="1234"/>
          </w:tcPr>
          <w:p>
            <w:r>
              <w:t>0.0</w:t>
            </w:r>
          </w:p>
        </w:tc>
        <w:tc>
          <w:tcPr>
            <w:tcW w:type="dxa" w:w="1234"/>
          </w:tcPr>
          <w:p>
            <w:r>
              <w:t>-0.1999</w:t>
            </w:r>
          </w:p>
        </w:tc>
        <w:tc>
          <w:tcPr>
            <w:tcW w:type="dxa" w:w="1234"/>
          </w:tcPr>
          <w:p>
            <w:r>
              <w:t>-0.1401</w:t>
            </w:r>
          </w:p>
        </w:tc>
      </w:tr>
      <w:tr>
        <w:tc>
          <w:tcPr>
            <w:tcW w:type="dxa" w:w="1234"/>
          </w:tcPr>
          <w:p>
            <w:r>
              <w:t>Trade_Openness</w:t>
            </w:r>
          </w:p>
        </w:tc>
        <w:tc>
          <w:tcPr>
            <w:tcW w:type="dxa" w:w="1234"/>
          </w:tcPr>
          <w:p>
            <w:r>
              <w:t>0.0495</w:t>
            </w:r>
          </w:p>
        </w:tc>
        <w:tc>
          <w:tcPr>
            <w:tcW w:type="dxa" w:w="1234"/>
          </w:tcPr>
          <w:p>
            <w:r>
              <w:t>0.0017</w:t>
            </w:r>
          </w:p>
        </w:tc>
        <w:tc>
          <w:tcPr>
            <w:tcW w:type="dxa" w:w="1234"/>
          </w:tcPr>
          <w:p>
            <w:r>
              <w:t>28.92</w:t>
            </w:r>
          </w:p>
        </w:tc>
        <w:tc>
          <w:tcPr>
            <w:tcW w:type="dxa" w:w="1234"/>
          </w:tcPr>
          <w:p>
            <w:r>
              <w:t>0.0</w:t>
            </w:r>
          </w:p>
        </w:tc>
        <w:tc>
          <w:tcPr>
            <w:tcW w:type="dxa" w:w="1234"/>
          </w:tcPr>
          <w:p>
            <w:r>
              <w:t>0.0461</w:t>
            </w:r>
          </w:p>
        </w:tc>
        <w:tc>
          <w:tcPr>
            <w:tcW w:type="dxa" w:w="1234"/>
          </w:tcPr>
          <w:p>
            <w:r>
              <w:t>0.0528</w:t>
            </w:r>
          </w:p>
        </w:tc>
      </w:tr>
      <w:tr>
        <w:tc>
          <w:tcPr>
            <w:tcW w:type="dxa" w:w="1234"/>
          </w:tcPr>
          <w:p>
            <w:r>
              <w:t>Real_Interest_Rate</w:t>
            </w:r>
          </w:p>
        </w:tc>
        <w:tc>
          <w:tcPr>
            <w:tcW w:type="dxa" w:w="1234"/>
          </w:tcPr>
          <w:p>
            <w:r>
              <w:t>-0.2962</w:t>
            </w:r>
          </w:p>
        </w:tc>
        <w:tc>
          <w:tcPr>
            <w:tcW w:type="dxa" w:w="1234"/>
          </w:tcPr>
          <w:p>
            <w:r>
              <w:t>0.0179</w:t>
            </w:r>
          </w:p>
        </w:tc>
        <w:tc>
          <w:tcPr>
            <w:tcW w:type="dxa" w:w="1234"/>
          </w:tcPr>
          <w:p>
            <w:r>
              <w:t>-16.562</w:t>
            </w:r>
          </w:p>
        </w:tc>
        <w:tc>
          <w:tcPr>
            <w:tcW w:type="dxa" w:w="1234"/>
          </w:tcPr>
          <w:p>
            <w:r>
              <w:t>0.0</w:t>
            </w:r>
          </w:p>
        </w:tc>
        <w:tc>
          <w:tcPr>
            <w:tcW w:type="dxa" w:w="1234"/>
          </w:tcPr>
          <w:p>
            <w:r>
              <w:t>-0.3312</w:t>
            </w:r>
          </w:p>
        </w:tc>
        <w:tc>
          <w:tcPr>
            <w:tcW w:type="dxa" w:w="1234"/>
          </w:tcPr>
          <w:p>
            <w:r>
              <w:t>-0.2611</w:t>
            </w:r>
          </w:p>
        </w:tc>
      </w:tr>
    </w:tbl>
    <w:p>
      <w:r>
        <w:t>R-squared for FE Model: 0.7131</w:t>
      </w:r>
    </w:p>
    <w:p>
      <w:pPr>
        <w:pStyle w:val="Heading1"/>
      </w:pPr>
      <w:r>
        <w:t>3. Machine Learning (XGBoost) Findings</w:t>
      </w:r>
    </w:p>
    <w:p>
      <w:r>
        <w:t>The predictive modeling utilizing XGBoost yielded an out-of-sample Test R-squared of 0.6809 and Test RMSE of 1.7339. The relative importance of CO2_Emissions_PC indicates its substantial role as an inflationary shock transmission mechanism.</w:t>
      </w:r>
    </w:p>
    <w:p>
      <w:pPr>
        <w:pStyle w:val="Heading2"/>
      </w:pPr>
      <w:r>
        <w:t>Feature Importance Plot</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486400" cy="4114800"/>
                    </a:xfrm>
                    <a:prstGeom prst="rect"/>
                  </pic:spPr>
                </pic:pic>
              </a:graphicData>
            </a:graphic>
          </wp:inline>
        </w:drawing>
      </w:r>
    </w:p>
    <w:p>
      <w:pPr>
        <w:pStyle w:val="Heading2"/>
      </w:pPr>
      <w:r>
        <w:t>Scatter Plot: CO2 Emissions vs Inflation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catter_co2_inflation.png"/>
                    <pic:cNvPicPr/>
                  </pic:nvPicPr>
                  <pic:blipFill>
                    <a:blip r:embed="rId10"/>
                    <a:stretch>
                      <a:fillRect/>
                    </a:stretch>
                  </pic:blipFill>
                  <pic:spPr>
                    <a:xfrm>
                      <a:off x="0" y="0"/>
                      <a:ext cx="5486400" cy="4114800"/>
                    </a:xfrm>
                    <a:prstGeom prst="rect"/>
                  </pic:spPr>
                </pic:pic>
              </a:graphicData>
            </a:graphic>
          </wp:inline>
        </w:drawing>
      </w:r>
    </w:p>
    <w:p>
      <w:pPr>
        <w:pStyle w:val="Heading1"/>
      </w:pPr>
      <w:r>
        <w:t>4. Advanced XGBoost &amp; SHAP Diagnostics</w:t>
      </w:r>
    </w:p>
    <w:p>
      <w:r>
        <w:t>To further dissect the non-linear relationship and the magnitude of the green transition shock, we employ SHAP (SHapley Additive exPlanations) values. The summary plot below demonstrates the directional impact of each feature, while the dependence plot isolates the effect of CO2 emissions on domestic inflation.</w:t>
      </w:r>
    </w:p>
    <w:p>
      <w:pPr>
        <w:pStyle w:val="Heading2"/>
      </w:pPr>
      <w:r>
        <w:t>SHAP Summary Plot</w:t>
      </w:r>
    </w:p>
    <w:p>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shap_summary.png"/>
                    <pic:cNvPicPr/>
                  </pic:nvPicPr>
                  <pic:blipFill>
                    <a:blip r:embed="rId11"/>
                    <a:stretch>
                      <a:fillRect/>
                    </a:stretch>
                  </pic:blipFill>
                  <pic:spPr>
                    <a:xfrm>
                      <a:off x="0" y="0"/>
                      <a:ext cx="5486400" cy="2438400"/>
                    </a:xfrm>
                    <a:prstGeom prst="rect"/>
                  </pic:spPr>
                </pic:pic>
              </a:graphicData>
            </a:graphic>
          </wp:inline>
        </w:drawing>
      </w:r>
    </w:p>
    <w:p>
      <w:pPr>
        <w:pStyle w:val="Heading2"/>
      </w:pPr>
      <w:r>
        <w:t>SHAP Dependence Plot (CO2 Emissions)</w:t>
      </w:r>
    </w:p>
    <w:p>
      <w:r>
        <w:drawing>
          <wp:inline xmlns:a="http://schemas.openxmlformats.org/drawingml/2006/main" xmlns:pic="http://schemas.openxmlformats.org/drawingml/2006/picture">
            <wp:extent cx="5486400" cy="4547203"/>
            <wp:docPr id="4" name="Picture 4"/>
            <wp:cNvGraphicFramePr>
              <a:graphicFrameLocks noChangeAspect="1"/>
            </wp:cNvGraphicFramePr>
            <a:graphic>
              <a:graphicData uri="http://schemas.openxmlformats.org/drawingml/2006/picture">
                <pic:pic>
                  <pic:nvPicPr>
                    <pic:cNvPr id="0" name="shap_dependence_co2.png"/>
                    <pic:cNvPicPr/>
                  </pic:nvPicPr>
                  <pic:blipFill>
                    <a:blip r:embed="rId12"/>
                    <a:stretch>
                      <a:fillRect/>
                    </a:stretch>
                  </pic:blipFill>
                  <pic:spPr>
                    <a:xfrm>
                      <a:off x="0" y="0"/>
                      <a:ext cx="5486400" cy="4547203"/>
                    </a:xfrm>
                    <a:prstGeom prst="rect"/>
                  </pic:spPr>
                </pic:pic>
              </a:graphicData>
            </a:graphic>
          </wp:inline>
        </w:drawing>
      </w:r>
    </w:p>
    <w:p>
      <w:pPr>
        <w:pStyle w:val="Heading1"/>
      </w:pPr>
      <w:r>
        <w:t>5. Panel Data Visualization</w:t>
      </w:r>
    </w:p>
    <w:p>
      <w:r>
        <w:t>The structural dynamics of the panel data are visualized through macro trends over time and cross-sectional heterogeneity.</w:t>
      </w:r>
    </w:p>
    <w:p>
      <w:pPr>
        <w:pStyle w:val="Heading2"/>
      </w:pPr>
      <w:r>
        <w:t>Macro Trend: Global Average Inflation and CO2</w:t>
      </w:r>
    </w:p>
    <w:p>
      <w:r>
        <w:drawing>
          <wp:inline xmlns:a="http://schemas.openxmlformats.org/drawingml/2006/main" xmlns:pic="http://schemas.openxmlformats.org/drawingml/2006/picture">
            <wp:extent cx="5486400" cy="3272979"/>
            <wp:docPr id="5" name="Picture 5"/>
            <wp:cNvGraphicFramePr>
              <a:graphicFrameLocks noChangeAspect="1"/>
            </wp:cNvGraphicFramePr>
            <a:graphic>
              <a:graphicData uri="http://schemas.openxmlformats.org/drawingml/2006/picture">
                <pic:pic>
                  <pic:nvPicPr>
                    <pic:cNvPr id="0" name="panel_time_trend.png"/>
                    <pic:cNvPicPr/>
                  </pic:nvPicPr>
                  <pic:blipFill>
                    <a:blip r:embed="rId13"/>
                    <a:stretch>
                      <a:fillRect/>
                    </a:stretch>
                  </pic:blipFill>
                  <pic:spPr>
                    <a:xfrm>
                      <a:off x="0" y="0"/>
                      <a:ext cx="5486400" cy="3272979"/>
                    </a:xfrm>
                    <a:prstGeom prst="rect"/>
                  </pic:spPr>
                </pic:pic>
              </a:graphicData>
            </a:graphic>
          </wp:inline>
        </w:drawing>
      </w:r>
    </w:p>
    <w:p>
      <w:pPr>
        <w:pStyle w:val="Heading2"/>
      </w:pPr>
      <w:r>
        <w:t>Cross-Sectional Heterogeneity (Inflation Variance by Country)</w:t>
      </w:r>
    </w:p>
    <w:p>
      <w:r>
        <w:drawing>
          <wp:inline xmlns:a="http://schemas.openxmlformats.org/drawingml/2006/main" xmlns:pic="http://schemas.openxmlformats.org/drawingml/2006/picture">
            <wp:extent cx="5486400" cy="2722436"/>
            <wp:docPr id="6" name="Picture 6"/>
            <wp:cNvGraphicFramePr>
              <a:graphicFrameLocks noChangeAspect="1"/>
            </wp:cNvGraphicFramePr>
            <a:graphic>
              <a:graphicData uri="http://schemas.openxmlformats.org/drawingml/2006/picture">
                <pic:pic>
                  <pic:nvPicPr>
                    <pic:cNvPr id="0" name="panel_heterogeneity.png"/>
                    <pic:cNvPicPr/>
                  </pic:nvPicPr>
                  <pic:blipFill>
                    <a:blip r:embed="rId14"/>
                    <a:stretch>
                      <a:fillRect/>
                    </a:stretch>
                  </pic:blipFill>
                  <pic:spPr>
                    <a:xfrm>
                      <a:off x="0" y="0"/>
                      <a:ext cx="5486400" cy="272243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