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Elessar</w:t>
      </w:r>
    </w:p>
    <w:p>
      <w:pPr>
        <w:spacing w:after="240" w:before="0"/>
      </w:pPr>
      <w:r>
        <w:rPr>
          <w:rFonts w:ascii="Arial" w:cs="Arial" w:eastAsia="Arial" w:hAnsi="Arial"/>
          <w:color w:val="1452CC"/>
          <w:sz w:val="32"/>
          <w:szCs w:val="32"/>
        </w:rPr>
        <w:t xml:space="preserve">Hospital Analytics Platform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Methodology, Data Sources, and KPI Calculations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|  May 2025  |  Internal Technical Documentation</w:t>
      </w:r>
    </w:p>
    <w:p>
      <w:pPr>
        <w:spacing w:after="5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Demo scope: Orthopaedics Department, Regional Public Hospital, Hungary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1. Executive Summary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Elessar is a procurement and financial analytics platform designed for public hospitals in Hungary. The platform ingests data from existing hospital information systems -- CT-Ecostat, Medworks, Labworks -- and produces department-level cost intelligence that is not currently available to hospital management through any single unified system.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describes the data model, calculation methodology, source calibration, and citation basis for all metrics presented in the Elessar demo dashboard. The demo focuses on the Orthopaedics department of a regional public hospital. All underlying data is synthetic but calibrated to the 2024 annual report of Semmelweis University Hospital, the largest public teaching hospital in Hungary.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2. Problem Statement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2.1 Structural Underfunding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Hungary spends approximately 6.4% of GDP on healthcare versus the EU average of 9.9% (LegalClarity, 2026). This gap means NEAK reimbursement rates have not kept pace with operating cost inflation. At Semmelweis University Hospital in 2024, NEAK revenues of 132.98 billion HUF covered only 57.8% of total operating expenses of 230.1 billion HUF.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Past-due hospital debt reached HUF 117 billion (approximately EUR 300 million) by March 2024. The NEAK director publicly confirmed: "There are hardly any medical interventions for which funding provides sufficient financial coverage" (P4H Network, 2024). 75% of total hospital debt is owed to medical technology suppliers, confirming that supply chain and procurement are the primary cost pressure points.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2.2 Data Fragmentation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Hospital financial data in Hungary is distributed across multiple systems with no native integration layer. The financial system (CT-Ecostat) holds budget and reimbursement data. The hospital information system (Medworks) holds procedure and patient-flow data. The procurement system holds order and inventory data. No single view connects these sources at the procedure or patient level.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Kaplan and Porter (HBR, 2011) identify this as the root cause of the healthcare cost crisis: "Providers cannot link cost to process improvements because they do not know what individual procedures actually cost." Existing costing systems measure at the department level, preventing evidence-based optimization.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2.3 Supply Chain Inefficiency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Without centralized analytics, hospitals engage in what PrimeSourceX (2025) terms "emotional buying" -- procurement driven by availability confidence rather than data. Results include overstocking (expiry waste), stockouts (urgent orders at 15% to 30% price premium), and SKU fragmentation (ordering the same functional product under multiple codes from different suppliers).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3. Data Sources and Calibration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3.1 Primary Source: Semmelweis University Hospital 2024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2024 annual financial report of Semmelweis University Hospital (Semmelweis Klinikak) provides the structural ratios used to calibrate the synthetic dataset. Key figures in thousand HUF: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Item</w:t>
            </w:r>
          </w:p>
        </w:tc>
        <w:tc>
          <w:tcPr>
            <w:tcW w:type="dxa" w:w="27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2024 Original Plan (KHUF)</w:t>
            </w:r>
          </w:p>
        </w:tc>
        <w:tc>
          <w:tcPr>
            <w:tcW w:type="dxa" w:w="27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2024 Modified Plan (KHUF)</w:t>
            </w:r>
          </w:p>
        </w:tc>
      </w:tr>
      <w:tr>
        <w:tc>
          <w:tcPr>
            <w:tcW w:type="dxa" w:w="3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 Sales Revenue</w:t>
            </w:r>
          </w:p>
        </w:tc>
        <w:tc>
          <w:tcPr>
            <w:tcW w:type="dxa" w:w="27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34,111,766</w:t>
            </w:r>
          </w:p>
        </w:tc>
        <w:tc>
          <w:tcPr>
            <w:tcW w:type="dxa" w:w="27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34,903,766</w:t>
            </w:r>
          </w:p>
        </w:tc>
      </w:tr>
      <w:tr>
        <w:tc>
          <w:tcPr>
            <w:tcW w:type="dxa" w:w="3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NEAK Financing Revenue</w:t>
            </w:r>
          </w:p>
        </w:tc>
        <w:tc>
          <w:tcPr>
            <w:tcW w:type="dxa" w:w="27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132,981,827</w:t>
            </w:r>
          </w:p>
        </w:tc>
        <w:tc>
          <w:tcPr>
            <w:tcW w:type="dxa" w:w="27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150,059,575</w:t>
            </w:r>
          </w:p>
        </w:tc>
      </w:tr>
      <w:tr>
        <w:tc>
          <w:tcPr>
            <w:tcW w:type="dxa" w:w="3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Material Expenses</w:t>
            </w:r>
          </w:p>
        </w:tc>
        <w:tc>
          <w:tcPr>
            <w:tcW w:type="dxa" w:w="27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84,717,074</w:t>
            </w:r>
          </w:p>
        </w:tc>
        <w:tc>
          <w:tcPr>
            <w:tcW w:type="dxa" w:w="27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92,642,401</w:t>
            </w:r>
          </w:p>
        </w:tc>
      </w:tr>
      <w:tr>
        <w:tc>
          <w:tcPr>
            <w:tcW w:type="dxa" w:w="3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Personnel Expenses</w:t>
            </w:r>
          </w:p>
        </w:tc>
        <w:tc>
          <w:tcPr>
            <w:tcW w:type="dxa" w:w="27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134,946,019</w:t>
            </w:r>
          </w:p>
        </w:tc>
        <w:tc>
          <w:tcPr>
            <w:tcW w:type="dxa" w:w="27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145,441,259</w:t>
            </w:r>
          </w:p>
        </w:tc>
      </w:tr>
      <w:tr>
        <w:tc>
          <w:tcPr>
            <w:tcW w:type="dxa" w:w="3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Depreciation</w:t>
            </w:r>
          </w:p>
        </w:tc>
        <w:tc>
          <w:tcPr>
            <w:tcW w:type="dxa" w:w="27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6,150,693</w:t>
            </w:r>
          </w:p>
        </w:tc>
        <w:tc>
          <w:tcPr>
            <w:tcW w:type="dxa" w:w="27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7,080,423</w:t>
            </w:r>
          </w:p>
        </w:tc>
      </w:tr>
      <w:tr>
        <w:tc>
          <w:tcPr>
            <w:tcW w:type="dxa" w:w="3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Operating Profit (Result A)</w:t>
            </w:r>
          </w:p>
        </w:tc>
        <w:tc>
          <w:tcPr>
            <w:tcW w:type="dxa" w:w="27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4,829,255</w:t>
            </w:r>
          </w:p>
        </w:tc>
        <w:tc>
          <w:tcPr>
            <w:tcW w:type="dxa" w:w="27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4,110,679</w:t>
            </w:r>
          </w:p>
        </w:tc>
      </w:tr>
      <w:tr>
        <w:tc>
          <w:tcPr>
            <w:tcW w:type="dxa" w:w="3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Profit After Tax</w:t>
            </w:r>
          </w:p>
        </w:tc>
        <w:tc>
          <w:tcPr>
            <w:tcW w:type="dxa" w:w="27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6,635,701</w:t>
            </w:r>
          </w:p>
        </w:tc>
        <w:tc>
          <w:tcPr>
            <w:tcW w:type="dxa" w:w="27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5,908,462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Derived ratios: NEAK as share of total expenses = 57.8%; material expenses as share of total = 36.8%; personnel as share of total = 58.6%. These ratios constrain the synthetic orthopaedics model.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3.2 Scaling to Regional Hospital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Semmelweis has approximately 120 clinical departments. Orthopaedics represents approximately 3.2% of total activity at a comparable hospital. A monthly budget of 40 million HUF (480 million annual) was derived by: applying the orthopaedics share to Semmelweis material costs, applying a regional hospital discount factor of 0.85, and adding a personnel component at the observed 58.6% ratio.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3.3 NEAK DRG Reimbursement Values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350"/>
        <w:gridCol w:w="1810"/>
      </w:tblGrid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Procedure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NEAK (HUF)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Cost (HUF)</w:t>
            </w:r>
          </w:p>
        </w:tc>
        <w:tc>
          <w:tcPr>
            <w:tcW w:type="dxa" w:w="13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181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DRG Basis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Knee Replacement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1,207,300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686,200</w:t>
            </w:r>
          </w:p>
        </w:tc>
        <w:tc>
          <w:tcPr>
            <w:tcW w:type="dxa" w:w="13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175.9%</w:t>
            </w:r>
          </w:p>
        </w:tc>
        <w:tc>
          <w:tcPr>
            <w:tcW w:type="dxa" w:w="181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DRG weight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Hip Replacement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1,128,400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659,000</w:t>
            </w:r>
          </w:p>
        </w:tc>
        <w:tc>
          <w:tcPr>
            <w:tcW w:type="dxa" w:w="13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171.2%</w:t>
            </w:r>
          </w:p>
        </w:tc>
        <w:tc>
          <w:tcPr>
            <w:tcW w:type="dxa" w:w="181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DRG weight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Spinal Fusion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1,749,600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637,200</w:t>
            </w:r>
          </w:p>
        </w:tc>
        <w:tc>
          <w:tcPr>
            <w:tcW w:type="dxa" w:w="13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274.5%</w:t>
            </w:r>
          </w:p>
        </w:tc>
        <w:tc>
          <w:tcPr>
            <w:tcW w:type="dxa" w:w="181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Highest ortho weight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Fracture Repair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600,600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598,400</w:t>
            </w:r>
          </w:p>
        </w:tc>
        <w:tc>
          <w:tcPr>
            <w:tcW w:type="dxa" w:w="13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100.4%</w:t>
            </w:r>
          </w:p>
        </w:tc>
        <w:tc>
          <w:tcPr>
            <w:tcW w:type="dxa" w:w="181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Near breakeven</w:t>
            </w:r>
          </w:p>
        </w:tc>
      </w:tr>
      <w:tr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Arthroscopy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465,000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604,500</w:t>
            </w:r>
          </w:p>
        </w:tc>
        <w:tc>
          <w:tcPr>
            <w:tcW w:type="dxa" w:w="135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76.9%</w:t>
            </w:r>
          </w:p>
        </w:tc>
        <w:tc>
          <w:tcPr>
            <w:tcW w:type="dxa" w:w="181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Structurally underfunded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4. KPI Calculation Formulas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4.1 Annual NEAK Gap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shortfall between NEAK reimbursement received and actual departmental spend.</w:t>
      </w:r>
    </w:p>
    <w:p>
      <w:pPr>
        <w:pBdr>
          <w:left w:val="single" w:color="1452C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Annual NEAK Gap = SUM(monthly_neak_received) - SUM(monthly_actual_spend)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Demo result: 388,193,960 HUF - 496,755,120 HUF = -108,561,160 HUF. Source: CT-Ecostat exports, available at department level.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4.2 Revenue Coverage Ratio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Fraction of actual spend covered by NEAK reimbursement in a given month. Below 1.0 = deficit operation.</w:t>
      </w:r>
    </w:p>
    <w:p>
      <w:pPr>
        <w:pBdr>
          <w:left w:val="single" w:color="1452C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Coverage_Ratio(month) = NEAK_received(month) / Actual_spend(month)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12 months are below 1.0 in this model (range: 0.663 to 0.908). Target is 1.0.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4.3 Cost per Procedure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cost attributed to a single completed procedure, aggregating all departments in the care pathway. Implements the Kaplan-Porter methodology (Time-Driven Activity-Based Costing).</w:t>
      </w:r>
    </w:p>
    <w:p>
      <w:pPr>
        <w:pBdr>
          <w:left w:val="single" w:color="1452C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Cost_per_procedure = Ortho_cost + Radiology + Physio + Anaesthesia + Lab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4.4 Deficit Rate per Procedure Type</w:t>
      </w:r>
    </w:p>
    <w:p>
      <w:pPr>
        <w:pBdr>
          <w:left w:val="single" w:color="1452C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Deficit_rate = COUNT(cases: total_cost &gt; neak) / COUNT(completed_cases)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Arthroscopy: 84% deficit rate (NEAK 465K HUF vs avg cost 604.5K HUF). Structurally underfunded.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4.5 SKU Fragmentation Index</w:t>
      </w:r>
    </w:p>
    <w:p>
      <w:pPr>
        <w:pBdr>
          <w:left w:val="single" w:color="1452C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Fragmentation_index = COUNT(distinct SKU codes for same functional product)</w:t>
      </w:r>
    </w:p>
    <w:p>
      <w:pPr>
        <w:pBdr>
          <w:left w:val="single" w:color="1452C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Consolidation_potential = total_spend * 0.12  [Source: PrimeSourceX 2025]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4.6 Purchase Price Variance (PPV)</w:t>
      </w:r>
    </w:p>
    <w:p>
      <w:pPr>
        <w:pBdr>
          <w:left w:val="single" w:color="1452C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PPV(%) = ((Actual_price - Contracted_price) / Contracted_price) * 100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22 of 37 SKUs have positive PPV, indicating maverick buying or contract leakage.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4.7 Expiry Waste</w:t>
      </w:r>
    </w:p>
    <w:p>
      <w:pPr>
        <w:pBdr>
          <w:left w:val="single" w:color="1452C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Expiry_waste = SUM(qty_expired * actual_unit_price)  across all SKUs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Demo total: 93,493,000 HUF. Quantifies over-ordering and poor demand forecasting.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4.8 Budget Utilization Rate</w:t>
      </w:r>
    </w:p>
    <w:p>
      <w:pPr>
        <w:pBdr>
          <w:left w:val="single" w:color="1452C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Utilization(%) = (Actual_spend / Approved_budget) * 100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 of 12 months exceeded approved budget. November (116.5%) and December (117.1%) highest overruns.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5. Patient Journey Data Model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5.1 Left Outer Join Architecture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procedure records from Orthopaedics are retained (left table). Costs from supporting departments are joined where a matching patient-procedure record exists. This ensures no procedure is lost due to incomplete cross-department records.</w:t>
      </w:r>
    </w:p>
    <w:p>
      <w:pPr>
        <w:pBdr>
          <w:left w:val="single" w:color="1452CC" w:sz="12"/>
        </w:pBdr>
        <w:spacing w:after="80" w:before="8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Patient_record = Ortho_procedure
LEFT JOIN Radiology_costs ON patient_id
LEFT JOIN Physio_costs ON patient_id
LEFT JOIN Anaesthesia_costs ON patient_id
LEFT JOIN Lab_costs ON patient_id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5.2 Anonymization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identifiers are replaced with sequential anonymous IDs (PT-XXXX). No names, national ID numbers, or clinical diagnosis codes are retained at this layer. Consistent with GDPR Article 89 (statistical processing) and EU Health Data Space Regulation secondary use framework.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6.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data is synthetic. No actual patient or hospital data has been used.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formal data access agreement with a Hungarian public hospital has not yet been executed.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NEAK DRG tariff values are approximations based on Austrian DRG documentation and public sources.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20%-30% cost reduction figure is an upper bound from ML optimization literature. Conservative estimate is 10%-15% (Fatima, 2023).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SKU consolidation saving of 12% is a sector average (PrimeSourceX, 2025) and will vary by hospital.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7. References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[1] Kaplan, R. S. and Porter, M. E. (2011). How to Solve the Cost Crisis in Health Care. Harvard Business Review, September 2011.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[2] Semmelweis Klinikak (2024). Annual Financial Report 2024 -- Balance Sheet and Income Statement. Budapest.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[3] Hagenbichler, E. (2010). The Austrian DRG System. Federal Ministry of Health, Austria. ISBN 978-3-902611-45-1.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[4] HST Pathways (2024). 13 Benchmarks and 5 Trends for ASCs: State of the Industry Report. October 2024.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[5] P4H Network (2024). Hungarian hospitals drowning in debt, suppliers risk bankruptcy. Based on Kopari, Z., Euractiv, June 11, 2024.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[6] Liason, A. Optimizing Healthcare Operational Costs Using Business Intelligence and Predictive Financial Modeling.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[7] Fatima, S. (2023). Healthcare Cost Optimization: Leveraging Machine Learning. IJARETS, 10(3).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[8] KPMG AG Switzerland (2022). Benchmark-Oriented Cost Optimization in Healthcare. October 2022.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[9] PrimeSourceX (2025). Healthcare Supply Chains: Data-Driven Insights. September 2025.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[10] Kiss, A. et al. (2023). Do budget constraints limit access to health care? Evidence from PCI treatments in Hungary. Int. J. Health Econ. Manag., 23(2), 281-302.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[11] WHO Hungary (2023). Improving patient experience and efficiency in the Hungarian health system. Technical report.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[12] NEAK. DRG-based reimbursement schedule. Published annually. neak.gov.hu.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[13] Elessar Team (2025). Data analyst interview transcript. Government health data expert, Budapest. April 2025.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9E6" w:sz="2"/>
      </w:pBdr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Elessar Team, 2025. Synthetic data calibrated to Semmelweis University Hospital 2024 Annual Report.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52CC" w:sz="4"/>
      </w:pBdr>
      <w:spacing w:after="80"/>
    </w:pPr>
    <w:r>
      <w:rPr>
        <w:rFonts w:ascii="Arial" w:cs="Arial" w:eastAsia="Arial" w:hAnsi="Arial"/>
        <w:b/>
        <w:bCs/>
        <w:color w:val="0A1628"/>
        <w:sz w:val="18"/>
        <w:szCs w:val="18"/>
      </w:rPr>
      <w:t xml:space="preserve">Elessar Analytics Platform</w:t>
    </w:r>
    <w:r>
      <w:rPr>
        <w:rFonts w:ascii="Arial" w:cs="Arial" w:eastAsia="Arial" w:hAnsi="Arial"/>
        <w:color w:val="6B7280"/>
        <w:sz w:val="18"/>
        <w:szCs w:val="18"/>
      </w:rPr>
      <w:t xml:space="preserve">   Methodology and Data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2026-05-08T19:59:45.523Z</dcterms:created>
  <dcterms:modified xsi:type="dcterms:W3CDTF">2026-05-08T19:59:45.523Z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