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C494" w14:textId="77777777" w:rsidR="00945488" w:rsidRDefault="00000000">
      <w:pPr>
        <w:pStyle w:val="Heading1"/>
      </w:pPr>
      <w:r>
        <w:t>Moringa (Moringa oleifera) – Evidence-Based Risk–Benefit Report</w:t>
      </w:r>
    </w:p>
    <w:p w14:paraId="49A73EE7" w14:textId="77777777" w:rsidR="00945488" w:rsidRDefault="00000000">
      <w:pPr>
        <w:pStyle w:val="Heading2"/>
      </w:pPr>
      <w:r>
        <w:t>1. Executive Summary</w:t>
      </w:r>
    </w:p>
    <w:p w14:paraId="302500C1" w14:textId="77777777" w:rsidR="00945488" w:rsidRDefault="00000000">
      <w:r>
        <w:t>Moringa oleifera leaf (capsules, powders, teas) is a nutrient-dense plant used as both food and dietary supplement. Human trials show modest benefits for anemia, some cardiometabolic markers (blood sugar and lipids), and breast-milk production, particularly in undernourished or pregnant populations. Serious toxicity from leaf products at typical doses appears rare; animal toxicology studies suggest a wide safety margin, with organ and genetic toxicity mainly at very high experimental doses far above usual supplement intakes. However, case reports and pharmacovigilance reviews describe rare but serious adverse reactions (e.g. severe skin eruptions, pulmonary embolism, possible liver injury) and potential interactions with prescription medicines. Overall risk for healthy adults using moderate doses of moringa leaf supplements from reputable manufacturers is low, but risk rises to moderate for high-dose use, pregnancy, significant comorbidities or polypharmacy due to uncertainty, reproductive‑toxicity signals for some plant parts and incomplete long-term data.</w:t>
      </w:r>
    </w:p>
    <w:p w14:paraId="169AC7FA" w14:textId="77777777" w:rsidR="00945488" w:rsidRDefault="00000000">
      <w:pPr>
        <w:pStyle w:val="Heading2"/>
      </w:pPr>
      <w:r>
        <w:t>2. Definition &amp; Context</w:t>
      </w:r>
    </w:p>
    <w:p w14:paraId="4AF68FD2" w14:textId="77777777" w:rsidR="00945488" w:rsidRDefault="00000000">
      <w:r>
        <w:rPr>
          <w:b/>
        </w:rPr>
        <w:t xml:space="preserve">What it is. </w:t>
      </w:r>
      <w:r>
        <w:t>Moringa oleifera Lam. (family Moringaceae) is a fast-growing tree also known as drumstick tree or horseradish tree. “Moringa leaf extract” in supplements and cosmetics is a complex plant extract; in cosmetic databases it is often listed under CAS 93165‑54‑9 (Moringa oleifera Leaf Extract).</w:t>
      </w:r>
    </w:p>
    <w:p w14:paraId="6FF8487F" w14:textId="77777777" w:rsidR="00945488" w:rsidRDefault="00000000">
      <w:r>
        <w:rPr>
          <w:b/>
        </w:rPr>
        <w:t xml:space="preserve">Forms. </w:t>
      </w:r>
      <w:r>
        <w:t>Common forms include dried leaf powder (capsules, tablets, drink mixes), aqueous or hydroalcoholic leaf extracts, seed oil (mainly cosmetic/culinary) and teas or fortified foods.</w:t>
      </w:r>
    </w:p>
    <w:p w14:paraId="23022ED8" w14:textId="77777777" w:rsidR="00945488" w:rsidRDefault="00000000">
      <w:r>
        <w:rPr>
          <w:b/>
        </w:rPr>
        <w:t xml:space="preserve">Uses and exposure. </w:t>
      </w:r>
      <w:r>
        <w:t>• Foods and supplements – marketed for general wellness, metabolic health, anemia and lactation support.</w:t>
      </w:r>
      <w:r>
        <w:br/>
        <w:t>• Traditional medicine – long history of use in South Asia and Africa for diabetes, hypertension, infections, inflammation and anemia.</w:t>
      </w:r>
      <w:r>
        <w:br/>
        <w:t>• Cosmetics – leaf and seed extracts used as antioxidant and skin‑conditioning agents in creams, serums and hair products.</w:t>
      </w:r>
      <w:r>
        <w:br/>
        <w:t>• Functional foods and water treatment – leaves for food fortification and seed proteins as natural coagulants in water purification.</w:t>
      </w:r>
      <w:r>
        <w:br/>
        <w:t>Main exposure routes are oral ingestion (supplements/foods), dermal contact (cosmetics) and inhalation of powder dust for workers handling bulk material.</w:t>
      </w:r>
    </w:p>
    <w:p w14:paraId="78E290B0" w14:textId="77777777" w:rsidR="00F31CB3" w:rsidRDefault="00F31CB3"/>
    <w:p w14:paraId="6DEA515F" w14:textId="77777777" w:rsidR="00F31CB3" w:rsidRDefault="00F31CB3"/>
    <w:p w14:paraId="25CBCDF1" w14:textId="77777777" w:rsidR="00945488" w:rsidRDefault="00000000">
      <w:r>
        <w:rPr>
          <w:b/>
        </w:rPr>
        <w:lastRenderedPageBreak/>
        <w:t xml:space="preserve">Regulatory context. </w:t>
      </w:r>
      <w:r>
        <w:t>In the EU Novel Food Catalogue, moringa leaves, pods, seeds and seed oil are listed as “not novel” in foods and food supplements, meaning they have a history of consumption and are not automatically restricted, though general food‑safety rules still apply. Various moringa preparations hold positive opinions as food or cosmetic ingredients in FDA, EFSA and CosIng databases, but no disease‑treatment claims are approved and no official acceptable daily intake (ADI) has been set.</w:t>
      </w:r>
    </w:p>
    <w:p w14:paraId="16A8563E" w14:textId="77777777" w:rsidR="00945488" w:rsidRDefault="00000000">
      <w:pPr>
        <w:pStyle w:val="Heading2"/>
      </w:pPr>
      <w:r>
        <w:t>3. Benefits / Positive Effects (Leaf Preparations)</w:t>
      </w:r>
    </w:p>
    <w:p w14:paraId="53014B22" w14:textId="77777777" w:rsidR="00945488" w:rsidRDefault="00000000">
      <w:r>
        <w:t>Evidence strength ranges from moderate (for anemia and lactation support) to low (for sleep, joint pain and general “energy”). Below are practical, real‑world benefits that are at least partially supported by human data.</w:t>
      </w:r>
    </w:p>
    <w:tbl>
      <w:tblPr>
        <w:tblStyle w:val="TableGrid"/>
        <w:tblW w:w="9468" w:type="dxa"/>
        <w:tblLook w:val="04A0" w:firstRow="1" w:lastRow="0" w:firstColumn="1" w:lastColumn="0" w:noHBand="0" w:noVBand="1"/>
      </w:tblPr>
      <w:tblGrid>
        <w:gridCol w:w="2880"/>
        <w:gridCol w:w="3348"/>
        <w:gridCol w:w="3240"/>
      </w:tblGrid>
      <w:tr w:rsidR="00945488" w14:paraId="1E671B1C" w14:textId="77777777" w:rsidTr="00F31CB3">
        <w:tc>
          <w:tcPr>
            <w:tcW w:w="2880" w:type="dxa"/>
          </w:tcPr>
          <w:p w14:paraId="73AC438C" w14:textId="77777777" w:rsidR="00945488" w:rsidRPr="00F31CB3" w:rsidRDefault="00000000">
            <w:pPr>
              <w:rPr>
                <w:b/>
                <w:bCs/>
              </w:rPr>
            </w:pPr>
            <w:r w:rsidRPr="00F31CB3">
              <w:rPr>
                <w:b/>
                <w:bCs/>
              </w:rPr>
              <w:t>Benefit</w:t>
            </w:r>
          </w:p>
        </w:tc>
        <w:tc>
          <w:tcPr>
            <w:tcW w:w="3348" w:type="dxa"/>
          </w:tcPr>
          <w:p w14:paraId="32A836CA" w14:textId="77777777" w:rsidR="00945488" w:rsidRPr="00F31CB3" w:rsidRDefault="00000000">
            <w:pPr>
              <w:rPr>
                <w:b/>
                <w:bCs/>
              </w:rPr>
            </w:pPr>
            <w:r w:rsidRPr="00F31CB3">
              <w:rPr>
                <w:b/>
                <w:bCs/>
              </w:rPr>
              <w:t>Why It Matters</w:t>
            </w:r>
          </w:p>
        </w:tc>
        <w:tc>
          <w:tcPr>
            <w:tcW w:w="3240" w:type="dxa"/>
          </w:tcPr>
          <w:p w14:paraId="7A4AB0A1" w14:textId="77777777" w:rsidR="00945488" w:rsidRPr="00F31CB3" w:rsidRDefault="00000000">
            <w:pPr>
              <w:rPr>
                <w:b/>
                <w:bCs/>
              </w:rPr>
            </w:pPr>
            <w:r w:rsidRPr="00F31CB3">
              <w:rPr>
                <w:b/>
                <w:bCs/>
              </w:rPr>
              <w:t>Evidence / Notes</w:t>
            </w:r>
          </w:p>
        </w:tc>
      </w:tr>
      <w:tr w:rsidR="00945488" w14:paraId="10C376A4" w14:textId="77777777" w:rsidTr="00F31CB3">
        <w:tc>
          <w:tcPr>
            <w:tcW w:w="2880" w:type="dxa"/>
          </w:tcPr>
          <w:p w14:paraId="7487B625" w14:textId="77777777" w:rsidR="00945488" w:rsidRDefault="00000000">
            <w:r>
              <w:t>Nutrient‑dense leafy supplement</w:t>
            </w:r>
          </w:p>
        </w:tc>
        <w:tc>
          <w:tcPr>
            <w:tcW w:w="3348" w:type="dxa"/>
          </w:tcPr>
          <w:p w14:paraId="15639365" w14:textId="77777777" w:rsidR="00945488" w:rsidRDefault="00000000">
            <w:r>
              <w:t>Leaves provide protein, vitamins A, C, E, B‑group, calcium, potassium, iron and polyphenols, helping enrich diets that are low in green vegetables.</w:t>
            </w:r>
          </w:p>
        </w:tc>
        <w:tc>
          <w:tcPr>
            <w:tcW w:w="3240" w:type="dxa"/>
          </w:tcPr>
          <w:p w14:paraId="281A372D" w14:textId="77777777" w:rsidR="00945488" w:rsidRDefault="00000000">
            <w:r>
              <w:t>Supported by compositional and nutritional analyses of moringa leaves.</w:t>
            </w:r>
          </w:p>
        </w:tc>
      </w:tr>
      <w:tr w:rsidR="00945488" w14:paraId="20D7414D" w14:textId="77777777" w:rsidTr="00F31CB3">
        <w:tc>
          <w:tcPr>
            <w:tcW w:w="2880" w:type="dxa"/>
          </w:tcPr>
          <w:p w14:paraId="35AB3B62" w14:textId="77777777" w:rsidR="00945488" w:rsidRDefault="00000000">
            <w:r>
              <w:t>Improved anemia / iron status</w:t>
            </w:r>
          </w:p>
        </w:tc>
        <w:tc>
          <w:tcPr>
            <w:tcW w:w="3348" w:type="dxa"/>
          </w:tcPr>
          <w:p w14:paraId="0511F539" w14:textId="77777777" w:rsidR="00945488" w:rsidRDefault="00000000">
            <w:r>
              <w:t>Leaf capsules or fresh leaves can increase hemoglobin and improve iron status in pregnant women and other iron‑deficient groups when added to the diet.</w:t>
            </w:r>
          </w:p>
        </w:tc>
        <w:tc>
          <w:tcPr>
            <w:tcW w:w="3240" w:type="dxa"/>
          </w:tcPr>
          <w:p w14:paraId="1CF93E49" w14:textId="77777777" w:rsidR="00945488" w:rsidRDefault="00000000">
            <w:r>
              <w:t>Several intervention trials and cohort studies in pregnant women and malnourished populations.</w:t>
            </w:r>
          </w:p>
        </w:tc>
      </w:tr>
      <w:tr w:rsidR="00945488" w14:paraId="36A8D4A4" w14:textId="77777777" w:rsidTr="00F31CB3">
        <w:tc>
          <w:tcPr>
            <w:tcW w:w="2880" w:type="dxa"/>
          </w:tcPr>
          <w:p w14:paraId="7CF0E516" w14:textId="77777777" w:rsidR="00945488" w:rsidRDefault="00000000">
            <w:r>
              <w:t>Lactation support (galactagogue)</w:t>
            </w:r>
          </w:p>
        </w:tc>
        <w:tc>
          <w:tcPr>
            <w:tcW w:w="3348" w:type="dxa"/>
          </w:tcPr>
          <w:p w14:paraId="40916D16" w14:textId="77777777" w:rsidR="00945488" w:rsidRDefault="00000000">
            <w:r>
              <w:t>Moringa leaf capsules modestly increase breast‑milk volume and may improve micronutrient content in mothers of preterm or term infants.</w:t>
            </w:r>
          </w:p>
        </w:tc>
        <w:tc>
          <w:tcPr>
            <w:tcW w:w="3240" w:type="dxa"/>
          </w:tcPr>
          <w:p w14:paraId="2612B4A5" w14:textId="77777777" w:rsidR="00945488" w:rsidRDefault="00000000">
            <w:r>
              <w:t>Multiple randomized controlled trials; summarized in the LactMed (Drugs and Lactation) database.</w:t>
            </w:r>
          </w:p>
        </w:tc>
      </w:tr>
      <w:tr w:rsidR="00945488" w14:paraId="344D80EC" w14:textId="77777777" w:rsidTr="00F31CB3">
        <w:tc>
          <w:tcPr>
            <w:tcW w:w="2880" w:type="dxa"/>
          </w:tcPr>
          <w:p w14:paraId="05F261FC" w14:textId="77777777" w:rsidR="00945488" w:rsidRDefault="00000000">
            <w:r>
              <w:t>Cardiometabolic support</w:t>
            </w:r>
          </w:p>
        </w:tc>
        <w:tc>
          <w:tcPr>
            <w:tcW w:w="3348" w:type="dxa"/>
          </w:tcPr>
          <w:p w14:paraId="3EA5C22F" w14:textId="77777777" w:rsidR="00945488" w:rsidRDefault="00000000">
            <w:r>
              <w:t>Small improvements in fasting blood glucose, HbA1c and lipid profile (lower total cholesterol and triglycerides, sometimes higher HDL) have been reported when leaf powder or extract is added to standard care.</w:t>
            </w:r>
          </w:p>
        </w:tc>
        <w:tc>
          <w:tcPr>
            <w:tcW w:w="3240" w:type="dxa"/>
          </w:tcPr>
          <w:p w14:paraId="78176368" w14:textId="77777777" w:rsidR="00945488" w:rsidRDefault="00000000">
            <w:r>
              <w:t>Systematic reviews and small randomized trials in adults with type 2 diabetes and metabolic syndrome.</w:t>
            </w:r>
          </w:p>
        </w:tc>
      </w:tr>
      <w:tr w:rsidR="00945488" w14:paraId="204EFA6F" w14:textId="77777777" w:rsidTr="00F31CB3">
        <w:tc>
          <w:tcPr>
            <w:tcW w:w="2880" w:type="dxa"/>
          </w:tcPr>
          <w:p w14:paraId="1C57A631" w14:textId="77777777" w:rsidR="00945488" w:rsidRDefault="00000000">
            <w:r>
              <w:t>Antioxidant and anti‑inflammatory effects</w:t>
            </w:r>
          </w:p>
        </w:tc>
        <w:tc>
          <w:tcPr>
            <w:tcW w:w="3348" w:type="dxa"/>
          </w:tcPr>
          <w:p w14:paraId="698F7213" w14:textId="77777777" w:rsidR="00945488" w:rsidRDefault="00000000">
            <w:r>
              <w:t>Increases endogenous antioxidant enzymes and reduces markers of oxidative stress, which may contribute to long‑term cardiovascular and metabolic benefits.</w:t>
            </w:r>
          </w:p>
        </w:tc>
        <w:tc>
          <w:tcPr>
            <w:tcW w:w="3240" w:type="dxa"/>
          </w:tcPr>
          <w:p w14:paraId="3F183FA9" w14:textId="77777777" w:rsidR="00945488" w:rsidRDefault="00000000">
            <w:r>
              <w:t>Human and animal studies measuring oxidative‑stress biomarkers.</w:t>
            </w:r>
          </w:p>
        </w:tc>
      </w:tr>
      <w:tr w:rsidR="00945488" w14:paraId="0D13E34F" w14:textId="77777777" w:rsidTr="00F31CB3">
        <w:tc>
          <w:tcPr>
            <w:tcW w:w="2880" w:type="dxa"/>
          </w:tcPr>
          <w:p w14:paraId="10EA251B" w14:textId="77777777" w:rsidR="00945488" w:rsidRDefault="00000000">
            <w:r>
              <w:t>Adjunct in undernutrition / child growth</w:t>
            </w:r>
          </w:p>
        </w:tc>
        <w:tc>
          <w:tcPr>
            <w:tcW w:w="3348" w:type="dxa"/>
          </w:tcPr>
          <w:p w14:paraId="019E39CE" w14:textId="77777777" w:rsidR="00945488" w:rsidRDefault="00000000">
            <w:r>
              <w:t>Moringa‑fortified complementary foods can contribute to weight gain and better micronutrient intake where malnutrition is common.</w:t>
            </w:r>
          </w:p>
        </w:tc>
        <w:tc>
          <w:tcPr>
            <w:tcW w:w="3240" w:type="dxa"/>
          </w:tcPr>
          <w:p w14:paraId="2E1C41C5" w14:textId="77777777" w:rsidR="00945488" w:rsidRDefault="00000000">
            <w:r>
              <w:t>Trials of fortified foods and community nutrition programs.</w:t>
            </w:r>
          </w:p>
        </w:tc>
      </w:tr>
    </w:tbl>
    <w:p w14:paraId="4F040A47" w14:textId="77777777" w:rsidR="00945488" w:rsidRDefault="00000000">
      <w:pPr>
        <w:pStyle w:val="Heading2"/>
      </w:pPr>
      <w:r>
        <w:lastRenderedPageBreak/>
        <w:t>4. Risks / Negative Effects</w:t>
      </w:r>
    </w:p>
    <w:p w14:paraId="690B2D4E" w14:textId="77777777" w:rsidR="00945488" w:rsidRDefault="00000000">
      <w:r>
        <w:t>Short‑term side effects are usually mild, but high doses, interactions and special populations introduce additional risk. Rare severe events have been reported, though causality is sometimes uncertain.</w:t>
      </w:r>
    </w:p>
    <w:p w14:paraId="6CD5F3E2" w14:textId="77777777" w:rsidR="00945488" w:rsidRDefault="00000000">
      <w:pPr>
        <w:pStyle w:val="Heading3"/>
      </w:pPr>
      <w:r>
        <w:t>4.1 Acute / Short-Term</w:t>
      </w:r>
    </w:p>
    <w:tbl>
      <w:tblPr>
        <w:tblStyle w:val="TableGrid"/>
        <w:tblW w:w="0" w:type="auto"/>
        <w:tblLook w:val="04A0" w:firstRow="1" w:lastRow="0" w:firstColumn="1" w:lastColumn="0" w:noHBand="0" w:noVBand="1"/>
      </w:tblPr>
      <w:tblGrid>
        <w:gridCol w:w="2160"/>
        <w:gridCol w:w="2160"/>
        <w:gridCol w:w="2160"/>
        <w:gridCol w:w="2160"/>
      </w:tblGrid>
      <w:tr w:rsidR="00945488" w14:paraId="1C2AEA02" w14:textId="77777777" w:rsidTr="00F31CB3">
        <w:tc>
          <w:tcPr>
            <w:tcW w:w="2160" w:type="dxa"/>
          </w:tcPr>
          <w:p w14:paraId="66FA0A2E" w14:textId="77777777" w:rsidR="00945488" w:rsidRPr="00F31CB3" w:rsidRDefault="00000000">
            <w:pPr>
              <w:rPr>
                <w:b/>
                <w:bCs/>
              </w:rPr>
            </w:pPr>
            <w:r w:rsidRPr="00F31CB3">
              <w:rPr>
                <w:b/>
                <w:bCs/>
              </w:rPr>
              <w:t>Risk / Effect</w:t>
            </w:r>
          </w:p>
        </w:tc>
        <w:tc>
          <w:tcPr>
            <w:tcW w:w="2160" w:type="dxa"/>
          </w:tcPr>
          <w:p w14:paraId="216561E7" w14:textId="77777777" w:rsidR="00945488" w:rsidRPr="00F31CB3" w:rsidRDefault="00000000">
            <w:pPr>
              <w:rPr>
                <w:b/>
                <w:bCs/>
              </w:rPr>
            </w:pPr>
            <w:r w:rsidRPr="00F31CB3">
              <w:rPr>
                <w:b/>
                <w:bCs/>
              </w:rPr>
              <w:t>Potential Impact</w:t>
            </w:r>
          </w:p>
        </w:tc>
        <w:tc>
          <w:tcPr>
            <w:tcW w:w="2160" w:type="dxa"/>
          </w:tcPr>
          <w:p w14:paraId="49699091" w14:textId="77777777" w:rsidR="00945488" w:rsidRPr="00F31CB3" w:rsidRDefault="00000000">
            <w:pPr>
              <w:rPr>
                <w:b/>
                <w:bCs/>
              </w:rPr>
            </w:pPr>
            <w:r w:rsidRPr="00F31CB3">
              <w:rPr>
                <w:b/>
                <w:bCs/>
              </w:rPr>
              <w:t>Evidence Type</w:t>
            </w:r>
          </w:p>
        </w:tc>
        <w:tc>
          <w:tcPr>
            <w:tcW w:w="2160" w:type="dxa"/>
          </w:tcPr>
          <w:p w14:paraId="71DBE69C" w14:textId="77777777" w:rsidR="00945488" w:rsidRPr="00F31CB3" w:rsidRDefault="00000000">
            <w:pPr>
              <w:rPr>
                <w:b/>
                <w:bCs/>
              </w:rPr>
            </w:pPr>
            <w:r w:rsidRPr="00F31CB3">
              <w:rPr>
                <w:b/>
                <w:bCs/>
              </w:rPr>
              <w:t>Notes</w:t>
            </w:r>
          </w:p>
        </w:tc>
      </w:tr>
      <w:tr w:rsidR="00945488" w14:paraId="60124C33" w14:textId="77777777" w:rsidTr="00F31CB3">
        <w:tc>
          <w:tcPr>
            <w:tcW w:w="2160" w:type="dxa"/>
          </w:tcPr>
          <w:p w14:paraId="3560019B" w14:textId="77777777" w:rsidR="00945488" w:rsidRDefault="00000000">
            <w:r>
              <w:t>Gastrointestinal upset (nausea, diarrhea, heartburn)</w:t>
            </w:r>
          </w:p>
        </w:tc>
        <w:tc>
          <w:tcPr>
            <w:tcW w:w="2160" w:type="dxa"/>
          </w:tcPr>
          <w:p w14:paraId="3F2A5799" w14:textId="77777777" w:rsidR="00945488" w:rsidRDefault="00000000">
            <w:r>
              <w:t>Generally mild and self‑limited; more frequent at higher doses or when started abruptly.</w:t>
            </w:r>
          </w:p>
        </w:tc>
        <w:tc>
          <w:tcPr>
            <w:tcW w:w="2160" w:type="dxa"/>
          </w:tcPr>
          <w:p w14:paraId="566F5C93" w14:textId="77777777" w:rsidR="00945488" w:rsidRDefault="00000000">
            <w:r>
              <w:t>Human trials and observational reports</w:t>
            </w:r>
          </w:p>
        </w:tc>
        <w:tc>
          <w:tcPr>
            <w:tcW w:w="2160" w:type="dxa"/>
          </w:tcPr>
          <w:p w14:paraId="093F64FF" w14:textId="77777777" w:rsidR="00945488" w:rsidRDefault="00000000">
            <w:r>
              <w:t>Most commonly reported non‑serious adverse effect.</w:t>
            </w:r>
          </w:p>
        </w:tc>
      </w:tr>
      <w:tr w:rsidR="00945488" w14:paraId="73ABE456" w14:textId="77777777" w:rsidTr="00F31CB3">
        <w:tc>
          <w:tcPr>
            <w:tcW w:w="2160" w:type="dxa"/>
          </w:tcPr>
          <w:p w14:paraId="390217E5" w14:textId="77777777" w:rsidR="00945488" w:rsidRDefault="00000000">
            <w:r>
              <w:t>Symptomatic hypotension or hypoglycemia</w:t>
            </w:r>
          </w:p>
        </w:tc>
        <w:tc>
          <w:tcPr>
            <w:tcW w:w="2160" w:type="dxa"/>
          </w:tcPr>
          <w:p w14:paraId="205B7E17" w14:textId="77777777" w:rsidR="00945488" w:rsidRDefault="00000000">
            <w:r>
              <w:t>Dizziness, weakness or low blood sugar, especially in people already taking antidiabetic or antihypertensive drugs.</w:t>
            </w:r>
          </w:p>
        </w:tc>
        <w:tc>
          <w:tcPr>
            <w:tcW w:w="2160" w:type="dxa"/>
          </w:tcPr>
          <w:p w14:paraId="71010049" w14:textId="77777777" w:rsidR="00945488" w:rsidRDefault="00000000">
            <w:r>
              <w:t>Human trials plus pharmacologic plausibility</w:t>
            </w:r>
          </w:p>
        </w:tc>
        <w:tc>
          <w:tcPr>
            <w:tcW w:w="2160" w:type="dxa"/>
          </w:tcPr>
          <w:p w14:paraId="4E74D8BF" w14:textId="77777777" w:rsidR="00945488" w:rsidRDefault="00000000">
            <w:r>
              <w:t>Due to glucose‑lowering and vasodilatory effects; monitor closely if combined with medication.</w:t>
            </w:r>
          </w:p>
        </w:tc>
      </w:tr>
      <w:tr w:rsidR="00945488" w14:paraId="4A008C33" w14:textId="77777777" w:rsidTr="00F31CB3">
        <w:tc>
          <w:tcPr>
            <w:tcW w:w="2160" w:type="dxa"/>
          </w:tcPr>
          <w:p w14:paraId="2463A5FD" w14:textId="77777777" w:rsidR="00945488" w:rsidRDefault="00000000">
            <w:r>
              <w:t>Allergic skin reactions</w:t>
            </w:r>
          </w:p>
        </w:tc>
        <w:tc>
          <w:tcPr>
            <w:tcW w:w="2160" w:type="dxa"/>
          </w:tcPr>
          <w:p w14:paraId="1DE3A05F" w14:textId="77777777" w:rsidR="00945488" w:rsidRDefault="00000000">
            <w:r>
              <w:t>Range from mild rashes and itching to more severe localized eruptions.</w:t>
            </w:r>
          </w:p>
        </w:tc>
        <w:tc>
          <w:tcPr>
            <w:tcW w:w="2160" w:type="dxa"/>
          </w:tcPr>
          <w:p w14:paraId="408C1E99" w14:textId="77777777" w:rsidR="00945488" w:rsidRDefault="00000000">
            <w:r>
              <w:t>Case reports and pharmacovigilance data</w:t>
            </w:r>
          </w:p>
        </w:tc>
        <w:tc>
          <w:tcPr>
            <w:tcW w:w="2160" w:type="dxa"/>
          </w:tcPr>
          <w:p w14:paraId="5A7EB55D" w14:textId="77777777" w:rsidR="00945488" w:rsidRDefault="00000000">
            <w:r>
              <w:t>Appears rare but documented; stop immediately if rash occurs.</w:t>
            </w:r>
          </w:p>
        </w:tc>
      </w:tr>
      <w:tr w:rsidR="00945488" w14:paraId="0ED0280A" w14:textId="77777777" w:rsidTr="00F31CB3">
        <w:tc>
          <w:tcPr>
            <w:tcW w:w="2160" w:type="dxa"/>
          </w:tcPr>
          <w:p w14:paraId="120F4B16" w14:textId="77777777" w:rsidR="00945488" w:rsidRDefault="00000000">
            <w:r>
              <w:t>Respiratory allergy / occupational asthma</w:t>
            </w:r>
          </w:p>
        </w:tc>
        <w:tc>
          <w:tcPr>
            <w:tcW w:w="2160" w:type="dxa"/>
          </w:tcPr>
          <w:p w14:paraId="6FC03433" w14:textId="77777777" w:rsidR="00945488" w:rsidRDefault="00000000">
            <w:r>
              <w:t>Wheeze and asthma‑like symptoms in workers exposed to moringa leaf dust.</w:t>
            </w:r>
          </w:p>
        </w:tc>
        <w:tc>
          <w:tcPr>
            <w:tcW w:w="2160" w:type="dxa"/>
          </w:tcPr>
          <w:p w14:paraId="3B9F84FC" w14:textId="77777777" w:rsidR="00945488" w:rsidRDefault="00000000">
            <w:r>
              <w:t>Case reports</w:t>
            </w:r>
          </w:p>
        </w:tc>
        <w:tc>
          <w:tcPr>
            <w:tcW w:w="2160" w:type="dxa"/>
          </w:tcPr>
          <w:p w14:paraId="71BD8625" w14:textId="77777777" w:rsidR="00945488" w:rsidRDefault="00000000">
            <w:r>
              <w:t>Relevant mainly to manufacturing and bulk‑handling environments.</w:t>
            </w:r>
          </w:p>
        </w:tc>
      </w:tr>
    </w:tbl>
    <w:p w14:paraId="629CBF01" w14:textId="77777777" w:rsidR="00945488" w:rsidRDefault="00000000">
      <w:pPr>
        <w:pStyle w:val="Heading3"/>
      </w:pPr>
      <w:r>
        <w:t>4.2 Chronic / Long-Term or High-Dose</w:t>
      </w:r>
    </w:p>
    <w:tbl>
      <w:tblPr>
        <w:tblStyle w:val="TableGrid"/>
        <w:tblW w:w="0" w:type="auto"/>
        <w:tblLook w:val="04A0" w:firstRow="1" w:lastRow="0" w:firstColumn="1" w:lastColumn="0" w:noHBand="0" w:noVBand="1"/>
      </w:tblPr>
      <w:tblGrid>
        <w:gridCol w:w="1608"/>
        <w:gridCol w:w="2376"/>
        <w:gridCol w:w="2210"/>
        <w:gridCol w:w="2662"/>
      </w:tblGrid>
      <w:tr w:rsidR="00945488" w14:paraId="3FAB5510" w14:textId="77777777" w:rsidTr="00F31CB3">
        <w:tc>
          <w:tcPr>
            <w:tcW w:w="2160" w:type="dxa"/>
          </w:tcPr>
          <w:p w14:paraId="32586C1F" w14:textId="77777777" w:rsidR="00945488" w:rsidRPr="00F31CB3" w:rsidRDefault="00000000">
            <w:pPr>
              <w:rPr>
                <w:b/>
                <w:bCs/>
              </w:rPr>
            </w:pPr>
            <w:r w:rsidRPr="00F31CB3">
              <w:rPr>
                <w:b/>
                <w:bCs/>
              </w:rPr>
              <w:t>Risk / Effect</w:t>
            </w:r>
          </w:p>
        </w:tc>
        <w:tc>
          <w:tcPr>
            <w:tcW w:w="2160" w:type="dxa"/>
          </w:tcPr>
          <w:p w14:paraId="0538A42D" w14:textId="77777777" w:rsidR="00945488" w:rsidRPr="00F31CB3" w:rsidRDefault="00000000">
            <w:pPr>
              <w:rPr>
                <w:b/>
                <w:bCs/>
              </w:rPr>
            </w:pPr>
            <w:r w:rsidRPr="00F31CB3">
              <w:rPr>
                <w:b/>
                <w:bCs/>
              </w:rPr>
              <w:t>Potential Impact</w:t>
            </w:r>
          </w:p>
        </w:tc>
        <w:tc>
          <w:tcPr>
            <w:tcW w:w="2160" w:type="dxa"/>
          </w:tcPr>
          <w:p w14:paraId="68FF0DB0" w14:textId="77777777" w:rsidR="00945488" w:rsidRPr="00F31CB3" w:rsidRDefault="00000000">
            <w:pPr>
              <w:rPr>
                <w:b/>
                <w:bCs/>
              </w:rPr>
            </w:pPr>
            <w:r w:rsidRPr="00F31CB3">
              <w:rPr>
                <w:b/>
                <w:bCs/>
              </w:rPr>
              <w:t>Evidence Type</w:t>
            </w:r>
          </w:p>
        </w:tc>
        <w:tc>
          <w:tcPr>
            <w:tcW w:w="2160" w:type="dxa"/>
          </w:tcPr>
          <w:p w14:paraId="1BBD13BF" w14:textId="77777777" w:rsidR="00945488" w:rsidRPr="00F31CB3" w:rsidRDefault="00000000">
            <w:pPr>
              <w:rPr>
                <w:b/>
                <w:bCs/>
              </w:rPr>
            </w:pPr>
            <w:r w:rsidRPr="00F31CB3">
              <w:rPr>
                <w:b/>
                <w:bCs/>
              </w:rPr>
              <w:t>Notes</w:t>
            </w:r>
          </w:p>
        </w:tc>
      </w:tr>
      <w:tr w:rsidR="00945488" w14:paraId="2795B1A4" w14:textId="77777777" w:rsidTr="00F31CB3">
        <w:tc>
          <w:tcPr>
            <w:tcW w:w="2160" w:type="dxa"/>
          </w:tcPr>
          <w:p w14:paraId="2AEB1603" w14:textId="77777777" w:rsidR="00945488" w:rsidRDefault="00000000">
            <w:r>
              <w:t>Genotoxicity and organ toxicity at very high doses</w:t>
            </w:r>
          </w:p>
        </w:tc>
        <w:tc>
          <w:tcPr>
            <w:tcW w:w="2160" w:type="dxa"/>
          </w:tcPr>
          <w:p w14:paraId="17B84AB5" w14:textId="77777777" w:rsidR="00945488" w:rsidRDefault="00000000">
            <w:r>
              <w:t>Severe effects (DNA damage, liver and kidney changes) at supra‑supplement doses.</w:t>
            </w:r>
          </w:p>
        </w:tc>
        <w:tc>
          <w:tcPr>
            <w:tcW w:w="2160" w:type="dxa"/>
          </w:tcPr>
          <w:p w14:paraId="1416BE86" w14:textId="77777777" w:rsidR="00945488" w:rsidRDefault="00000000">
            <w:r>
              <w:t>Animal toxicology and in‑vitro studies</w:t>
            </w:r>
          </w:p>
        </w:tc>
        <w:tc>
          <w:tcPr>
            <w:tcW w:w="2160" w:type="dxa"/>
          </w:tcPr>
          <w:p w14:paraId="4797DA12" w14:textId="77777777" w:rsidR="00945488" w:rsidRDefault="00000000">
            <w:r>
              <w:t>Typically at ≥3,000 mg/kg body weight – far above normal human supplement doses.</w:t>
            </w:r>
          </w:p>
        </w:tc>
      </w:tr>
      <w:tr w:rsidR="00945488" w14:paraId="6DD202B5" w14:textId="77777777" w:rsidTr="00F31CB3">
        <w:tc>
          <w:tcPr>
            <w:tcW w:w="2160" w:type="dxa"/>
          </w:tcPr>
          <w:p w14:paraId="34CCB6E6" w14:textId="77777777" w:rsidR="00945488" w:rsidRDefault="00000000">
            <w:r>
              <w:t>Renal effects at extreme doses</w:t>
            </w:r>
          </w:p>
        </w:tc>
        <w:tc>
          <w:tcPr>
            <w:tcW w:w="2160" w:type="dxa"/>
          </w:tcPr>
          <w:p w14:paraId="2C91529F" w14:textId="77777777" w:rsidR="00945488" w:rsidRDefault="00000000">
            <w:r>
              <w:t>Impaired renal function and histological changes in animal models.</w:t>
            </w:r>
          </w:p>
        </w:tc>
        <w:tc>
          <w:tcPr>
            <w:tcW w:w="2160" w:type="dxa"/>
          </w:tcPr>
          <w:p w14:paraId="5E1B7906" w14:textId="77777777" w:rsidR="00945488" w:rsidRDefault="00000000">
            <w:r>
              <w:t>Animal studies</w:t>
            </w:r>
          </w:p>
        </w:tc>
        <w:tc>
          <w:tcPr>
            <w:tcW w:w="2160" w:type="dxa"/>
          </w:tcPr>
          <w:p w14:paraId="5EFEBE29" w14:textId="77777777" w:rsidR="00945488" w:rsidRDefault="00000000">
            <w:r>
              <w:t>Seen with very high extract doses; human relevance at typical doses uncertain.</w:t>
            </w:r>
          </w:p>
        </w:tc>
      </w:tr>
      <w:tr w:rsidR="00945488" w14:paraId="188FA8DC" w14:textId="77777777" w:rsidTr="00F31CB3">
        <w:tc>
          <w:tcPr>
            <w:tcW w:w="2160" w:type="dxa"/>
          </w:tcPr>
          <w:p w14:paraId="2CBED576" w14:textId="77777777" w:rsidR="00945488" w:rsidRDefault="00000000">
            <w:r>
              <w:t>Reproductive toxicity from roots/bark and some extracts</w:t>
            </w:r>
          </w:p>
        </w:tc>
        <w:tc>
          <w:tcPr>
            <w:tcW w:w="2160" w:type="dxa"/>
          </w:tcPr>
          <w:p w14:paraId="300FE583" w14:textId="77777777" w:rsidR="00945488" w:rsidRDefault="00000000">
            <w:r>
              <w:t>Traditional abortifacient use and animal evidence of uterine contractions and pregnancy loss.</w:t>
            </w:r>
          </w:p>
        </w:tc>
        <w:tc>
          <w:tcPr>
            <w:tcW w:w="2160" w:type="dxa"/>
          </w:tcPr>
          <w:p w14:paraId="6CE49DAA" w14:textId="77777777" w:rsidR="00945488" w:rsidRDefault="00000000">
            <w:r>
              <w:t>Ethnobotanical reports and rodent studies</w:t>
            </w:r>
          </w:p>
        </w:tc>
        <w:tc>
          <w:tcPr>
            <w:tcW w:w="2160" w:type="dxa"/>
          </w:tcPr>
          <w:p w14:paraId="1981831D" w14:textId="77777777" w:rsidR="00945488" w:rsidRDefault="00000000">
            <w:r>
              <w:t>Most concern relates to bark and roots; leaf data are more reassuring but not definitive.</w:t>
            </w:r>
          </w:p>
        </w:tc>
      </w:tr>
      <w:tr w:rsidR="00945488" w14:paraId="3444353A" w14:textId="77777777" w:rsidTr="00F31CB3">
        <w:tc>
          <w:tcPr>
            <w:tcW w:w="2160" w:type="dxa"/>
          </w:tcPr>
          <w:p w14:paraId="5A4DB1AC" w14:textId="77777777" w:rsidR="00945488" w:rsidRDefault="00000000">
            <w:r>
              <w:t>Possible effects on fertility</w:t>
            </w:r>
          </w:p>
        </w:tc>
        <w:tc>
          <w:tcPr>
            <w:tcW w:w="2160" w:type="dxa"/>
          </w:tcPr>
          <w:p w14:paraId="71A604B3" w14:textId="77777777" w:rsidR="00945488" w:rsidRDefault="00000000">
            <w:r>
              <w:t xml:space="preserve">Changes in reproductive organs and reduced fertility in </w:t>
            </w:r>
            <w:r>
              <w:lastRenderedPageBreak/>
              <w:t>some rodent experiments with high-dose extracts.</w:t>
            </w:r>
          </w:p>
        </w:tc>
        <w:tc>
          <w:tcPr>
            <w:tcW w:w="2160" w:type="dxa"/>
          </w:tcPr>
          <w:p w14:paraId="090F327A" w14:textId="77777777" w:rsidR="00945488" w:rsidRDefault="00000000">
            <w:r>
              <w:lastRenderedPageBreak/>
              <w:t>Animal reproductive‑toxicity studies</w:t>
            </w:r>
          </w:p>
        </w:tc>
        <w:tc>
          <w:tcPr>
            <w:tcW w:w="2160" w:type="dxa"/>
          </w:tcPr>
          <w:p w14:paraId="27103815" w14:textId="77777777" w:rsidR="00945488" w:rsidRDefault="00000000">
            <w:r>
              <w:t xml:space="preserve">Doses again exceed customary human intakes; human data are </w:t>
            </w:r>
            <w:r>
              <w:lastRenderedPageBreak/>
              <w:t>lacking.</w:t>
            </w:r>
          </w:p>
        </w:tc>
      </w:tr>
      <w:tr w:rsidR="00945488" w14:paraId="1DDF9EDB" w14:textId="77777777" w:rsidTr="00F31CB3">
        <w:tc>
          <w:tcPr>
            <w:tcW w:w="2160" w:type="dxa"/>
          </w:tcPr>
          <w:p w14:paraId="37BAC35E" w14:textId="77777777" w:rsidR="00945488" w:rsidRDefault="00000000">
            <w:r>
              <w:lastRenderedPageBreak/>
              <w:t>Drug interactions (CYP450, drug transporters)</w:t>
            </w:r>
          </w:p>
        </w:tc>
        <w:tc>
          <w:tcPr>
            <w:tcW w:w="2160" w:type="dxa"/>
          </w:tcPr>
          <w:p w14:paraId="12E5CA10" w14:textId="77777777" w:rsidR="00945488" w:rsidRDefault="00000000">
            <w:r>
              <w:t>May reduce efficacy or alter levels of critical drugs (e.g. antidiabetics, antimalarials, some chemo or immunosuppressants).</w:t>
            </w:r>
          </w:p>
        </w:tc>
        <w:tc>
          <w:tcPr>
            <w:tcW w:w="2160" w:type="dxa"/>
          </w:tcPr>
          <w:p w14:paraId="14858448" w14:textId="77777777" w:rsidR="00945488" w:rsidRDefault="00000000">
            <w:r>
              <w:t>Human pharmacokinetic study and mechanistic data</w:t>
            </w:r>
          </w:p>
        </w:tc>
        <w:tc>
          <w:tcPr>
            <w:tcW w:w="2160" w:type="dxa"/>
          </w:tcPr>
          <w:p w14:paraId="61308809" w14:textId="77777777" w:rsidR="00945488" w:rsidRDefault="00000000">
            <w:r>
              <w:t>Modulation of CYP3A4 and drug transporters has been reported; caution advised with narrow‑therapeutic‑index drugs.</w:t>
            </w:r>
          </w:p>
        </w:tc>
      </w:tr>
      <w:tr w:rsidR="00945488" w14:paraId="68482F3F" w14:textId="77777777" w:rsidTr="00F31CB3">
        <w:tc>
          <w:tcPr>
            <w:tcW w:w="2160" w:type="dxa"/>
          </w:tcPr>
          <w:p w14:paraId="26DE0C61" w14:textId="77777777" w:rsidR="00945488" w:rsidRDefault="00000000">
            <w:r>
              <w:t>Rare serious idiosyncratic events</w:t>
            </w:r>
          </w:p>
        </w:tc>
        <w:tc>
          <w:tcPr>
            <w:tcW w:w="2160" w:type="dxa"/>
          </w:tcPr>
          <w:p w14:paraId="2F8DB065" w14:textId="77777777" w:rsidR="00945488" w:rsidRDefault="00000000">
            <w:r>
              <w:t>Isolated reports of pulmonary embolism, liver injury and severe skin reactions temporally associated with moringa use.</w:t>
            </w:r>
          </w:p>
        </w:tc>
        <w:tc>
          <w:tcPr>
            <w:tcW w:w="2160" w:type="dxa"/>
          </w:tcPr>
          <w:p w14:paraId="69B4CD48" w14:textId="77777777" w:rsidR="00945488" w:rsidRDefault="00000000">
            <w:r>
              <w:t>Case reports and safety review</w:t>
            </w:r>
          </w:p>
        </w:tc>
        <w:tc>
          <w:tcPr>
            <w:tcW w:w="2160" w:type="dxa"/>
          </w:tcPr>
          <w:p w14:paraId="58344501" w14:textId="77777777" w:rsidR="00945488" w:rsidRDefault="00000000">
            <w:r>
              <w:t>Causality not definitively proven but warrants caution in high‑risk individuals.</w:t>
            </w:r>
          </w:p>
        </w:tc>
      </w:tr>
      <w:tr w:rsidR="00945488" w14:paraId="223CEB2B" w14:textId="77777777" w:rsidTr="00F31CB3">
        <w:tc>
          <w:tcPr>
            <w:tcW w:w="2160" w:type="dxa"/>
          </w:tcPr>
          <w:p w14:paraId="344975B4" w14:textId="77777777" w:rsidR="00945488" w:rsidRDefault="00000000">
            <w:r>
              <w:t>Contamination (microbial, heavy metals, adulterants)</w:t>
            </w:r>
          </w:p>
        </w:tc>
        <w:tc>
          <w:tcPr>
            <w:tcW w:w="2160" w:type="dxa"/>
          </w:tcPr>
          <w:p w14:paraId="013550DD" w14:textId="77777777" w:rsidR="00945488" w:rsidRDefault="00000000">
            <w:r>
              <w:t>Product‑specific risk of infection, heavy‑metal load or undeclared ingredients.</w:t>
            </w:r>
          </w:p>
        </w:tc>
        <w:tc>
          <w:tcPr>
            <w:tcW w:w="2160" w:type="dxa"/>
          </w:tcPr>
          <w:p w14:paraId="756BD2EC" w14:textId="77777777" w:rsidR="00945488" w:rsidRDefault="00000000">
            <w:r>
              <w:t>Regulatory alerts and quality investigations</w:t>
            </w:r>
          </w:p>
        </w:tc>
        <w:tc>
          <w:tcPr>
            <w:tcW w:w="2160" w:type="dxa"/>
          </w:tcPr>
          <w:p w14:paraId="4487A11F" w14:textId="77777777" w:rsidR="00945488" w:rsidRDefault="00000000">
            <w:r>
              <w:t>Depends on manufacturing standards; motivates use of audited suppliers.</w:t>
            </w:r>
          </w:p>
        </w:tc>
      </w:tr>
    </w:tbl>
    <w:p w14:paraId="1616A059" w14:textId="77777777" w:rsidR="00945488" w:rsidRDefault="00000000">
      <w:pPr>
        <w:pStyle w:val="Heading2"/>
      </w:pPr>
      <w:r>
        <w:t>5. Toxicity &amp; Safety Profile</w:t>
      </w:r>
    </w:p>
    <w:p w14:paraId="7D1233FF" w14:textId="77777777" w:rsidR="00945488" w:rsidRDefault="00000000">
      <w:r>
        <w:t>Overall, moringa leaf preparations show low toxicity in humans at customary doses, with a wide margin between supplement doses and levels causing harm in animal studies. Human trials commonly use 1–8 g/day of leaf powder or extract for several weeks to months without serious treatment‑related adverse events, though sample sizes are small and not powered to detect rare events.</w:t>
      </w:r>
    </w:p>
    <w:p w14:paraId="3E61AA48" w14:textId="77777777" w:rsidR="00945488" w:rsidRDefault="00000000">
      <w:r>
        <w:t>Repeated‑dose animal studies typically find no observed adverse effect levels (NOAELs) around or below roughly 1,000 mg/kg body weight per day for leaf extracts, with toxicity and genotoxicity emerging at around 3,000 mg/kg and above. Translating these data cautiously still leaves a large safety margin relative to usual human intakes (often 0.02–0.06 g/kg/day), but no formal acceptable daily intake (ADI) has been established in public data.</w:t>
      </w:r>
    </w:p>
    <w:p w14:paraId="43CE74AE" w14:textId="77777777" w:rsidR="00945488" w:rsidRDefault="00000000">
      <w:r>
        <w:t>Regulatory agencies such as FDA, EFSA and the EU CosIng database generally regard moringa leaf, pods, seeds and seed oil as acceptable ingredients in foods and cosmetics when used at customary levels, but no moringa preparation is approved as a medicine for treating specific diseases, and there are no official exposure limits or cancer classifications from IARC or WHO.</w:t>
      </w:r>
    </w:p>
    <w:p w14:paraId="1FE4BCF8" w14:textId="77777777" w:rsidR="00F31CB3" w:rsidRDefault="00F31CB3"/>
    <w:p w14:paraId="15AA3B94" w14:textId="77777777" w:rsidR="00F31CB3" w:rsidRDefault="00F31CB3"/>
    <w:p w14:paraId="625F1FF5" w14:textId="77777777" w:rsidR="00945488" w:rsidRDefault="00000000">
      <w:pPr>
        <w:pStyle w:val="Heading3"/>
      </w:pPr>
      <w:r>
        <w:lastRenderedPageBreak/>
        <w:t>Vulnerable Groups</w:t>
      </w:r>
    </w:p>
    <w:p w14:paraId="7659F7A8" w14:textId="77777777" w:rsidR="00945488" w:rsidRDefault="00000000">
      <w:r>
        <w:t>• Pregnant women – Culinary use of fresh leaves is common and associated with improved hemoglobin and some better pregnancy outcomes in observational and interventional studies. However, bark and roots have documented abortifacient use and some extracts show uterotonic or anti‑fertility effects in animals. Concentrated supplements should therefore be used cautiously and only under obstetric guidance.</w:t>
      </w:r>
      <w:r>
        <w:br/>
        <w:t>• Breastfeeding women – Trials using moringa leaf capsules as a galactagogue generally report no serious maternal or infant adverse effects, and major references consider moringa compatible with breastfeeding, while calling for more data.</w:t>
      </w:r>
      <w:r>
        <w:br/>
        <w:t>• Children – Safe as part of fortified foods in undernourished settings under professional supervision; high‑dose standalone capsules in healthy children are not well studied and are best avoided.</w:t>
      </w:r>
      <w:r>
        <w:br/>
        <w:t>• People with liver or kidney disease – Because of rare reports of liver injury and renal toxicity in animal models, use only with medical supervision, if at all.</w:t>
      </w:r>
      <w:r>
        <w:br/>
        <w:t>• People on multiple medications – Extra caution is warranted in those taking antidiabetics, antihypertensives, antimalarials, anticoagulants, chemotherapy or immunosuppressants due to possible pharmacokinetic interactions.</w:t>
      </w:r>
      <w:r>
        <w:br/>
        <w:t>• Workers – Those exposed to moringa dust should use masks/respirators and adequate ventilation to reduce risk of respiratory allergy or occupational asthma.</w:t>
      </w:r>
    </w:p>
    <w:p w14:paraId="747ED952" w14:textId="77777777" w:rsidR="00945488" w:rsidRDefault="00000000">
      <w:pPr>
        <w:pStyle w:val="Heading2"/>
      </w:pPr>
      <w:r>
        <w:t>6. Environmental Impact</w:t>
      </w:r>
    </w:p>
    <w:p w14:paraId="41641134" w14:textId="77777777" w:rsidR="00945488" w:rsidRDefault="00000000">
      <w:r>
        <w:t>Moringa is a plant‑derived ingredient rather than a persistent synthetic chemical. Leaves and most preparations are biodegradable and not known to bioaccumulate. Cultivation is used in agroforestry and as a drought‑tolerant crop, supporting local food security and biomass production. In some regions the species can naturalize, but it is usually grown in managed systems and is not considered a major invasive threat. Seed proteins have been used as natural flocculants in water treatment without evidence of ecotoxicity at practical concentrations. Overall environmental risk from moringa leaf capsules is very low; upstream issues are typical of agricultural production (land use, biodiversity and pesticide management).</w:t>
      </w:r>
    </w:p>
    <w:p w14:paraId="36F4DFD1" w14:textId="77777777" w:rsidR="00945488" w:rsidRDefault="00000000">
      <w:pPr>
        <w:pStyle w:val="Heading2"/>
      </w:pPr>
      <w:r>
        <w:t>7. Who Should / Should Not Use Moringa Leaf Supplements</w:t>
      </w:r>
    </w:p>
    <w:p w14:paraId="6B3B2C4A" w14:textId="77777777" w:rsidR="00945488" w:rsidRDefault="00000000">
      <w:r>
        <w:t>• General healthy adults – Low risk when using 1–2 g/day of leaf‑powder equivalent from a reputable brand. Start with a low dose, increase gradually and monitor for gastrointestinal symptoms, rashes or unusual fatigue.</w:t>
      </w:r>
      <w:r>
        <w:br/>
        <w:t>• Adults with type 2 diabetes or hypertension – Potential modest benefit for metabolic markers, but higher risk of interactions with glucose‑lowering and blood‑pressure medicines. Use only under medical supervision with tighter monitoring of blood glucose and blood pressure.</w:t>
      </w:r>
      <w:r>
        <w:br/>
        <w:t>• Pregnant women – Culinary use of leaves within traditional diets appears acceptable and potentially beneficial for anemia. Concentrated capsules or extracts should be treated as conditional: only if recommended by a clinician familiar with the data. Bark and root preparations should be avoided.</w:t>
      </w:r>
      <w:r>
        <w:br/>
      </w:r>
      <w:r>
        <w:lastRenderedPageBreak/>
        <w:t>• Breastfeeding women – May be considered as a galactagogue within supervised clinical protocols; avoid unsupervised high‑dose use.</w:t>
      </w:r>
      <w:r>
        <w:br/>
        <w:t>• Children – Appropriate only as part of professionally designed fortified foods or nutrition programs; avoid high‑dose supplements in otherwise healthy children.</w:t>
      </w:r>
      <w:r>
        <w:br/>
        <w:t>• People with pre‑existing liver, kidney or clotting disorders – Prefer avoidance or close specialist supervision due to rare but serious reported events.</w:t>
      </w:r>
      <w:r>
        <w:br/>
        <w:t>• Workers – Should apply occupational health measures (ventilation, respiratory protection) when handling bulk powders.</w:t>
      </w:r>
    </w:p>
    <w:p w14:paraId="581F0B24" w14:textId="77777777" w:rsidR="00945488" w:rsidRDefault="00000000">
      <w:pPr>
        <w:pStyle w:val="Heading2"/>
      </w:pPr>
      <w:r>
        <w:t>8. Safer Alternatives and Mitigation Strategies</w:t>
      </w:r>
    </w:p>
    <w:p w14:paraId="39FB5273" w14:textId="77777777" w:rsidR="00945488" w:rsidRDefault="00000000">
      <w:r>
        <w:t>If moringa leaf supplements are used, a health‑conscious individual should:</w:t>
      </w:r>
      <w:r>
        <w:br/>
        <w:t>• Keep doses moderate (for example, not exceeding ~2 g/day leaf powder equivalent without clinical supervision).</w:t>
      </w:r>
      <w:r>
        <w:br/>
        <w:t>• Use products from audited manufacturers with third‑party testing for heavy metals, microbial contamination and accurate labeling of plant parts (leaf only, no bark or root).</w:t>
      </w:r>
      <w:r>
        <w:br/>
        <w:t>• Time supplements away from critical medications by at least two to three hours until a physician or pharmacist reviews possible interactions.</w:t>
      </w:r>
      <w:r>
        <w:br/>
        <w:t>• Periodically reassess need and benefit by tracking biomarkers such as hemoglobin, HbA1c, lipids and liver/kidney function.</w:t>
      </w:r>
      <w:r>
        <w:br/>
        <w:t>When substitution is preferred, conventional approaches such as targeted iron supplementation for anemia, lifestyle and pharmacologic treatment for diabetes and dyslipidemia, and evidence‑based sleep and energy interventions (sleep hygiene, treatment of nutrient deficiencies) offer stronger, more predictable benefit‑risk profiles.</w:t>
      </w:r>
    </w:p>
    <w:p w14:paraId="7996CE9B" w14:textId="77777777" w:rsidR="00945488" w:rsidRDefault="00000000">
      <w:pPr>
        <w:pStyle w:val="Heading2"/>
      </w:pPr>
      <w:r>
        <w:t>9. Comparison with Alternatives</w:t>
      </w:r>
    </w:p>
    <w:tbl>
      <w:tblPr>
        <w:tblStyle w:val="TableGrid"/>
        <w:tblW w:w="10123" w:type="dxa"/>
        <w:tblInd w:w="-342" w:type="dxa"/>
        <w:tblLayout w:type="fixed"/>
        <w:tblLook w:val="04A0" w:firstRow="1" w:lastRow="0" w:firstColumn="1" w:lastColumn="0" w:noHBand="0" w:noVBand="1"/>
      </w:tblPr>
      <w:tblGrid>
        <w:gridCol w:w="1530"/>
        <w:gridCol w:w="2430"/>
        <w:gridCol w:w="2250"/>
        <w:gridCol w:w="1980"/>
        <w:gridCol w:w="1933"/>
      </w:tblGrid>
      <w:tr w:rsidR="00945488" w14:paraId="198FB2FC" w14:textId="77777777" w:rsidTr="00F31CB3">
        <w:tc>
          <w:tcPr>
            <w:tcW w:w="1530" w:type="dxa"/>
          </w:tcPr>
          <w:p w14:paraId="2980FF6E" w14:textId="77777777" w:rsidR="00945488" w:rsidRPr="00F31CB3" w:rsidRDefault="00000000">
            <w:pPr>
              <w:rPr>
                <w:b/>
                <w:bCs/>
              </w:rPr>
            </w:pPr>
            <w:r w:rsidRPr="00F31CB3">
              <w:rPr>
                <w:b/>
                <w:bCs/>
              </w:rPr>
              <w:t>Option</w:t>
            </w:r>
          </w:p>
        </w:tc>
        <w:tc>
          <w:tcPr>
            <w:tcW w:w="2430" w:type="dxa"/>
          </w:tcPr>
          <w:p w14:paraId="54D3E0D2" w14:textId="77777777" w:rsidR="00945488" w:rsidRPr="00F31CB3" w:rsidRDefault="00000000">
            <w:pPr>
              <w:rPr>
                <w:b/>
                <w:bCs/>
              </w:rPr>
            </w:pPr>
            <w:r w:rsidRPr="00F31CB3">
              <w:rPr>
                <w:b/>
                <w:bCs/>
              </w:rPr>
              <w:t>Pros</w:t>
            </w:r>
          </w:p>
        </w:tc>
        <w:tc>
          <w:tcPr>
            <w:tcW w:w="2250" w:type="dxa"/>
          </w:tcPr>
          <w:p w14:paraId="5F64CB87" w14:textId="77777777" w:rsidR="00945488" w:rsidRPr="00F31CB3" w:rsidRDefault="00000000">
            <w:pPr>
              <w:rPr>
                <w:b/>
                <w:bCs/>
              </w:rPr>
            </w:pPr>
            <w:r w:rsidRPr="00F31CB3">
              <w:rPr>
                <w:b/>
                <w:bCs/>
              </w:rPr>
              <w:t>Cons</w:t>
            </w:r>
          </w:p>
        </w:tc>
        <w:tc>
          <w:tcPr>
            <w:tcW w:w="1980" w:type="dxa"/>
          </w:tcPr>
          <w:p w14:paraId="38E0E1D2" w14:textId="77777777" w:rsidR="00945488" w:rsidRPr="00F31CB3" w:rsidRDefault="00000000">
            <w:pPr>
              <w:rPr>
                <w:b/>
                <w:bCs/>
              </w:rPr>
            </w:pPr>
            <w:r w:rsidRPr="00F31CB3">
              <w:rPr>
                <w:b/>
                <w:bCs/>
              </w:rPr>
              <w:t>Regulatory / Safety Notes</w:t>
            </w:r>
          </w:p>
        </w:tc>
        <w:tc>
          <w:tcPr>
            <w:tcW w:w="1933" w:type="dxa"/>
          </w:tcPr>
          <w:p w14:paraId="2643FEB8" w14:textId="77777777" w:rsidR="00945488" w:rsidRPr="00F31CB3" w:rsidRDefault="00000000">
            <w:pPr>
              <w:rPr>
                <w:b/>
                <w:bCs/>
              </w:rPr>
            </w:pPr>
            <w:r w:rsidRPr="00F31CB3">
              <w:rPr>
                <w:b/>
                <w:bCs/>
              </w:rPr>
              <w:t>Best For</w:t>
            </w:r>
          </w:p>
        </w:tc>
      </w:tr>
      <w:tr w:rsidR="00945488" w14:paraId="2147AC1B" w14:textId="77777777" w:rsidTr="00F31CB3">
        <w:tc>
          <w:tcPr>
            <w:tcW w:w="1530" w:type="dxa"/>
          </w:tcPr>
          <w:p w14:paraId="38D234BB" w14:textId="77777777" w:rsidR="00945488" w:rsidRDefault="00000000">
            <w:r>
              <w:t>Moringa leaf supplement</w:t>
            </w:r>
          </w:p>
        </w:tc>
        <w:tc>
          <w:tcPr>
            <w:tcW w:w="2430" w:type="dxa"/>
          </w:tcPr>
          <w:p w14:paraId="733DB2D6" w14:textId="77777777" w:rsidR="00945488" w:rsidRDefault="00000000">
            <w:r>
              <w:t>Whole‑plant nutrient profile; modest benefits for anemia, lactation and some metabolic markers; plant‑based.</w:t>
            </w:r>
          </w:p>
        </w:tc>
        <w:tc>
          <w:tcPr>
            <w:tcW w:w="2250" w:type="dxa"/>
          </w:tcPr>
          <w:p w14:paraId="2102B1D5" w14:textId="77777777" w:rsidR="00945488" w:rsidRDefault="00000000">
            <w:r>
              <w:t>Evidence for many marketed claims (sleep, joint pain, general energy) is weak; possible drug interactions; pregnancy and long‑term high‑dose data incomplete; product quality varies.</w:t>
            </w:r>
          </w:p>
        </w:tc>
        <w:tc>
          <w:tcPr>
            <w:tcW w:w="1980" w:type="dxa"/>
          </w:tcPr>
          <w:p w14:paraId="7F6CF60B" w14:textId="77777777" w:rsidR="00945488" w:rsidRDefault="00000000">
            <w:r>
              <w:t>Leaves, pods, seeds and seed oil considered “not novel” in EU foods/supplements; no ADI or formal disease‑treatment approval.</w:t>
            </w:r>
          </w:p>
        </w:tc>
        <w:tc>
          <w:tcPr>
            <w:tcW w:w="1933" w:type="dxa"/>
          </w:tcPr>
          <w:p w14:paraId="1227F0A5" w14:textId="77777777" w:rsidR="00945488" w:rsidRDefault="00000000">
            <w:r>
              <w:t>Adults seeking mild nutritional/metabolic support as an adjunct to standard care, with medical oversight.</w:t>
            </w:r>
          </w:p>
        </w:tc>
      </w:tr>
      <w:tr w:rsidR="00945488" w14:paraId="643275F7" w14:textId="77777777" w:rsidTr="00F31CB3">
        <w:tc>
          <w:tcPr>
            <w:tcW w:w="1530" w:type="dxa"/>
          </w:tcPr>
          <w:p w14:paraId="55A24A32" w14:textId="77777777" w:rsidR="00945488" w:rsidRDefault="00000000">
            <w:r>
              <w:t>Standard multivitamin–mineral at RDA levels</w:t>
            </w:r>
          </w:p>
        </w:tc>
        <w:tc>
          <w:tcPr>
            <w:tcW w:w="2430" w:type="dxa"/>
          </w:tcPr>
          <w:p w14:paraId="4E053774" w14:textId="77777777" w:rsidR="00945488" w:rsidRDefault="00000000">
            <w:r>
              <w:t>Provides defined amounts of essential micronutrients with well‑characterised safety margins and clearer labeling.</w:t>
            </w:r>
          </w:p>
        </w:tc>
        <w:tc>
          <w:tcPr>
            <w:tcW w:w="2250" w:type="dxa"/>
          </w:tcPr>
          <w:p w14:paraId="392D4E6F" w14:textId="77777777" w:rsidR="00945488" w:rsidRDefault="00000000">
            <w:r>
              <w:t>Does not provide moringa’s polyphenols or traditional‑herb appeal; high doses of certain nutrients can still interact with medications.</w:t>
            </w:r>
          </w:p>
        </w:tc>
        <w:tc>
          <w:tcPr>
            <w:tcW w:w="1980" w:type="dxa"/>
          </w:tcPr>
          <w:p w14:paraId="1A26C461" w14:textId="77777777" w:rsidR="00945488" w:rsidRDefault="00000000">
            <w:r>
              <w:t>Subject to general supplement/food regulations; upper tolerable intake levels defined for many nutrients.</w:t>
            </w:r>
          </w:p>
        </w:tc>
        <w:tc>
          <w:tcPr>
            <w:tcW w:w="1933" w:type="dxa"/>
          </w:tcPr>
          <w:p w14:paraId="5C487EB9" w14:textId="77777777" w:rsidR="00945488" w:rsidRDefault="00000000">
            <w:r>
              <w:t>General micronutrient insurance in people with limited dietary variety.</w:t>
            </w:r>
          </w:p>
        </w:tc>
      </w:tr>
      <w:tr w:rsidR="00945488" w14:paraId="48E98651" w14:textId="77777777" w:rsidTr="00F31CB3">
        <w:tc>
          <w:tcPr>
            <w:tcW w:w="1530" w:type="dxa"/>
          </w:tcPr>
          <w:p w14:paraId="7EE4811C" w14:textId="77777777" w:rsidR="00945488" w:rsidRDefault="00000000">
            <w:r>
              <w:lastRenderedPageBreak/>
              <w:t>Optimised diet + guideline‑based medical therapy (no moringa)</w:t>
            </w:r>
          </w:p>
        </w:tc>
        <w:tc>
          <w:tcPr>
            <w:tcW w:w="2430" w:type="dxa"/>
          </w:tcPr>
          <w:p w14:paraId="1F39FD18" w14:textId="77777777" w:rsidR="00945488" w:rsidRDefault="00000000">
            <w:r>
              <w:t>Strongest evidence base for reducing hard outcomes (cardiovascular events, diabetic complications, anemia); dosing and monitoring are standardised.</w:t>
            </w:r>
          </w:p>
        </w:tc>
        <w:tc>
          <w:tcPr>
            <w:tcW w:w="2250" w:type="dxa"/>
          </w:tcPr>
          <w:p w14:paraId="0EAF472E" w14:textId="77777777" w:rsidR="00945488" w:rsidRDefault="00000000">
            <w:r>
              <w:t>Less “natural” branding; may involve prescription drugs with their own side‑effects and costs.</w:t>
            </w:r>
          </w:p>
        </w:tc>
        <w:tc>
          <w:tcPr>
            <w:tcW w:w="1980" w:type="dxa"/>
          </w:tcPr>
          <w:p w14:paraId="754A71CB" w14:textId="77777777" w:rsidR="00945488" w:rsidRDefault="00000000">
            <w:r>
              <w:t>Medicines undergo formal approval and pharmacovigilance; clinical nutrition is guideline‑driven.</w:t>
            </w:r>
          </w:p>
        </w:tc>
        <w:tc>
          <w:tcPr>
            <w:tcW w:w="1933" w:type="dxa"/>
          </w:tcPr>
          <w:p w14:paraId="43FC80E4" w14:textId="77777777" w:rsidR="00945488" w:rsidRDefault="00000000">
            <w:r>
              <w:t>Patients with established chronic disease where predictable benefit‑risk balance is paramount.</w:t>
            </w:r>
          </w:p>
        </w:tc>
      </w:tr>
    </w:tbl>
    <w:p w14:paraId="41D2A2F3" w14:textId="77777777" w:rsidR="00945488" w:rsidRDefault="00000000">
      <w:pPr>
        <w:pStyle w:val="Heading2"/>
      </w:pPr>
      <w:r>
        <w:t>10. Key Source Types (High Level)</w:t>
      </w:r>
    </w:p>
    <w:p w14:paraId="48C20FBB" w14:textId="77777777" w:rsidR="00945488" w:rsidRDefault="00000000">
      <w:r>
        <w:t>This report is based on:</w:t>
      </w:r>
      <w:r>
        <w:br/>
        <w:t>• Peer‑reviewed reviews and original studies on moringa’s phytochemistry, nutrition and pharmacology.</w:t>
      </w:r>
      <w:r>
        <w:br/>
        <w:t>• Randomized controlled trials and observational studies on anemia, lactation support and cardiometabolic outcomes.</w:t>
      </w:r>
      <w:r>
        <w:br/>
        <w:t>• Toxicology studies examining acute, sub‑chronic and genotoxic effects at varying doses.</w:t>
      </w:r>
      <w:r>
        <w:br/>
        <w:t>• Case reports and systematic reviews of moringa‑related adverse events.</w:t>
      </w:r>
      <w:r>
        <w:br/>
        <w:t>• Regulatory and expert‑opinion sources including the EU Novel Food Catalogue, EFSA, FDA and the LactMed database.</w:t>
      </w:r>
      <w:r>
        <w:br/>
        <w:t>Exact citations can be supplied separately in journal style (e.g. Vancouver) if required for scientific or legal use.</w:t>
      </w:r>
    </w:p>
    <w:sectPr w:rsidR="009454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748562">
    <w:abstractNumId w:val="8"/>
  </w:num>
  <w:num w:numId="2" w16cid:durableId="1679884884">
    <w:abstractNumId w:val="6"/>
  </w:num>
  <w:num w:numId="3" w16cid:durableId="1820076198">
    <w:abstractNumId w:val="5"/>
  </w:num>
  <w:num w:numId="4" w16cid:durableId="723722492">
    <w:abstractNumId w:val="4"/>
  </w:num>
  <w:num w:numId="5" w16cid:durableId="1081488485">
    <w:abstractNumId w:val="7"/>
  </w:num>
  <w:num w:numId="6" w16cid:durableId="470368807">
    <w:abstractNumId w:val="3"/>
  </w:num>
  <w:num w:numId="7" w16cid:durableId="1827476084">
    <w:abstractNumId w:val="2"/>
  </w:num>
  <w:num w:numId="8" w16cid:durableId="1782989941">
    <w:abstractNumId w:val="1"/>
  </w:num>
  <w:num w:numId="9" w16cid:durableId="48752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5488"/>
    <w:rsid w:val="00AA1D8D"/>
    <w:rsid w:val="00B47730"/>
    <w:rsid w:val="00CB0664"/>
    <w:rsid w:val="00E91E21"/>
    <w:rsid w:val="00F31C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B7058"/>
  <w14:defaultImageDpi w14:val="300"/>
  <w15:docId w15:val="{176568FC-B984-4F4A-8E49-99E1A26E4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2390</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2</cp:revision>
  <dcterms:created xsi:type="dcterms:W3CDTF">2013-12-23T23:15:00Z</dcterms:created>
  <dcterms:modified xsi:type="dcterms:W3CDTF">2025-12-03T09:57:00Z</dcterms:modified>
  <cp:category/>
</cp:coreProperties>
</file>