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A1B0" w14:textId="77777777" w:rsidR="00432086" w:rsidRDefault="00000000">
      <w:pPr>
        <w:pStyle w:val="Title"/>
      </w:pPr>
      <w:r>
        <w:t>Nitric Oxide – Risk–Benefit Assessment</w:t>
      </w:r>
    </w:p>
    <w:p w14:paraId="78D7D56B" w14:textId="77777777" w:rsidR="00432086" w:rsidRDefault="00000000">
      <w:pPr>
        <w:pStyle w:val="Heading1"/>
      </w:pPr>
      <w:r>
        <w:t>1. Executive Summary</w:t>
      </w:r>
    </w:p>
    <w:p w14:paraId="0B236D13" w14:textId="77777777" w:rsidR="00432086" w:rsidRDefault="00000000">
      <w:r>
        <w:t>Nitric oxide (NO) is a gaseous signalling molecule produced in the body and an industrial/medical gas used as a selective pulmonary vasodilator. It is also the target of so‑called “nitric oxide boosters” (dietary supplements based on L‑arginine, L‑citrulline or dietary nitrate) that aim to increase endogenous NO production.</w:t>
      </w:r>
      <w:r>
        <w:br/>
      </w:r>
      <w:r>
        <w:br/>
        <w:t>In medicine, inhaled NO can be life‑saving in conditions such as persistent pulmonary hypertension of the newborn and perioperative pulmonary hypertension, improving oxygenation and reducing pulmonary arterial pressure when used under strict monitoring. As an air pollutant and occupational gas, however, nitric oxide and its oxidation product nitrogen dioxide can damage the lungs, cause methemoglobinaemia and contribute to cardiopulmonary disease at high concentrations.</w:t>
      </w:r>
      <w:r>
        <w:br/>
      </w:r>
      <w:r>
        <w:br/>
        <w:t>For dietary supplements designed to enhance NO production, the overall risk for healthy adults at typical doses is low–moderate, with common side effects such as gastrointestinal upset, headache and blood‑pressure lowering. Risks become more significant in individuals with cardiovascular disease, hypotension, kidney or liver impairment, or when combined with nitrates or phosphodiesterase‑5 inhibitors.</w:t>
      </w:r>
    </w:p>
    <w:p w14:paraId="691C2779" w14:textId="77777777" w:rsidR="00432086" w:rsidRDefault="00000000">
      <w:pPr>
        <w:pStyle w:val="Heading1"/>
      </w:pPr>
      <w:r>
        <w:t>2. Definition &amp; Context</w:t>
      </w:r>
    </w:p>
    <w:p w14:paraId="78234849" w14:textId="77777777" w:rsidR="00432086" w:rsidRDefault="00000000">
      <w:r>
        <w:t>• Identity: Nitric oxide (NO) is a diatomic free‑radical gas (CAS 10102‑43‑9), colourless and poorly soluble in water. In air it is rapidly oxidised to nitrogen dioxide (NO₂).</w:t>
      </w:r>
      <w:r>
        <w:br/>
        <w:t>• Endogenous role: Synthesised from L‑arginine by nitric oxide synthase (NOS) enzymes, NO is a key signalling molecule in vascular tone regulation, platelet function, neurotransmission and immune responses.</w:t>
      </w:r>
      <w:r>
        <w:br/>
        <w:t>• Medical product: Compressed NO gas (usually in nitrogen) is used as inhaled nitric oxide (iNO), a selective pulmonary vasodilator for persistent pulmonary hypertension of the newborn and perioperative or intensive‑care management of pulmonary hypertension and right‑ventricular failure.</w:t>
      </w:r>
      <w:r>
        <w:br/>
        <w:t>• Environmental/occupational: NO is produced by combustion (vehicle exhaust, power plants, welding, industrial processes) and is a major nitrogen oxide (NOx) pollutant along with NO₂. Workers may be exposed in hospitals, industrial gas production, metal processing and confined‑space work.</w:t>
      </w:r>
      <w:r>
        <w:br/>
        <w:t>• Supplements: “Nitric oxide supplements” do not contain NO gas but precursors (L‑arginine, L‑citrulline, beetroot or other nitrate sources) intended to increase endogenous NO synthesis.</w:t>
      </w:r>
      <w:r>
        <w:br/>
        <w:t xml:space="preserve">• Regulatory context: Inhaled NO is a prescription medicinal gas with strict dosing and monitoring protocols. Occupational exposure limits are typically 25 ppm (≈30 mg/m³) as an </w:t>
      </w:r>
      <w:r>
        <w:lastRenderedPageBreak/>
        <w:t>8‑hour time‑weighted average. Dietary supplements are regulated as foods and not as drugs in most jurisdictions.</w:t>
      </w:r>
    </w:p>
    <w:p w14:paraId="7C9917F8" w14:textId="77777777" w:rsidR="00432086" w:rsidRDefault="00000000">
      <w:pPr>
        <w:pStyle w:val="Heading1"/>
      </w:pPr>
      <w:r>
        <w:t>3. Benefits / Positive Effects</w:t>
      </w:r>
    </w:p>
    <w:tbl>
      <w:tblPr>
        <w:tblStyle w:val="TableGrid"/>
        <w:tblW w:w="9198" w:type="dxa"/>
        <w:tblLook w:val="04A0" w:firstRow="1" w:lastRow="0" w:firstColumn="1" w:lastColumn="0" w:noHBand="0" w:noVBand="1"/>
      </w:tblPr>
      <w:tblGrid>
        <w:gridCol w:w="2268"/>
        <w:gridCol w:w="3960"/>
        <w:gridCol w:w="2970"/>
      </w:tblGrid>
      <w:tr w:rsidR="00432086" w14:paraId="6D2E3D22" w14:textId="77777777" w:rsidTr="009E597A">
        <w:tc>
          <w:tcPr>
            <w:tcW w:w="2268" w:type="dxa"/>
          </w:tcPr>
          <w:p w14:paraId="18398440" w14:textId="77777777" w:rsidR="00432086" w:rsidRPr="009E597A" w:rsidRDefault="00000000">
            <w:pPr>
              <w:rPr>
                <w:b/>
                <w:bCs/>
              </w:rPr>
            </w:pPr>
            <w:r w:rsidRPr="009E597A">
              <w:rPr>
                <w:b/>
                <w:bCs/>
              </w:rPr>
              <w:t>Benefit</w:t>
            </w:r>
          </w:p>
        </w:tc>
        <w:tc>
          <w:tcPr>
            <w:tcW w:w="3960" w:type="dxa"/>
          </w:tcPr>
          <w:p w14:paraId="7193482A" w14:textId="77777777" w:rsidR="00432086" w:rsidRPr="009E597A" w:rsidRDefault="00000000">
            <w:pPr>
              <w:rPr>
                <w:b/>
                <w:bCs/>
              </w:rPr>
            </w:pPr>
            <w:r w:rsidRPr="009E597A">
              <w:rPr>
                <w:b/>
                <w:bCs/>
              </w:rPr>
              <w:t>Why It Matters (real‑world impact)</w:t>
            </w:r>
          </w:p>
        </w:tc>
        <w:tc>
          <w:tcPr>
            <w:tcW w:w="2970" w:type="dxa"/>
          </w:tcPr>
          <w:p w14:paraId="3A4466F3" w14:textId="77777777" w:rsidR="00432086" w:rsidRPr="009E597A" w:rsidRDefault="00000000">
            <w:pPr>
              <w:rPr>
                <w:b/>
                <w:bCs/>
              </w:rPr>
            </w:pPr>
            <w:r w:rsidRPr="009E597A">
              <w:rPr>
                <w:b/>
                <w:bCs/>
              </w:rPr>
              <w:t>Evidence / Source (example)</w:t>
            </w:r>
          </w:p>
        </w:tc>
      </w:tr>
      <w:tr w:rsidR="00432086" w14:paraId="2590AFCE" w14:textId="77777777" w:rsidTr="009E597A">
        <w:tc>
          <w:tcPr>
            <w:tcW w:w="2268" w:type="dxa"/>
          </w:tcPr>
          <w:p w14:paraId="21EC3EC9" w14:textId="77777777" w:rsidR="00432086" w:rsidRDefault="00000000">
            <w:r>
              <w:t>Selective pulmonary vasodilation (inhaled NO in intensive care)</w:t>
            </w:r>
          </w:p>
        </w:tc>
        <w:tc>
          <w:tcPr>
            <w:tcW w:w="3960" w:type="dxa"/>
          </w:tcPr>
          <w:p w14:paraId="7F315B30" w14:textId="77777777" w:rsidR="00432086" w:rsidRDefault="00000000">
            <w:r>
              <w:t>Improves oxygenation and reduces pulmonary artery pressure without causing systemic hypotension, which is critical in treating persistent pulmonary hypertension of the newborn (PPHN) and perioperative pulmonary hypertension in cardiac surgery.</w:t>
            </w:r>
          </w:p>
        </w:tc>
        <w:tc>
          <w:tcPr>
            <w:tcW w:w="2970" w:type="dxa"/>
          </w:tcPr>
          <w:p w14:paraId="23844D28" w14:textId="77777777" w:rsidR="00432086" w:rsidRDefault="00000000">
            <w:r>
              <w:t>Multiple clinical trials and decades of ICU use show improved oxygenation and haemodynamics in PPHN and perioperative pulmonary hypertension.</w:t>
            </w:r>
          </w:p>
        </w:tc>
      </w:tr>
      <w:tr w:rsidR="00432086" w14:paraId="39B390F2" w14:textId="77777777" w:rsidTr="009E597A">
        <w:tc>
          <w:tcPr>
            <w:tcW w:w="2268" w:type="dxa"/>
          </w:tcPr>
          <w:p w14:paraId="3AB5351F" w14:textId="77777777" w:rsidR="00432086" w:rsidRDefault="00000000">
            <w:r>
              <w:t>Diagnostic tool for pulmonary vasoreactivity</w:t>
            </w:r>
          </w:p>
        </w:tc>
        <w:tc>
          <w:tcPr>
            <w:tcW w:w="3960" w:type="dxa"/>
          </w:tcPr>
          <w:p w14:paraId="54C3C472" w14:textId="77777777" w:rsidR="00432086" w:rsidRDefault="00000000">
            <w:r>
              <w:t>Short‑term inhalation of NO is used during right‑heart catheterisation to test pulmonary vascular responsiveness and guide selection of long‑term therapies.</w:t>
            </w:r>
          </w:p>
        </w:tc>
        <w:tc>
          <w:tcPr>
            <w:tcW w:w="2970" w:type="dxa"/>
          </w:tcPr>
          <w:p w14:paraId="75542F9D" w14:textId="77777777" w:rsidR="00432086" w:rsidRDefault="00000000">
            <w:r>
              <w:t>Cardiology guidelines and specialist reviews describe inhaled NO as a standard agent for acute vasoreactivity testing.</w:t>
            </w:r>
          </w:p>
        </w:tc>
      </w:tr>
      <w:tr w:rsidR="00432086" w14:paraId="6A87C3F2" w14:textId="77777777" w:rsidTr="009E597A">
        <w:tc>
          <w:tcPr>
            <w:tcW w:w="2268" w:type="dxa"/>
          </w:tcPr>
          <w:p w14:paraId="38CC77F2" w14:textId="77777777" w:rsidR="00432086" w:rsidRDefault="00000000">
            <w:r>
              <w:t>Supportive therapy in selected adult pulmonary hypertension / ARDS cases</w:t>
            </w:r>
          </w:p>
        </w:tc>
        <w:tc>
          <w:tcPr>
            <w:tcW w:w="3960" w:type="dxa"/>
          </w:tcPr>
          <w:p w14:paraId="17224533" w14:textId="77777777" w:rsidR="00432086" w:rsidRDefault="00000000">
            <w:r>
              <w:t>In adults, inhaled NO can transiently improve ventilation–perfusion matching and oxygenation in acute respiratory distress syndrome (ARDS) or decompensated pulmonary hypertension, providing a bridge to definitive treatment.</w:t>
            </w:r>
          </w:p>
        </w:tc>
        <w:tc>
          <w:tcPr>
            <w:tcW w:w="2970" w:type="dxa"/>
          </w:tcPr>
          <w:p w14:paraId="18C5778B" w14:textId="77777777" w:rsidR="00432086" w:rsidRDefault="00000000">
            <w:r>
              <w:t>Systematic reviews show improved oxygenation, though no consistent mortality benefit, so use is reserved for carefully selected cases.</w:t>
            </w:r>
          </w:p>
        </w:tc>
      </w:tr>
      <w:tr w:rsidR="00432086" w14:paraId="426D5A85" w14:textId="77777777" w:rsidTr="009E597A">
        <w:tc>
          <w:tcPr>
            <w:tcW w:w="2268" w:type="dxa"/>
          </w:tcPr>
          <w:p w14:paraId="7574FA72" w14:textId="77777777" w:rsidR="00432086" w:rsidRDefault="00000000">
            <w:r>
              <w:t>Endogenous NO for vascular health</w:t>
            </w:r>
          </w:p>
        </w:tc>
        <w:tc>
          <w:tcPr>
            <w:tcW w:w="3960" w:type="dxa"/>
          </w:tcPr>
          <w:p w14:paraId="23B8D7F5" w14:textId="77777777" w:rsidR="00432086" w:rsidRDefault="00000000">
            <w:r>
              <w:t>Physiological NO produced from L‑arginine/L‑citrulline helps maintain endothelial function, regulate blood pressure and inhibit platelet aggregation, reducing cardiovascular risk when supported by healthy lifestyle.</w:t>
            </w:r>
          </w:p>
        </w:tc>
        <w:tc>
          <w:tcPr>
            <w:tcW w:w="2970" w:type="dxa"/>
          </w:tcPr>
          <w:p w14:paraId="0541A541" w14:textId="77777777" w:rsidR="00432086" w:rsidRDefault="00000000">
            <w:r>
              <w:t>Extensive cardiovascular physiology literature describes NO as a central endothelium‑derived relaxing factor.</w:t>
            </w:r>
          </w:p>
        </w:tc>
      </w:tr>
      <w:tr w:rsidR="00432086" w14:paraId="3703AC35" w14:textId="77777777" w:rsidTr="009E597A">
        <w:tc>
          <w:tcPr>
            <w:tcW w:w="2268" w:type="dxa"/>
          </w:tcPr>
          <w:p w14:paraId="78368B16" w14:textId="77777777" w:rsidR="00432086" w:rsidRDefault="00000000">
            <w:r>
              <w:t>NO‑targeting supplements (arginine, citrulline, nitrate) – performance and BP</w:t>
            </w:r>
          </w:p>
        </w:tc>
        <w:tc>
          <w:tcPr>
            <w:tcW w:w="3960" w:type="dxa"/>
          </w:tcPr>
          <w:p w14:paraId="5F82C4F9" w14:textId="77777777" w:rsidR="00432086" w:rsidRDefault="00000000">
            <w:r>
              <w:t>Some trials show modest improvements in exercise capacity, muscle perfusion and blood pressure with L‑arginine, L‑citrulline or nitrate‑rich supplements, though results are inconsistent and effect sizes are generally small.</w:t>
            </w:r>
          </w:p>
        </w:tc>
        <w:tc>
          <w:tcPr>
            <w:tcW w:w="2970" w:type="dxa"/>
          </w:tcPr>
          <w:p w14:paraId="36CB7992" w14:textId="77777777" w:rsidR="00432086" w:rsidRDefault="00000000">
            <w:r>
              <w:t>Recent reviews and meta‑analyses of NO‑boosting supplements report mixed but sometimes positive effects on performance and blood pressure.</w:t>
            </w:r>
          </w:p>
        </w:tc>
      </w:tr>
      <w:tr w:rsidR="00432086" w14:paraId="45F1334F" w14:textId="77777777" w:rsidTr="009E597A">
        <w:tc>
          <w:tcPr>
            <w:tcW w:w="2268" w:type="dxa"/>
          </w:tcPr>
          <w:p w14:paraId="22F242C0" w14:textId="77777777" w:rsidR="00432086" w:rsidRDefault="00000000">
            <w:r>
              <w:t>Sexual function (via NO pathway)</w:t>
            </w:r>
          </w:p>
        </w:tc>
        <w:tc>
          <w:tcPr>
            <w:tcW w:w="3960" w:type="dxa"/>
          </w:tcPr>
          <w:p w14:paraId="42F77CE4" w14:textId="77777777" w:rsidR="00432086" w:rsidRDefault="00000000">
            <w:r>
              <w:t>The NO–cGMP pathway is central to penile erection; supporting NO bioavailability (e.g. with L‑arginine or L‑citrulline) can modestly improve erectile function in some men with mild ED, particularly as an adjunct to lifestyle interventions.</w:t>
            </w:r>
          </w:p>
        </w:tc>
        <w:tc>
          <w:tcPr>
            <w:tcW w:w="2970" w:type="dxa"/>
          </w:tcPr>
          <w:p w14:paraId="2B7F1910" w14:textId="77777777" w:rsidR="00432086" w:rsidRDefault="00000000">
            <w:r>
              <w:t>Clinical trials of L‑arginine/L‑citrulline show small improvements in erectile function scores in selected patients.</w:t>
            </w:r>
          </w:p>
        </w:tc>
      </w:tr>
    </w:tbl>
    <w:p w14:paraId="514A35E4" w14:textId="77777777" w:rsidR="00432086" w:rsidRDefault="00000000">
      <w:pPr>
        <w:pStyle w:val="Heading1"/>
      </w:pPr>
      <w:r>
        <w:lastRenderedPageBreak/>
        <w:t>4. Risks / Negative Effects</w:t>
      </w:r>
    </w:p>
    <w:tbl>
      <w:tblPr>
        <w:tblStyle w:val="TableGrid"/>
        <w:tblW w:w="9720" w:type="dxa"/>
        <w:tblInd w:w="-522" w:type="dxa"/>
        <w:tblLook w:val="04A0" w:firstRow="1" w:lastRow="0" w:firstColumn="1" w:lastColumn="0" w:noHBand="0" w:noVBand="1"/>
      </w:tblPr>
      <w:tblGrid>
        <w:gridCol w:w="3084"/>
        <w:gridCol w:w="2735"/>
        <w:gridCol w:w="1732"/>
        <w:gridCol w:w="2169"/>
      </w:tblGrid>
      <w:tr w:rsidR="00432086" w14:paraId="30DCF7D2" w14:textId="77777777" w:rsidTr="009E597A">
        <w:tc>
          <w:tcPr>
            <w:tcW w:w="3084" w:type="dxa"/>
          </w:tcPr>
          <w:p w14:paraId="3E5D6C86" w14:textId="77777777" w:rsidR="00432086" w:rsidRDefault="00000000">
            <w:r>
              <w:t>Risk / Effect</w:t>
            </w:r>
          </w:p>
          <w:p w14:paraId="27023DA7" w14:textId="77777777" w:rsidR="009E597A" w:rsidRPr="009E597A" w:rsidRDefault="009E597A" w:rsidP="009E597A">
            <w:pPr>
              <w:ind w:firstLine="720"/>
            </w:pPr>
          </w:p>
        </w:tc>
        <w:tc>
          <w:tcPr>
            <w:tcW w:w="2735" w:type="dxa"/>
          </w:tcPr>
          <w:p w14:paraId="1C03F0A2" w14:textId="77777777" w:rsidR="00432086" w:rsidRDefault="00000000">
            <w:r>
              <w:t>Potential Impact (mild / moderate / severe)</w:t>
            </w:r>
          </w:p>
        </w:tc>
        <w:tc>
          <w:tcPr>
            <w:tcW w:w="1732" w:type="dxa"/>
          </w:tcPr>
          <w:p w14:paraId="5E333CD5" w14:textId="77777777" w:rsidR="00432086" w:rsidRDefault="00000000">
            <w:r>
              <w:t>Type of Evidence</w:t>
            </w:r>
          </w:p>
        </w:tc>
        <w:tc>
          <w:tcPr>
            <w:tcW w:w="2169" w:type="dxa"/>
          </w:tcPr>
          <w:p w14:paraId="6EB1AA3E" w14:textId="77777777" w:rsidR="00432086" w:rsidRDefault="00000000">
            <w:r>
              <w:t>Key Notes (acute vs chronic)</w:t>
            </w:r>
          </w:p>
        </w:tc>
      </w:tr>
      <w:tr w:rsidR="00432086" w14:paraId="68526A4D" w14:textId="77777777" w:rsidTr="009E597A">
        <w:tc>
          <w:tcPr>
            <w:tcW w:w="3084" w:type="dxa"/>
          </w:tcPr>
          <w:p w14:paraId="281C1153" w14:textId="77777777" w:rsidR="00432086" w:rsidRDefault="00000000">
            <w:r>
              <w:t>Acute lung injury from high NO/NO₂ exposure (environmental/occupational)</w:t>
            </w:r>
          </w:p>
        </w:tc>
        <w:tc>
          <w:tcPr>
            <w:tcW w:w="2735" w:type="dxa"/>
          </w:tcPr>
          <w:p w14:paraId="57D1756B" w14:textId="77777777" w:rsidR="00432086" w:rsidRDefault="00000000">
            <w:r>
              <w:t>Severe – cough, chest tightness, delayed pulmonary oedema, respiratory failure, death at high concentrations.</w:t>
            </w:r>
          </w:p>
        </w:tc>
        <w:tc>
          <w:tcPr>
            <w:tcW w:w="1732" w:type="dxa"/>
          </w:tcPr>
          <w:p w14:paraId="199262AA" w14:textId="77777777" w:rsidR="00432086" w:rsidRDefault="00000000">
            <w:r>
              <w:t>Human poisoning cases; occupational and environmental toxicology.</w:t>
            </w:r>
          </w:p>
        </w:tc>
        <w:tc>
          <w:tcPr>
            <w:tcW w:w="2169" w:type="dxa"/>
          </w:tcPr>
          <w:p w14:paraId="1FDFD09A" w14:textId="77777777" w:rsidR="00432086" w:rsidRDefault="00000000">
            <w:r>
              <w:t>Acute; due to direct irritation and oxidative damage from NO₂ and nitric acid formed when NO contacts air and moist tissues.</w:t>
            </w:r>
          </w:p>
        </w:tc>
      </w:tr>
      <w:tr w:rsidR="00432086" w14:paraId="05DC106A" w14:textId="77777777" w:rsidTr="009E597A">
        <w:tc>
          <w:tcPr>
            <w:tcW w:w="3084" w:type="dxa"/>
          </w:tcPr>
          <w:p w14:paraId="3CC4FB51" w14:textId="77777777" w:rsidR="00432086" w:rsidRDefault="00000000">
            <w:r>
              <w:t>Methemoglobinaemia from inhaled NO (medical)</w:t>
            </w:r>
          </w:p>
        </w:tc>
        <w:tc>
          <w:tcPr>
            <w:tcW w:w="2735" w:type="dxa"/>
          </w:tcPr>
          <w:p w14:paraId="6BEA291E" w14:textId="77777777" w:rsidR="00432086" w:rsidRDefault="00000000">
            <w:r>
              <w:t>Mild to life‑threatening depending on level; reduces oxygen‑carrying capacity.</w:t>
            </w:r>
          </w:p>
        </w:tc>
        <w:tc>
          <w:tcPr>
            <w:tcW w:w="1732" w:type="dxa"/>
          </w:tcPr>
          <w:p w14:paraId="113843CF" w14:textId="77777777" w:rsidR="00432086" w:rsidRDefault="00000000">
            <w:r>
              <w:t>Clinical trials and case reports in neonates and adults.</w:t>
            </w:r>
          </w:p>
        </w:tc>
        <w:tc>
          <w:tcPr>
            <w:tcW w:w="2169" w:type="dxa"/>
          </w:tcPr>
          <w:p w14:paraId="368E22DC" w14:textId="77777777" w:rsidR="00432086" w:rsidRDefault="00000000">
            <w:r>
              <w:t>Acute; risk increases at higher doses or prolonged use. Requires monitoring of MetHb levels and inspired NO₂; reversible with dose reduction or methylene blue in severe cases.</w:t>
            </w:r>
          </w:p>
        </w:tc>
      </w:tr>
      <w:tr w:rsidR="00432086" w14:paraId="021047D6" w14:textId="77777777" w:rsidTr="009E597A">
        <w:tc>
          <w:tcPr>
            <w:tcW w:w="3084" w:type="dxa"/>
          </w:tcPr>
          <w:p w14:paraId="666E78B7" w14:textId="77777777" w:rsidR="00432086" w:rsidRDefault="00000000">
            <w:r>
              <w:t>Rebound pulmonary hypertension on abrupt withdrawal (medical)</w:t>
            </w:r>
          </w:p>
        </w:tc>
        <w:tc>
          <w:tcPr>
            <w:tcW w:w="2735" w:type="dxa"/>
          </w:tcPr>
          <w:p w14:paraId="3719E5E3" w14:textId="77777777" w:rsidR="00432086" w:rsidRDefault="00000000">
            <w:r>
              <w:t>Moderate to severe haemodynamic instability in vulnerable patients.</w:t>
            </w:r>
          </w:p>
        </w:tc>
        <w:tc>
          <w:tcPr>
            <w:tcW w:w="1732" w:type="dxa"/>
          </w:tcPr>
          <w:p w14:paraId="77951465" w14:textId="77777777" w:rsidR="00432086" w:rsidRDefault="00000000">
            <w:r>
              <w:t>Clinical experience and case series in ICU settings.</w:t>
            </w:r>
          </w:p>
        </w:tc>
        <w:tc>
          <w:tcPr>
            <w:tcW w:w="2169" w:type="dxa"/>
          </w:tcPr>
          <w:p w14:paraId="2D3C6C37" w14:textId="77777777" w:rsidR="00432086" w:rsidRDefault="00000000">
            <w:r>
              <w:t>Acute; occurs when inhaled NO is stopped suddenly after prolonged use. Prevented by gradual weaning and optimisation of background therapy.</w:t>
            </w:r>
          </w:p>
        </w:tc>
      </w:tr>
      <w:tr w:rsidR="00432086" w14:paraId="0D4AF1D4" w14:textId="77777777" w:rsidTr="009E597A">
        <w:tc>
          <w:tcPr>
            <w:tcW w:w="3084" w:type="dxa"/>
          </w:tcPr>
          <w:p w14:paraId="45A085A7" w14:textId="77777777" w:rsidR="00432086" w:rsidRDefault="00000000">
            <w:r>
              <w:t>Chronic respiratory effects (NOx air pollution)</w:t>
            </w:r>
          </w:p>
        </w:tc>
        <w:tc>
          <w:tcPr>
            <w:tcW w:w="2735" w:type="dxa"/>
          </w:tcPr>
          <w:p w14:paraId="3A343841" w14:textId="77777777" w:rsidR="00432086" w:rsidRDefault="00000000">
            <w:r>
              <w:t>Moderate – increased risk of bronchitis, reduced lung function, asthma exacerbations and cardiovascular morbidity with long‑term urban NOx exposure.</w:t>
            </w:r>
          </w:p>
        </w:tc>
        <w:tc>
          <w:tcPr>
            <w:tcW w:w="1732" w:type="dxa"/>
          </w:tcPr>
          <w:p w14:paraId="005EE544" w14:textId="77777777" w:rsidR="00432086" w:rsidRDefault="00000000">
            <w:r>
              <w:t>Epidemiological studies on traffic‑related air pollution.</w:t>
            </w:r>
          </w:p>
        </w:tc>
        <w:tc>
          <w:tcPr>
            <w:tcW w:w="2169" w:type="dxa"/>
          </w:tcPr>
          <w:p w14:paraId="538E1866" w14:textId="77777777" w:rsidR="00432086" w:rsidRDefault="00000000">
            <w:r>
              <w:t>Chronic; effects are largely attributable to the NOx mixture (NO + NO₂ + particulates) rather than NO alone.</w:t>
            </w:r>
          </w:p>
        </w:tc>
      </w:tr>
      <w:tr w:rsidR="00432086" w14:paraId="13EC473B" w14:textId="77777777" w:rsidTr="009E597A">
        <w:tc>
          <w:tcPr>
            <w:tcW w:w="3084" w:type="dxa"/>
          </w:tcPr>
          <w:p w14:paraId="0F2BFBAE" w14:textId="77777777" w:rsidR="00432086" w:rsidRDefault="00000000">
            <w:r>
              <w:t>Hypotension, dizziness, headache (supplements or NO donors)</w:t>
            </w:r>
          </w:p>
        </w:tc>
        <w:tc>
          <w:tcPr>
            <w:tcW w:w="2735" w:type="dxa"/>
          </w:tcPr>
          <w:p w14:paraId="2562F564" w14:textId="77777777" w:rsidR="00432086" w:rsidRDefault="00000000">
            <w:r>
              <w:t>Mild–moderate; can be severe in people on antihypertensives, nitrates or PDE‑5 inhibitors.</w:t>
            </w:r>
          </w:p>
        </w:tc>
        <w:tc>
          <w:tcPr>
            <w:tcW w:w="1732" w:type="dxa"/>
          </w:tcPr>
          <w:p w14:paraId="606CB320" w14:textId="77777777" w:rsidR="00432086" w:rsidRDefault="00000000">
            <w:r>
              <w:t>Human clinical trials and supplement studies.</w:t>
            </w:r>
          </w:p>
        </w:tc>
        <w:tc>
          <w:tcPr>
            <w:tcW w:w="2169" w:type="dxa"/>
          </w:tcPr>
          <w:p w14:paraId="4520BC80" w14:textId="77777777" w:rsidR="00432086" w:rsidRDefault="00000000">
            <w:r>
              <w:t>Acute; related to systemic vasodilation and lower blood pressure. Risk increases when multiple vasodilatory agents are combined.</w:t>
            </w:r>
          </w:p>
        </w:tc>
      </w:tr>
      <w:tr w:rsidR="00432086" w14:paraId="495030EC" w14:textId="77777777" w:rsidTr="009E597A">
        <w:tc>
          <w:tcPr>
            <w:tcW w:w="3084" w:type="dxa"/>
          </w:tcPr>
          <w:p w14:paraId="6A7555E8" w14:textId="77777777" w:rsidR="00432086" w:rsidRDefault="00000000">
            <w:r>
              <w:t>Gastrointestinal upset (NO‑boosting supplements)</w:t>
            </w:r>
          </w:p>
        </w:tc>
        <w:tc>
          <w:tcPr>
            <w:tcW w:w="2735" w:type="dxa"/>
          </w:tcPr>
          <w:p w14:paraId="326D9D51" w14:textId="77777777" w:rsidR="00432086" w:rsidRDefault="00000000">
            <w:r>
              <w:t>Mild – nausea, diarrhoea, abdominal discomfort.</w:t>
            </w:r>
          </w:p>
        </w:tc>
        <w:tc>
          <w:tcPr>
            <w:tcW w:w="1732" w:type="dxa"/>
          </w:tcPr>
          <w:p w14:paraId="323905D1" w14:textId="77777777" w:rsidR="00432086" w:rsidRDefault="00000000">
            <w:r>
              <w:t>Human trials with L‑arginine and L‑citrulline.</w:t>
            </w:r>
          </w:p>
        </w:tc>
        <w:tc>
          <w:tcPr>
            <w:tcW w:w="2169" w:type="dxa"/>
          </w:tcPr>
          <w:p w14:paraId="50A0F126" w14:textId="77777777" w:rsidR="00432086" w:rsidRDefault="00000000">
            <w:r>
              <w:t>Acute; dose‑dependent and usually reversible on dose reduction or discontinuation.</w:t>
            </w:r>
          </w:p>
        </w:tc>
      </w:tr>
      <w:tr w:rsidR="00432086" w14:paraId="552E9F72" w14:textId="77777777" w:rsidTr="009E597A">
        <w:tc>
          <w:tcPr>
            <w:tcW w:w="3084" w:type="dxa"/>
          </w:tcPr>
          <w:p w14:paraId="247199B7" w14:textId="77777777" w:rsidR="00432086" w:rsidRDefault="00000000">
            <w:r>
              <w:lastRenderedPageBreak/>
              <w:t>Potential herpes virus reactivation (arginine‑rich supplements)</w:t>
            </w:r>
          </w:p>
        </w:tc>
        <w:tc>
          <w:tcPr>
            <w:tcW w:w="2735" w:type="dxa"/>
          </w:tcPr>
          <w:p w14:paraId="3522BC00" w14:textId="77777777" w:rsidR="00432086" w:rsidRDefault="00000000">
            <w:r>
              <w:t>Mild–moderate; cold sore outbreaks in susceptible individuals.</w:t>
            </w:r>
          </w:p>
        </w:tc>
        <w:tc>
          <w:tcPr>
            <w:tcW w:w="1732" w:type="dxa"/>
          </w:tcPr>
          <w:p w14:paraId="10932086" w14:textId="77777777" w:rsidR="00432086" w:rsidRDefault="00000000">
            <w:r>
              <w:t>Case reports and virology data.</w:t>
            </w:r>
          </w:p>
        </w:tc>
        <w:tc>
          <w:tcPr>
            <w:tcW w:w="2169" w:type="dxa"/>
          </w:tcPr>
          <w:p w14:paraId="775363F5" w14:textId="77777777" w:rsidR="00432086" w:rsidRDefault="00000000">
            <w:r>
              <w:t>Acute/recurrent; high arginine intake may promote HSV reactivation in predisposed people.</w:t>
            </w:r>
          </w:p>
        </w:tc>
      </w:tr>
      <w:tr w:rsidR="00432086" w14:paraId="11A52E06" w14:textId="77777777" w:rsidTr="009E597A">
        <w:tc>
          <w:tcPr>
            <w:tcW w:w="3084" w:type="dxa"/>
          </w:tcPr>
          <w:p w14:paraId="78A7B28D" w14:textId="77777777" w:rsidR="00432086" w:rsidRDefault="00000000">
            <w:r>
              <w:t>Uncertain long‑term cardiovascular/cancer risk from chronic high‑dose NO precursor use</w:t>
            </w:r>
          </w:p>
        </w:tc>
        <w:tc>
          <w:tcPr>
            <w:tcW w:w="2735" w:type="dxa"/>
          </w:tcPr>
          <w:p w14:paraId="5479B8C4" w14:textId="77777777" w:rsidR="00432086" w:rsidRDefault="00000000">
            <w:r>
              <w:t>Unknown; likely low but not well quantified.</w:t>
            </w:r>
          </w:p>
        </w:tc>
        <w:tc>
          <w:tcPr>
            <w:tcW w:w="1732" w:type="dxa"/>
          </w:tcPr>
          <w:p w14:paraId="5CB2269F" w14:textId="77777777" w:rsidR="00432086" w:rsidRDefault="00000000">
            <w:r>
              <w:t>Lack of long‑term randomized data; reliance on mechanistic reasoning.</w:t>
            </w:r>
          </w:p>
        </w:tc>
        <w:tc>
          <w:tcPr>
            <w:tcW w:w="2169" w:type="dxa"/>
          </w:tcPr>
          <w:p w14:paraId="39807F6C" w14:textId="77777777" w:rsidR="00432086" w:rsidRDefault="00000000">
            <w:r>
              <w:t>Chronic; most supplement studies are short‑term. No strong signal of major harm at usual doses, but long‑horizon outcome data are limited.</w:t>
            </w:r>
          </w:p>
        </w:tc>
      </w:tr>
    </w:tbl>
    <w:p w14:paraId="08E36337" w14:textId="77777777" w:rsidR="00432086" w:rsidRDefault="00000000">
      <w:pPr>
        <w:pStyle w:val="Heading1"/>
      </w:pPr>
      <w:r>
        <w:t>5. Toxicity &amp; Safety Profile</w:t>
      </w:r>
    </w:p>
    <w:p w14:paraId="1661EFF4" w14:textId="77777777" w:rsidR="00432086" w:rsidRDefault="00000000">
      <w:r>
        <w:t>Inhaled Nitric Oxide (medical):</w:t>
      </w:r>
      <w:r>
        <w:br/>
        <w:t>• Typical ICU doses are in the range of 5–20 ppm (occasionally higher for short periods), delivered via specialised equipment with continuous monitoring of inspired NO, nitrogen dioxide (NO₂) and patient methemoglobin levels.</w:t>
      </w:r>
      <w:r>
        <w:br/>
        <w:t>• Main toxicities are NO₂‑induced airway injury and methemoglobinaemia. With modern delivery systems and careful monitoring, serious adverse events are uncommon in experienced centres.</w:t>
      </w:r>
      <w:r>
        <w:br/>
        <w:t>• Regulatory agencies approve inhaled NO for persistent pulmonary hypertension of the newborn and other narrow indications; use is restricted to hospital settings under specialist control.</w:t>
      </w:r>
      <w:r>
        <w:br/>
      </w:r>
      <w:r>
        <w:br/>
        <w:t>Occupational/environmental exposure:</w:t>
      </w:r>
      <w:r>
        <w:br/>
        <w:t>• NO is regulated as a hazardous air contaminant. Typical 8‑hour time‑weighted average exposure limits are 25 ppm (~30 mg/m³). Immediately dangerous to life or health (IDLH) levels are around 100 ppm.</w:t>
      </w:r>
      <w:r>
        <w:br/>
        <w:t>• High‑level acute exposures can cause chemical pneumonitis and pulmonary oedema; chronic exposures to NOx (NO + NO₂) are associated with respiratory and cardiovascular disease.</w:t>
      </w:r>
      <w:r>
        <w:br/>
      </w:r>
      <w:r>
        <w:br/>
        <w:t>Dietary NO‑boosting supplements:</w:t>
      </w:r>
      <w:r>
        <w:br/>
        <w:t>• L‑arginine, L‑citrulline and nitrate‑rich products are generally well tolerated at commonly used doses in healthy adults, with gastrointestinal upset, headache and flushing as the main side effects.</w:t>
      </w:r>
      <w:r>
        <w:br/>
        <w:t>• They can potentiate blood‑pressure‑lowering drugs and interact with nitrates or PDE‑5 inhibitors; caution and medical supervision are advised in people with cardiovascular disease, hypotension, kidney or liver impairment.</w:t>
      </w:r>
      <w:r>
        <w:br/>
        <w:t xml:space="preserve">• There are no established NO‑specific acceptable daily intakes for these supplements; </w:t>
      </w:r>
      <w:r>
        <w:lastRenderedPageBreak/>
        <w:t>manufacturers typically recommend doses based on short‑term performance studies rather than long‑term safety data.</w:t>
      </w:r>
    </w:p>
    <w:p w14:paraId="463F153E" w14:textId="77777777" w:rsidR="00432086" w:rsidRDefault="00000000">
      <w:pPr>
        <w:pStyle w:val="Heading1"/>
      </w:pPr>
      <w:r>
        <w:t>6. Environmental Impact</w:t>
      </w:r>
    </w:p>
    <w:p w14:paraId="7D1ECECD" w14:textId="77777777" w:rsidR="00432086" w:rsidRDefault="00000000">
      <w:r>
        <w:t>• Source and transformation: Nitric oxide is emitted mainly from combustion processes (traffic, power generation, industrial boilers). In the atmosphere it rapidly oxidises to nitrogen dioxide (NO₂), contributing to the broader nitrogen oxides (NOx) burden.</w:t>
      </w:r>
      <w:r>
        <w:br/>
        <w:t>• Air quality: NOx plays a central role in the formation of ground‑level ozone and secondary particulate matter, key components of urban smog. Chronic exposure is linked to respiratory and cardiovascular morbidity.</w:t>
      </w:r>
      <w:r>
        <w:br/>
        <w:t>• Ecosystems: Deposition of oxidised nitrogen contributes to soil and water acidification and nutrient imbalance, affecting biodiversity in sensitive ecosystems.</w:t>
      </w:r>
      <w:r>
        <w:br/>
        <w:t>• Climate: NO itself has a minor direct greenhouse effect; its main climate relevance is via ozone formation and interactions with other greenhouse gases.</w:t>
      </w:r>
      <w:r>
        <w:br/>
        <w:t>• Regulatory responses: Air‑quality standards and emission controls (vehicle standards, industrial permits) target NOx emissions rather than NO alone. Medical‑grade NO use contributes negligibly to environmental NOx compared with combustion sources.</w:t>
      </w:r>
    </w:p>
    <w:p w14:paraId="21F0822A" w14:textId="77777777" w:rsidR="00432086" w:rsidRDefault="00000000">
      <w:pPr>
        <w:pStyle w:val="Heading1"/>
      </w:pPr>
      <w:r>
        <w:t>7. Who Should / Should Not Be Exposed</w:t>
      </w:r>
    </w:p>
    <w:p w14:paraId="22BE4A1E" w14:textId="77777777" w:rsidR="00432086" w:rsidRDefault="00000000">
      <w:r>
        <w:t>Healthy adults (environmental background levels):</w:t>
      </w:r>
      <w:r>
        <w:br/>
        <w:t>• Unavoidable low‑level exposure to NOx in cities. Health‑conscious individuals should minimise time in heavy traffic, avoid indoor combustion sources without ventilation and support clean‑air policies.</w:t>
      </w:r>
      <w:r>
        <w:br/>
      </w:r>
      <w:r>
        <w:br/>
        <w:t>Patients receiving inhaled NO (hospital):</w:t>
      </w:r>
      <w:r>
        <w:br/>
        <w:t>• Only appropriate for specific indications under specialist supervision (PPHN, selected pulmonary hypertension and perioperative cases).</w:t>
      </w:r>
      <w:r>
        <w:br/>
        <w:t>• Not a home or wellness therapy; dosing and weaning must be tightly protocol‑driven.</w:t>
      </w:r>
      <w:r>
        <w:br/>
      </w:r>
      <w:r>
        <w:br/>
        <w:t>Athletes and fitness enthusiasts using NO‑boosting supplements:</w:t>
      </w:r>
      <w:r>
        <w:br/>
        <w:t>• Generally low–moderate risk in healthy adults when doses follow product labels.</w:t>
      </w:r>
      <w:r>
        <w:br/>
        <w:t>• Should avoid stacking multiple NO boosters and stimulants; monitor for dizziness, headaches and blood‑pressure changes.</w:t>
      </w:r>
      <w:r>
        <w:br/>
      </w:r>
      <w:r>
        <w:br/>
        <w:t>People who should be cautious or avoid NO‑boosting supplements:</w:t>
      </w:r>
      <w:r>
        <w:br/>
        <w:t>• Individuals with unstable coronary disease, severe hypotension, advanced heart failure or significant arrhythmias.</w:t>
      </w:r>
      <w:r>
        <w:br/>
        <w:t>• Those on nitrates for angina or PDE‑5 inhibitors for erectile dysfunction, due to additive vasodilatory effects.</w:t>
      </w:r>
      <w:r>
        <w:br/>
        <w:t>• People with significant kidney or liver impairment, and those with recurrent herpes outbreaks (for high‑arginine products).</w:t>
      </w:r>
      <w:r>
        <w:br/>
      </w:r>
      <w:r>
        <w:lastRenderedPageBreak/>
        <w:t>• Pregnant or breastfeeding women should only use such supplements under medical advice.</w:t>
      </w:r>
      <w:r>
        <w:br/>
      </w:r>
      <w:r>
        <w:br/>
        <w:t>Workers in high‑NOx environments:</w:t>
      </w:r>
      <w:r>
        <w:br/>
        <w:t>• Welders, boiler operators, tunnel and silo workers, and staff handling NO gas require engineering controls, monitoring and appropriate PPE (respiratory protection, ventilation) to keep exposure well below regulatory limits.</w:t>
      </w:r>
    </w:p>
    <w:p w14:paraId="792E37F6" w14:textId="77777777" w:rsidR="00432086" w:rsidRDefault="00000000">
      <w:pPr>
        <w:pStyle w:val="Heading1"/>
      </w:pPr>
      <w:r>
        <w:t>8. Safer Alternatives or Mitigation Strategies</w:t>
      </w:r>
    </w:p>
    <w:p w14:paraId="7D25DB1D" w14:textId="77777777" w:rsidR="00432086" w:rsidRDefault="00000000">
      <w:r>
        <w:t>For cardiovascular and performance goals:</w:t>
      </w:r>
      <w:r>
        <w:br/>
        <w:t>• Prioritise foundational strategies (training, sleep, nutrition, blood‑pressure control) before considering NO‑boosting supplements.</w:t>
      </w:r>
      <w:r>
        <w:br/>
        <w:t>• Use dietary approaches to support endogenous NO: regular aerobic exercise, a Mediterranean‑style diet rich in vegetables (especially leafy greens and beetroot), fruit, nuts and olive oil, and avoidance of smoking.</w:t>
      </w:r>
      <w:r>
        <w:br/>
        <w:t>• If supplements are considered, prefer single‑ingredient products with transparent labelling and third‑party testing, and start at the lower end of usual dose ranges under medical guidance.</w:t>
      </w:r>
      <w:r>
        <w:br/>
      </w:r>
      <w:r>
        <w:br/>
        <w:t>For environmental and occupational exposure:</w:t>
      </w:r>
      <w:r>
        <w:br/>
        <w:t>• Improve ventilation and exhaust systems, use catalytic converters and adhere to emission standards in industrial and transport settings.</w:t>
      </w:r>
      <w:r>
        <w:br/>
        <w:t>• Implement routine air monitoring and enforce occupational exposure limits; provide training and PPE for workers.</w:t>
      </w:r>
      <w:r>
        <w:br/>
      </w:r>
      <w:r>
        <w:br/>
        <w:t>Medical inhaled NO:</w:t>
      </w:r>
      <w:r>
        <w:br/>
        <w:t>• Restrict use to evidence‑based indications; employ the lowest effective dose and duration; ensure gradual weaning to avoid rebound effects.</w:t>
      </w:r>
      <w:r>
        <w:br/>
        <w:t>• Consider alternative pulmonary vasodilators (e.g. prostacyclin analogues, phosphodiesterase‑5 inhibitors) where clinically appropriate and supported by guidelines.</w:t>
      </w:r>
    </w:p>
    <w:p w14:paraId="3053E664" w14:textId="77777777" w:rsidR="00432086" w:rsidRDefault="00000000">
      <w:pPr>
        <w:pStyle w:val="Heading1"/>
      </w:pPr>
      <w:r>
        <w:t>9. Comparison with Alternatives</w:t>
      </w:r>
    </w:p>
    <w:tbl>
      <w:tblPr>
        <w:tblStyle w:val="TableGrid"/>
        <w:tblW w:w="0" w:type="auto"/>
        <w:tblLook w:val="04A0" w:firstRow="1" w:lastRow="0" w:firstColumn="1" w:lastColumn="0" w:noHBand="0" w:noVBand="1"/>
      </w:tblPr>
      <w:tblGrid>
        <w:gridCol w:w="1357"/>
        <w:gridCol w:w="1840"/>
        <w:gridCol w:w="2149"/>
        <w:gridCol w:w="1770"/>
        <w:gridCol w:w="1740"/>
      </w:tblGrid>
      <w:tr w:rsidR="00432086" w14:paraId="326FF9E8" w14:textId="77777777" w:rsidTr="009E597A">
        <w:tc>
          <w:tcPr>
            <w:tcW w:w="1728" w:type="dxa"/>
          </w:tcPr>
          <w:p w14:paraId="1DBA51BD" w14:textId="77777777" w:rsidR="00432086" w:rsidRDefault="00000000">
            <w:r>
              <w:t>Option</w:t>
            </w:r>
          </w:p>
        </w:tc>
        <w:tc>
          <w:tcPr>
            <w:tcW w:w="1728" w:type="dxa"/>
          </w:tcPr>
          <w:p w14:paraId="0FDE771C" w14:textId="77777777" w:rsidR="00432086" w:rsidRDefault="00000000">
            <w:r>
              <w:t>Pros</w:t>
            </w:r>
          </w:p>
        </w:tc>
        <w:tc>
          <w:tcPr>
            <w:tcW w:w="1728" w:type="dxa"/>
          </w:tcPr>
          <w:p w14:paraId="648C3088" w14:textId="77777777" w:rsidR="00432086" w:rsidRDefault="00000000">
            <w:r>
              <w:t>Cons</w:t>
            </w:r>
          </w:p>
        </w:tc>
        <w:tc>
          <w:tcPr>
            <w:tcW w:w="1728" w:type="dxa"/>
          </w:tcPr>
          <w:p w14:paraId="712EB68F" w14:textId="77777777" w:rsidR="00432086" w:rsidRDefault="00000000">
            <w:r>
              <w:t>Regulatory / Safety Notes</w:t>
            </w:r>
          </w:p>
        </w:tc>
        <w:tc>
          <w:tcPr>
            <w:tcW w:w="1728" w:type="dxa"/>
          </w:tcPr>
          <w:p w14:paraId="281E6E08" w14:textId="77777777" w:rsidR="00432086" w:rsidRDefault="00000000">
            <w:r>
              <w:t>Best For</w:t>
            </w:r>
          </w:p>
        </w:tc>
      </w:tr>
      <w:tr w:rsidR="00432086" w14:paraId="00A8EAAD" w14:textId="77777777" w:rsidTr="009E597A">
        <w:tc>
          <w:tcPr>
            <w:tcW w:w="1728" w:type="dxa"/>
          </w:tcPr>
          <w:p w14:paraId="0CD2FA53" w14:textId="77777777" w:rsidR="00432086" w:rsidRDefault="00000000">
            <w:r>
              <w:t>Inhaled nitric oxide (medical gas)</w:t>
            </w:r>
          </w:p>
        </w:tc>
        <w:tc>
          <w:tcPr>
            <w:tcW w:w="1728" w:type="dxa"/>
          </w:tcPr>
          <w:p w14:paraId="14D9E8BE" w14:textId="77777777" w:rsidR="00432086" w:rsidRDefault="00000000">
            <w:r>
              <w:t xml:space="preserve">Rapid, selective pulmonary vasodilator; strong effect in PPHN and perioperative pulmonary hypertension; can be titrated </w:t>
            </w:r>
            <w:r>
              <w:lastRenderedPageBreak/>
              <w:t>minute‑to‑minute.</w:t>
            </w:r>
          </w:p>
        </w:tc>
        <w:tc>
          <w:tcPr>
            <w:tcW w:w="1728" w:type="dxa"/>
          </w:tcPr>
          <w:p w14:paraId="06C28968" w14:textId="77777777" w:rsidR="00432086" w:rsidRDefault="00000000">
            <w:r>
              <w:lastRenderedPageBreak/>
              <w:t>Requires specialised delivery systems and monitoring; risk of NO₂ toxicity, methemoglobinaemia and rebound pulmonary hypertension; expensive.</w:t>
            </w:r>
          </w:p>
        </w:tc>
        <w:tc>
          <w:tcPr>
            <w:tcW w:w="1728" w:type="dxa"/>
          </w:tcPr>
          <w:p w14:paraId="701E2016" w14:textId="77777777" w:rsidR="00432086" w:rsidRDefault="00000000">
            <w:r>
              <w:t>Prescription‑only hospital therapy with strict protocols and monitoring requirements.</w:t>
            </w:r>
          </w:p>
        </w:tc>
        <w:tc>
          <w:tcPr>
            <w:tcW w:w="1728" w:type="dxa"/>
          </w:tcPr>
          <w:p w14:paraId="4EC1ECDE" w14:textId="77777777" w:rsidR="00432086" w:rsidRDefault="00000000">
            <w:r>
              <w:t>Critically ill patients with specific indications in ICU or operating theatre.</w:t>
            </w:r>
          </w:p>
        </w:tc>
      </w:tr>
      <w:tr w:rsidR="00432086" w14:paraId="65835F0F" w14:textId="77777777" w:rsidTr="009E597A">
        <w:tc>
          <w:tcPr>
            <w:tcW w:w="1728" w:type="dxa"/>
          </w:tcPr>
          <w:p w14:paraId="6B3FA325" w14:textId="77777777" w:rsidR="00432086" w:rsidRDefault="00000000">
            <w:r>
              <w:t>Dietary nitrate (e.g. beetroot, leafy greens)</w:t>
            </w:r>
          </w:p>
        </w:tc>
        <w:tc>
          <w:tcPr>
            <w:tcW w:w="1728" w:type="dxa"/>
          </w:tcPr>
          <w:p w14:paraId="0362BA68" w14:textId="77777777" w:rsidR="00432086" w:rsidRDefault="00000000">
            <w:r>
              <w:t>Evidence for modest blood‑pressure reduction and improved exercise performance; comes packaged with beneficial nutrients and antioxidants.</w:t>
            </w:r>
          </w:p>
        </w:tc>
        <w:tc>
          <w:tcPr>
            <w:tcW w:w="1728" w:type="dxa"/>
          </w:tcPr>
          <w:p w14:paraId="7D95DF73" w14:textId="77777777" w:rsidR="00432086" w:rsidRDefault="00000000">
            <w:r>
              <w:t>Nitrate and oxalate load may be problematic in kidney disease or stone‑prone patients; effects on performance are modest and variable.</w:t>
            </w:r>
          </w:p>
        </w:tc>
        <w:tc>
          <w:tcPr>
            <w:tcW w:w="1728" w:type="dxa"/>
          </w:tcPr>
          <w:p w14:paraId="79AA3D67" w14:textId="77777777" w:rsidR="00432086" w:rsidRDefault="00000000">
            <w:r>
              <w:t>Regulated as food; nitrate ADI guidelines apply; overall considered low risk for most people.</w:t>
            </w:r>
          </w:p>
        </w:tc>
        <w:tc>
          <w:tcPr>
            <w:tcW w:w="1728" w:type="dxa"/>
          </w:tcPr>
          <w:p w14:paraId="130297B9" w14:textId="77777777" w:rsidR="00432086" w:rsidRDefault="00000000">
            <w:r>
              <w:t>Health‑conscious adults wanting cardiovascular support through diet.</w:t>
            </w:r>
          </w:p>
        </w:tc>
      </w:tr>
      <w:tr w:rsidR="00432086" w14:paraId="7664B8BA" w14:textId="77777777" w:rsidTr="009E597A">
        <w:tc>
          <w:tcPr>
            <w:tcW w:w="1728" w:type="dxa"/>
          </w:tcPr>
          <w:p w14:paraId="7BE2ADE5" w14:textId="77777777" w:rsidR="00432086" w:rsidRDefault="00000000">
            <w:r>
              <w:t>L‑arginine / L‑citrulline supplements</w:t>
            </w:r>
          </w:p>
        </w:tc>
        <w:tc>
          <w:tcPr>
            <w:tcW w:w="1728" w:type="dxa"/>
          </w:tcPr>
          <w:p w14:paraId="4236162A" w14:textId="77777777" w:rsidR="00432086" w:rsidRDefault="00000000">
            <w:r>
              <w:t>Convenient, standardised dosing; can support NO production and may aid exercise performance and erectile function in some individuals.</w:t>
            </w:r>
          </w:p>
        </w:tc>
        <w:tc>
          <w:tcPr>
            <w:tcW w:w="1728" w:type="dxa"/>
          </w:tcPr>
          <w:p w14:paraId="2FFD195C" w14:textId="77777777" w:rsidR="00432086" w:rsidRDefault="00000000">
            <w:r>
              <w:t>Evidence is mixed; possible GI side effects, hypotension and interactions with cardiovascular drugs; long‑term outcomes are not well defined.</w:t>
            </w:r>
          </w:p>
        </w:tc>
        <w:tc>
          <w:tcPr>
            <w:tcW w:w="1728" w:type="dxa"/>
          </w:tcPr>
          <w:p w14:paraId="1BC29892" w14:textId="77777777" w:rsidR="00432086" w:rsidRDefault="00000000">
            <w:r>
              <w:t>Regulated as food supplements; quality control varies; should be used cautiously in people with cardiovascular, kidney or liver disease.</w:t>
            </w:r>
          </w:p>
        </w:tc>
        <w:tc>
          <w:tcPr>
            <w:tcW w:w="1728" w:type="dxa"/>
          </w:tcPr>
          <w:p w14:paraId="1363CAB8" w14:textId="77777777" w:rsidR="00432086" w:rsidRDefault="00000000">
            <w:r>
              <w:t>Selected adults aiming for small performance or vascular benefits once foundational health factors are optimised.</w:t>
            </w:r>
          </w:p>
        </w:tc>
      </w:tr>
    </w:tbl>
    <w:p w14:paraId="110FA724" w14:textId="77777777" w:rsidR="00432086" w:rsidRDefault="00000000">
      <w:pPr>
        <w:pStyle w:val="Heading1"/>
      </w:pPr>
      <w:r>
        <w:t>10. Key References (High Level)</w:t>
      </w:r>
    </w:p>
    <w:p w14:paraId="208BD564" w14:textId="77777777" w:rsidR="00432086" w:rsidRDefault="00000000">
      <w:r>
        <w:t>• Major reviews on inhaled nitric oxide as a selective pulmonary vasodilator in PPHN and adult pulmonary hypertension.</w:t>
      </w:r>
    </w:p>
    <w:p w14:paraId="2F86117B" w14:textId="77777777" w:rsidR="00432086" w:rsidRDefault="00000000">
      <w:r>
        <w:t>• NIOSH/OSHA documents on nitric oxide occupational exposure limits and IDLH values.</w:t>
      </w:r>
    </w:p>
    <w:p w14:paraId="45595F58" w14:textId="77777777" w:rsidR="00432086" w:rsidRDefault="00000000">
      <w:r>
        <w:t>• ATSDR and WHO materials on nitrogen oxides (NOx) and air‑pollution health effects.</w:t>
      </w:r>
    </w:p>
    <w:p w14:paraId="10AB8DA3" w14:textId="77777777" w:rsidR="00432086" w:rsidRDefault="00000000">
      <w:r>
        <w:t>• Recent reviews on dietary nitric‑oxide‑boosting supplements (L‑arginine, L‑citrulline, dietary nitrate) and their effects on exercise performance and blood pressure.</w:t>
      </w:r>
    </w:p>
    <w:p w14:paraId="20655173" w14:textId="77777777" w:rsidR="00432086" w:rsidRDefault="00000000">
      <w:r>
        <w:t>• Clinical trials on L‑arginine and L‑citrulline for erectile dysfunction and vascular function.</w:t>
      </w:r>
    </w:p>
    <w:sectPr w:rsidR="004320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759068">
    <w:abstractNumId w:val="8"/>
  </w:num>
  <w:num w:numId="2" w16cid:durableId="1985231622">
    <w:abstractNumId w:val="6"/>
  </w:num>
  <w:num w:numId="3" w16cid:durableId="2012633629">
    <w:abstractNumId w:val="5"/>
  </w:num>
  <w:num w:numId="4" w16cid:durableId="611715247">
    <w:abstractNumId w:val="4"/>
  </w:num>
  <w:num w:numId="5" w16cid:durableId="2056930662">
    <w:abstractNumId w:val="7"/>
  </w:num>
  <w:num w:numId="6" w16cid:durableId="832068924">
    <w:abstractNumId w:val="3"/>
  </w:num>
  <w:num w:numId="7" w16cid:durableId="1368725565">
    <w:abstractNumId w:val="2"/>
  </w:num>
  <w:num w:numId="8" w16cid:durableId="1284655203">
    <w:abstractNumId w:val="1"/>
  </w:num>
  <w:num w:numId="9" w16cid:durableId="80119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086"/>
    <w:rsid w:val="008A0CF2"/>
    <w:rsid w:val="00925FEF"/>
    <w:rsid w:val="009E59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C349D"/>
  <w14:defaultImageDpi w14:val="300"/>
  <w15:docId w15:val="{B55D6FBB-C2EE-41DA-91EF-95FFC803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2358</Words>
  <Characters>13444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2</cp:revision>
  <dcterms:created xsi:type="dcterms:W3CDTF">2013-12-23T23:15:00Z</dcterms:created>
  <dcterms:modified xsi:type="dcterms:W3CDTF">2025-12-04T09:15:00Z</dcterms:modified>
  <cp:category/>
</cp:coreProperties>
</file>