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74A6E"/>
          <w:sz w:val="60"/>
        </w:rPr>
        <w:t>PANGA NA KUPANGISHA</w:t>
      </w:r>
    </w:p>
    <w:p>
      <w:pPr>
        <w:jc w:val="center"/>
      </w:pPr>
      <w:r>
        <w:rPr>
          <w:b/>
          <w:color w:val="2778A5"/>
          <w:sz w:val="38"/>
        </w:rPr>
        <w:t>Engineering Software Requirements Specification</w:t>
      </w:r>
    </w:p>
    <w:p>
      <w:pPr>
        <w:jc w:val="center"/>
      </w:pPr>
      <w:r>
        <w:rPr>
          <w:sz w:val="22"/>
        </w:rPr>
        <w:t>Version 1.0 | 12 October 2026 | Draft for Engineering Review</w:t>
      </w:r>
    </w:p>
    <w:p/>
    <w:p>
      <w:pPr>
        <w:jc w:val="center"/>
      </w:pPr>
      <w:r>
        <w:rPr>
          <w:i/>
        </w:rPr>
        <w:t>A multi-role property marketplace and rental-lifecycle platform for Tanzania</w:t>
      </w:r>
    </w:p>
    <w:p/>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4A6E"/>
          </w:tcPr>
          <w:p>
            <w:pPr>
              <w:spacing w:after="0"/>
            </w:pPr>
            <w:r/>
            <w:r>
              <w:rPr>
                <w:rFonts w:ascii="Aptos" w:hAnsi="Aptos"/>
                <w:b/>
                <w:color w:val="FFFFFF"/>
                <w:sz w:val="17"/>
              </w:rPr>
              <w:t>Document control</w:t>
            </w:r>
          </w:p>
        </w:tc>
        <w:tc>
          <w:tcPr>
            <w:tcW w:type="dxa" w:w="7920"/>
            <w:vAlign w:val="center"/>
            <w:shd w:fill="174A6E"/>
          </w:tcPr>
          <w:p>
            <w:pPr>
              <w:spacing w:after="0"/>
            </w:pPr>
            <w:r/>
            <w:r>
              <w:rPr>
                <w:rFonts w:ascii="Aptos" w:hAnsi="Aptos"/>
                <w:b/>
                <w:color w:val="FFFFFF"/>
                <w:sz w:val="17"/>
              </w:rPr>
              <w:t>Value</w:t>
            </w:r>
          </w:p>
        </w:tc>
      </w:tr>
      <w:tr>
        <w:tc>
          <w:tcPr>
            <w:tcW w:type="dxa" w:w="2448"/>
            <w:vAlign w:val="center"/>
          </w:tcPr>
          <w:p>
            <w:pPr>
              <w:spacing w:after="0"/>
            </w:pPr>
            <w:r/>
            <w:r>
              <w:rPr>
                <w:rFonts w:ascii="Aptos" w:hAnsi="Aptos"/>
                <w:b w:val="0"/>
                <w:sz w:val="16"/>
              </w:rPr>
              <w:t>Product</w:t>
            </w:r>
          </w:p>
        </w:tc>
        <w:tc>
          <w:tcPr>
            <w:tcW w:type="dxa" w:w="7920"/>
            <w:vAlign w:val="center"/>
          </w:tcPr>
          <w:p>
            <w:pPr>
              <w:spacing w:after="0"/>
            </w:pPr>
            <w:r/>
            <w:r>
              <w:rPr>
                <w:rFonts w:ascii="Aptos" w:hAnsi="Aptos"/>
                <w:b w:val="0"/>
                <w:sz w:val="16"/>
              </w:rPr>
              <w:t>Panga na Kupangisha (also referred to as Panga Pangisha)</w:t>
            </w:r>
          </w:p>
        </w:tc>
      </w:tr>
      <w:tr>
        <w:tc>
          <w:tcPr>
            <w:tcW w:type="dxa" w:w="2448"/>
            <w:vAlign w:val="center"/>
            <w:shd w:fill="F1F6F9"/>
          </w:tcPr>
          <w:p>
            <w:pPr>
              <w:spacing w:after="0"/>
            </w:pPr>
            <w:r/>
            <w:r>
              <w:rPr>
                <w:rFonts w:ascii="Aptos" w:hAnsi="Aptos"/>
                <w:b w:val="0"/>
                <w:sz w:val="16"/>
              </w:rPr>
              <w:t>Document type</w:t>
            </w:r>
          </w:p>
        </w:tc>
        <w:tc>
          <w:tcPr>
            <w:tcW w:type="dxa" w:w="7920"/>
            <w:vAlign w:val="center"/>
            <w:shd w:fill="F1F6F9"/>
          </w:tcPr>
          <w:p>
            <w:pPr>
              <w:spacing w:after="0"/>
            </w:pPr>
            <w:r/>
            <w:r>
              <w:rPr>
                <w:rFonts w:ascii="Aptos" w:hAnsi="Aptos"/>
                <w:b w:val="0"/>
                <w:sz w:val="16"/>
              </w:rPr>
              <w:t>Engineering SRS / functional and technical baseline</w:t>
            </w:r>
          </w:p>
        </w:tc>
      </w:tr>
      <w:tr>
        <w:tc>
          <w:tcPr>
            <w:tcW w:type="dxa" w:w="2448"/>
            <w:vAlign w:val="center"/>
          </w:tcPr>
          <w:p>
            <w:pPr>
              <w:spacing w:after="0"/>
            </w:pPr>
            <w:r/>
            <w:r>
              <w:rPr>
                <w:rFonts w:ascii="Aptos" w:hAnsi="Aptos"/>
                <w:b w:val="0"/>
                <w:sz w:val="16"/>
              </w:rPr>
              <w:t>Prepared for</w:t>
            </w:r>
          </w:p>
        </w:tc>
        <w:tc>
          <w:tcPr>
            <w:tcW w:type="dxa" w:w="7920"/>
            <w:vAlign w:val="center"/>
          </w:tcPr>
          <w:p>
            <w:pPr>
              <w:spacing w:after="0"/>
            </w:pPr>
            <w:r/>
            <w:r>
              <w:rPr>
                <w:rFonts w:ascii="Aptos" w:hAnsi="Aptos"/>
                <w:b w:val="0"/>
                <w:sz w:val="16"/>
              </w:rPr>
              <w:t>Product, engineering, QA, design, operations and compliance review</w:t>
            </w:r>
          </w:p>
        </w:tc>
      </w:tr>
      <w:tr>
        <w:tc>
          <w:tcPr>
            <w:tcW w:type="dxa" w:w="2448"/>
            <w:vAlign w:val="center"/>
            <w:shd w:fill="F1F6F9"/>
          </w:tcPr>
          <w:p>
            <w:pPr>
              <w:spacing w:after="0"/>
            </w:pPr>
            <w:r/>
            <w:r>
              <w:rPr>
                <w:rFonts w:ascii="Aptos" w:hAnsi="Aptos"/>
                <w:b w:val="0"/>
                <w:sz w:val="16"/>
              </w:rPr>
              <w:t>Status</w:t>
            </w:r>
          </w:p>
        </w:tc>
        <w:tc>
          <w:tcPr>
            <w:tcW w:type="dxa" w:w="7920"/>
            <w:vAlign w:val="center"/>
            <w:shd w:fill="F1F6F9"/>
          </w:tcPr>
          <w:p>
            <w:pPr>
              <w:spacing w:after="0"/>
            </w:pPr>
            <w:r/>
            <w:r>
              <w:rPr>
                <w:rFonts w:ascii="Aptos" w:hAnsi="Aptos"/>
                <w:b w:val="0"/>
                <w:sz w:val="16"/>
              </w:rPr>
              <w:t>Draft; requirements must be validated with stakeholders and Tanzanian legal/compliance advisers</w:t>
            </w:r>
          </w:p>
        </w:tc>
      </w:tr>
      <w:tr>
        <w:tc>
          <w:tcPr>
            <w:tcW w:type="dxa" w:w="2448"/>
            <w:vAlign w:val="center"/>
          </w:tcPr>
          <w:p>
            <w:pPr>
              <w:spacing w:after="0"/>
            </w:pPr>
            <w:r/>
            <w:r>
              <w:rPr>
                <w:rFonts w:ascii="Aptos" w:hAnsi="Aptos"/>
                <w:b w:val="0"/>
                <w:sz w:val="16"/>
              </w:rPr>
              <w:t>Baseline source</w:t>
            </w:r>
          </w:p>
        </w:tc>
        <w:tc>
          <w:tcPr>
            <w:tcW w:type="dxa" w:w="7920"/>
            <w:vAlign w:val="center"/>
          </w:tcPr>
          <w:p>
            <w:pPr>
              <w:spacing w:after="0"/>
            </w:pPr>
            <w:r/>
            <w:r>
              <w:rPr>
                <w:rFonts w:ascii="Aptos" w:hAnsi="Aptos"/>
                <w:b w:val="0"/>
                <w:sz w:val="16"/>
              </w:rPr>
              <w:t>User-provided Functional Requirements PDF and previously supplied Panga na Kupangisha SRS context; proposed additions are marked as platform design recommendations</w:t>
            </w:r>
          </w:p>
        </w:tc>
      </w:tr>
    </w:tbl>
    <w:p/>
    <w:p>
      <w:r>
        <w:br w:type="page"/>
      </w:r>
    </w:p>
    <w:p>
      <w:pPr>
        <w:pStyle w:val="Heading1"/>
      </w:pPr>
      <w:r>
        <w:t>Document conventions and scope notes</w:t>
      </w:r>
    </w:p>
    <w:p>
      <w:r>
        <w:t>This document combines the original property-management and rental marketplace requirements with the newly agreed multi-role account model, Panga Akiba, Panga Life Records / Rental Passport, and Panga Finance Connect. It is an engineering baseline, not legal advice or a final legal contract.</w:t>
      </w:r>
    </w:p>
    <w:p>
      <w:pPr>
        <w:pStyle w:val="ListBullet"/>
        <w:spacing w:after="40"/>
      </w:pPr>
      <w:r>
        <w:t>Baseline-derived requirements: property discovery, listings, applications, leases, rent/payment records, maintenance, messaging, notifications, analytics, reviews, maps, integrations, audit logs and scale/security goals.</w:t>
      </w:r>
    </w:p>
    <w:p>
      <w:pPr>
        <w:pStyle w:val="ListBullet"/>
        <w:spacing w:after="40"/>
      </w:pPr>
      <w:r>
        <w:t>Added product recommendations: one account with multiple capabilities; owner-direct verification; rental passport and personal housing records; savings-goal tracking; partner-mediated rent-finance matching; role-specific onboarding and privacy controls.</w:t>
      </w:r>
    </w:p>
    <w:p>
      <w:pPr>
        <w:pStyle w:val="ListBullet"/>
        <w:spacing w:after="40"/>
      </w:pPr>
      <w:r>
        <w:t>Unresolved policy decisions are called out as open questions. The team should not silently infer these decisions during implementation.</w:t>
      </w:r>
    </w:p>
    <w:p>
      <w:pPr>
        <w:pStyle w:val="ListBullet"/>
        <w:spacing w:after="40"/>
      </w:pPr>
      <w:r>
        <w:t>MVP requirements should be delivered before optional or regulated-finance functionality. Requirements marked Future are not launch blockers unless later approved.</w:t>
      </w:r>
    </w:p>
    <w:p>
      <w:pPr>
        <w:pStyle w:val="Heading1"/>
      </w:pPr>
      <w:r>
        <w:t>1. Introduction</w:t>
      </w:r>
    </w:p>
    <w:p>
      <w:pPr>
        <w:pStyle w:val="Heading2"/>
      </w:pPr>
      <w:r>
        <w:t>1.1 Purpose</w:t>
      </w:r>
    </w:p>
    <w:p>
      <w:r>
        <w:t>Define the functional, non-functional, data, integration, security and deployment requirements for Panga na Kupangisha so engineering teams can implement, test and operate the platform consistently.</w:t>
      </w:r>
    </w:p>
    <w:p>
      <w:pPr>
        <w:pStyle w:val="Heading2"/>
      </w:pPr>
      <w:r>
        <w:t>1.2 Product vision</w:t>
      </w:r>
    </w:p>
    <w:p>
      <w:r>
        <w:t>Panga na Kupangisha connects people looking for rental housing directly with verified property owners and authorized representatives, while providing tools to manage the rental lifecycle. The platform also supports property investment opportunities, tenant housing records and connections to eligible third-party rent-financing providers.</w:t>
      </w:r>
    </w:p>
    <w:p>
      <w:pPr>
        <w:pStyle w:val="Heading2"/>
      </w:pPr>
      <w:r>
        <w:t>1.3 Goals</w:t>
      </w:r>
    </w:p>
    <w:p>
      <w:pPr>
        <w:pStyle w:val="ListBullet"/>
        <w:spacing w:after="40"/>
      </w:pPr>
      <w:r>
        <w:t>Make it easier to find available rooms, apartments, houses and other eligible property types.</w:t>
      </w:r>
    </w:p>
    <w:p>
      <w:pPr>
        <w:pStyle w:val="ListBullet"/>
        <w:spacing w:after="40"/>
      </w:pPr>
      <w:r>
        <w:t>Prefer direct owner-to-tenant communication and clearly disclose authorized managers or representatives.</w:t>
      </w:r>
    </w:p>
    <w:p>
      <w:pPr>
        <w:pStyle w:val="ListBullet"/>
        <w:spacing w:after="40"/>
      </w:pPr>
      <w:r>
        <w:t>Help owners and authorized property managers manage listings, applications, leases, maintenance and rent records.</w:t>
      </w:r>
    </w:p>
    <w:p>
      <w:pPr>
        <w:pStyle w:val="ListBullet"/>
        <w:spacing w:after="40"/>
      </w:pPr>
      <w:r>
        <w:t>Give tenants control over their rental documents, personal housing history and savings goals.</w:t>
      </w:r>
    </w:p>
    <w:p>
      <w:pPr>
        <w:pStyle w:val="ListBullet"/>
        <w:spacing w:after="40"/>
      </w:pPr>
      <w:r>
        <w:t>Support multiple service roles under one verified user identity without requiring duplicate accounts.</w:t>
      </w:r>
    </w:p>
    <w:p>
      <w:pPr>
        <w:pStyle w:val="ListBullet"/>
        <w:spacing w:after="40"/>
      </w:pPr>
      <w:r>
        <w:t>Connect tenants seeking rent financing with independent, eligible financing providers without making Panga na Kupangisha the lender or repayment collector.</w:t>
      </w:r>
    </w:p>
    <w:p>
      <w:pPr>
        <w:pStyle w:val="ListBullet"/>
        <w:spacing w:after="40"/>
      </w:pPr>
      <w:r>
        <w:t>Build a secure, scalable web and mobile platform that can evolve through modular services.</w:t>
      </w:r>
    </w:p>
    <w:p>
      <w:pPr>
        <w:pStyle w:val="Heading2"/>
      </w:pPr>
      <w:r>
        <w:t>1.4 Out of scope unless separately approved</w:t>
      </w:r>
    </w:p>
    <w:p>
      <w:pPr>
        <w:pStyle w:val="ListBullet"/>
        <w:spacing w:after="40"/>
      </w:pPr>
      <w:r>
        <w:t>Panga na Kupangisha itself issuing loans, guaranteeing a borrower, holding loan funds, collecting loan repayments or deciding credit applications.</w:t>
      </w:r>
    </w:p>
    <w:p>
      <w:pPr>
        <w:pStyle w:val="ListBullet"/>
        <w:spacing w:after="40"/>
      </w:pPr>
      <w:r>
        <w:t>Automatic tenant credit scoring or automatic adverse decisions based on a tenant's Rental Passport.</w:t>
      </w:r>
    </w:p>
    <w:p>
      <w:pPr>
        <w:pStyle w:val="ListBullet"/>
        <w:spacing w:after="40"/>
      </w:pPr>
      <w:r>
        <w:t>Unverified claims that a property, owner, investment, financing provider or project is safe or guaranteed.</w:t>
      </w:r>
    </w:p>
    <w:p>
      <w:pPr>
        <w:pStyle w:val="ListBullet"/>
        <w:spacing w:after="40"/>
      </w:pPr>
      <w:r>
        <w:t>Custody of Panga Akiba funds in the platform's ordinary operating account. Actual regulated savings/payment functions require an appropriately authorized partner and legal review.</w:t>
      </w:r>
    </w:p>
    <w:p>
      <w:pPr>
        <w:pStyle w:val="ListBullet"/>
        <w:spacing w:after="40"/>
      </w:pPr>
      <w:r>
        <w:t>Mandatory AI decision-making, automated valuation, predictive tenant risk scoring or generative AI features in the initial release.</w:t>
      </w:r>
    </w:p>
    <w:p>
      <w:pPr>
        <w:pStyle w:val="ListBullet"/>
        <w:spacing w:after="40"/>
      </w:pPr>
      <w:r>
        <w:t>Smart-home/IoT integrations and short-stay channel synchronization in the MVP.</w:t>
      </w:r>
    </w:p>
    <w:p>
      <w:pPr>
        <w:pStyle w:val="Heading1"/>
      </w:pPr>
      <w:r>
        <w:t>2. Stakeholders and user types</w:t>
      </w:r>
    </w:p>
    <w:p>
      <w:r>
        <w:t>A person has one core account and may activate multiple capabilities. Business or organizational entities may have their own service profile, with authorized users linked to it.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4A6E"/>
          </w:tcPr>
          <w:p>
            <w:pPr>
              <w:spacing w:after="0"/>
            </w:pPr>
            <w:r/>
            <w:r>
              <w:rPr>
                <w:rFonts w:ascii="Aptos" w:hAnsi="Aptos"/>
                <w:b/>
                <w:color w:val="FFFFFF"/>
                <w:sz w:val="17"/>
              </w:rPr>
              <w:t>Concept</w:t>
            </w:r>
          </w:p>
        </w:tc>
        <w:tc>
          <w:tcPr>
            <w:tcW w:type="dxa" w:w="4320"/>
            <w:vAlign w:val="center"/>
            <w:shd w:fill="174A6E"/>
          </w:tcPr>
          <w:p>
            <w:pPr>
              <w:spacing w:after="0"/>
            </w:pPr>
            <w:r/>
            <w:r>
              <w:rPr>
                <w:rFonts w:ascii="Aptos" w:hAnsi="Aptos"/>
                <w:b/>
                <w:color w:val="FFFFFF"/>
                <w:sz w:val="17"/>
              </w:rPr>
              <w:t>Meaning</w:t>
            </w:r>
          </w:p>
        </w:tc>
        <w:tc>
          <w:tcPr>
            <w:tcW w:type="dxa" w:w="3888"/>
            <w:vAlign w:val="center"/>
            <w:shd w:fill="174A6E"/>
          </w:tcPr>
          <w:p>
            <w:pPr>
              <w:spacing w:after="0"/>
            </w:pPr>
            <w:r/>
            <w:r>
              <w:rPr>
                <w:rFonts w:ascii="Aptos" w:hAnsi="Aptos"/>
                <w:b/>
                <w:color w:val="FFFFFF"/>
                <w:sz w:val="17"/>
              </w:rPr>
              <w:t>Examples</w:t>
            </w:r>
          </w:p>
        </w:tc>
      </w:tr>
      <w:tr>
        <w:tc>
          <w:tcPr>
            <w:tcW w:type="dxa" w:w="2160"/>
            <w:vAlign w:val="center"/>
          </w:tcPr>
          <w:p>
            <w:pPr>
              <w:spacing w:after="0"/>
            </w:pPr>
            <w:r/>
            <w:r>
              <w:rPr>
                <w:rFonts w:ascii="Aptos" w:hAnsi="Aptos"/>
                <w:b w:val="0"/>
                <w:sz w:val="16"/>
              </w:rPr>
              <w:t>Account / Identity</w:t>
            </w:r>
          </w:p>
        </w:tc>
        <w:tc>
          <w:tcPr>
            <w:tcW w:type="dxa" w:w="4320"/>
            <w:vAlign w:val="center"/>
          </w:tcPr>
          <w:p>
            <w:pPr>
              <w:spacing w:after="0"/>
            </w:pPr>
            <w:r/>
            <w:r>
              <w:rPr>
                <w:rFonts w:ascii="Aptos" w:hAnsi="Aptos"/>
                <w:b w:val="0"/>
                <w:sz w:val="16"/>
              </w:rPr>
              <w:t>The person or organization authenticating to the platform.</w:t>
            </w:r>
          </w:p>
        </w:tc>
        <w:tc>
          <w:tcPr>
            <w:tcW w:type="dxa" w:w="3888"/>
            <w:vAlign w:val="center"/>
          </w:tcPr>
          <w:p>
            <w:pPr>
              <w:spacing w:after="0"/>
            </w:pPr>
            <w:r/>
            <w:r>
              <w:rPr>
                <w:rFonts w:ascii="Aptos" w:hAnsi="Aptos"/>
                <w:b w:val="0"/>
                <w:sz w:val="16"/>
              </w:rPr>
              <w:t>Ibrahim's single user account; a registered property company.</w:t>
            </w:r>
          </w:p>
        </w:tc>
      </w:tr>
      <w:tr>
        <w:tc>
          <w:tcPr>
            <w:tcW w:type="dxa" w:w="2160"/>
            <w:vAlign w:val="center"/>
            <w:shd w:fill="F1F6F9"/>
          </w:tcPr>
          <w:p>
            <w:pPr>
              <w:spacing w:after="0"/>
            </w:pPr>
            <w:r/>
            <w:r>
              <w:rPr>
                <w:rFonts w:ascii="Aptos" w:hAnsi="Aptos"/>
                <w:b w:val="0"/>
                <w:sz w:val="16"/>
              </w:rPr>
              <w:t>Capability / Role</w:t>
            </w:r>
          </w:p>
        </w:tc>
        <w:tc>
          <w:tcPr>
            <w:tcW w:type="dxa" w:w="4320"/>
            <w:vAlign w:val="center"/>
            <w:shd w:fill="F1F6F9"/>
          </w:tcPr>
          <w:p>
            <w:pPr>
              <w:spacing w:after="0"/>
            </w:pPr>
            <w:r/>
            <w:r>
              <w:rPr>
                <w:rFonts w:ascii="Aptos" w:hAnsi="Aptos"/>
                <w:b w:val="0"/>
                <w:sz w:val="16"/>
              </w:rPr>
              <w:t>A set of permitted actions available to an account.</w:t>
            </w:r>
          </w:p>
        </w:tc>
        <w:tc>
          <w:tcPr>
            <w:tcW w:type="dxa" w:w="3888"/>
            <w:vAlign w:val="center"/>
            <w:shd w:fill="F1F6F9"/>
          </w:tcPr>
          <w:p>
            <w:pPr>
              <w:spacing w:after="0"/>
            </w:pPr>
            <w:r/>
            <w:r>
              <w:rPr>
                <w:rFonts w:ascii="Aptos" w:hAnsi="Aptos"/>
                <w:b w:val="0"/>
                <w:sz w:val="16"/>
              </w:rPr>
              <w:t>Tenant, Owner, Property Manager, Investor.</w:t>
            </w:r>
          </w:p>
        </w:tc>
      </w:tr>
      <w:tr>
        <w:tc>
          <w:tcPr>
            <w:tcW w:type="dxa" w:w="2160"/>
            <w:vAlign w:val="center"/>
          </w:tcPr>
          <w:p>
            <w:pPr>
              <w:spacing w:after="0"/>
            </w:pPr>
            <w:r/>
            <w:r>
              <w:rPr>
                <w:rFonts w:ascii="Aptos" w:hAnsi="Aptos"/>
                <w:b w:val="0"/>
                <w:sz w:val="16"/>
              </w:rPr>
              <w:t>Service Profile</w:t>
            </w:r>
          </w:p>
        </w:tc>
        <w:tc>
          <w:tcPr>
            <w:tcW w:type="dxa" w:w="4320"/>
            <w:vAlign w:val="center"/>
          </w:tcPr>
          <w:p>
            <w:pPr>
              <w:spacing w:after="0"/>
            </w:pPr>
            <w:r/>
            <w:r>
              <w:rPr>
                <w:rFonts w:ascii="Aptos" w:hAnsi="Aptos"/>
                <w:b w:val="0"/>
                <w:sz w:val="16"/>
              </w:rPr>
              <w:t>A role-specific profile and onboarding record, separate from login identity.</w:t>
            </w:r>
          </w:p>
        </w:tc>
        <w:tc>
          <w:tcPr>
            <w:tcW w:type="dxa" w:w="3888"/>
            <w:vAlign w:val="center"/>
          </w:tcPr>
          <w:p>
            <w:pPr>
              <w:spacing w:after="0"/>
            </w:pPr>
            <w:r/>
            <w:r>
              <w:rPr>
                <w:rFonts w:ascii="Aptos" w:hAnsi="Aptos"/>
                <w:b w:val="0"/>
                <w:sz w:val="16"/>
              </w:rPr>
              <w:t>Owner profile, Investor profile, Financing Provider profile.</w:t>
            </w:r>
          </w:p>
        </w:tc>
      </w:tr>
      <w:tr>
        <w:tc>
          <w:tcPr>
            <w:tcW w:type="dxa" w:w="2160"/>
            <w:vAlign w:val="center"/>
            <w:shd w:fill="F1F6F9"/>
          </w:tcPr>
          <w:p>
            <w:pPr>
              <w:spacing w:after="0"/>
            </w:pPr>
            <w:r/>
            <w:r>
              <w:rPr>
                <w:rFonts w:ascii="Aptos" w:hAnsi="Aptos"/>
                <w:b w:val="0"/>
                <w:sz w:val="16"/>
              </w:rPr>
              <w:t>Organization</w:t>
            </w:r>
          </w:p>
        </w:tc>
        <w:tc>
          <w:tcPr>
            <w:tcW w:type="dxa" w:w="4320"/>
            <w:vAlign w:val="center"/>
            <w:shd w:fill="F1F6F9"/>
          </w:tcPr>
          <w:p>
            <w:pPr>
              <w:spacing w:after="0"/>
            </w:pPr>
            <w:r/>
            <w:r>
              <w:rPr>
                <w:rFonts w:ascii="Aptos" w:hAnsi="Aptos"/>
                <w:b w:val="0"/>
                <w:sz w:val="16"/>
              </w:rPr>
              <w:t>A company, registered provider, agency or other group with its own verification and membership.</w:t>
            </w:r>
          </w:p>
        </w:tc>
        <w:tc>
          <w:tcPr>
            <w:tcW w:type="dxa" w:w="3888"/>
            <w:vAlign w:val="center"/>
            <w:shd w:fill="F1F6F9"/>
          </w:tcPr>
          <w:p>
            <w:pPr>
              <w:spacing w:after="0"/>
            </w:pPr>
            <w:r/>
            <w:r>
              <w:rPr>
                <w:rFonts w:ascii="Aptos" w:hAnsi="Aptos"/>
                <w:b w:val="0"/>
                <w:sz w:val="16"/>
              </w:rPr>
              <w:t>Property-management company or eligible microfinance provider.</w:t>
            </w:r>
          </w:p>
        </w:tc>
      </w:tr>
      <w:tr>
        <w:tc>
          <w:tcPr>
            <w:tcW w:type="dxa" w:w="2160"/>
            <w:vAlign w:val="center"/>
          </w:tcPr>
          <w:p>
            <w:pPr>
              <w:spacing w:after="0"/>
            </w:pPr>
            <w:r/>
            <w:r>
              <w:rPr>
                <w:rFonts w:ascii="Aptos" w:hAnsi="Aptos"/>
                <w:b w:val="0"/>
                <w:sz w:val="16"/>
              </w:rPr>
              <w:t>Resource-level permission</w:t>
            </w:r>
          </w:p>
        </w:tc>
        <w:tc>
          <w:tcPr>
            <w:tcW w:type="dxa" w:w="4320"/>
            <w:vAlign w:val="center"/>
          </w:tcPr>
          <w:p>
            <w:pPr>
              <w:spacing w:after="0"/>
            </w:pPr>
            <w:r/>
            <w:r>
              <w:rPr>
                <w:rFonts w:ascii="Aptos" w:hAnsi="Aptos"/>
                <w:b w:val="0"/>
                <w:sz w:val="16"/>
              </w:rPr>
              <w:t>Authorization to act on a specific property, tenancy, project or organization.</w:t>
            </w:r>
          </w:p>
        </w:tc>
        <w:tc>
          <w:tcPr>
            <w:tcW w:type="dxa" w:w="3888"/>
            <w:vAlign w:val="center"/>
          </w:tcPr>
          <w:p>
            <w:pPr>
              <w:spacing w:after="0"/>
            </w:pPr>
            <w:r/>
            <w:r>
              <w:rPr>
                <w:rFonts w:ascii="Aptos" w:hAnsi="Aptos"/>
                <w:b w:val="0"/>
                <w:sz w:val="16"/>
              </w:rPr>
              <w:t>Manager can edit only assigned properties.</w:t>
            </w:r>
          </w:p>
        </w:tc>
      </w:tr>
    </w:tbl>
    <w:p/>
    <w:p>
      <w:pPr>
        <w:pStyle w:val="Heading2"/>
      </w:pPr>
      <w:r>
        <w:t>2.1 Supported capabilities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4A6E"/>
          </w:tcPr>
          <w:p>
            <w:pPr>
              <w:spacing w:after="0"/>
            </w:pPr>
            <w:r/>
            <w:r>
              <w:rPr>
                <w:rFonts w:ascii="Aptos" w:hAnsi="Aptos"/>
                <w:b/>
                <w:color w:val="FFFFFF"/>
                <w:sz w:val="17"/>
              </w:rPr>
              <w:t>Capability</w:t>
            </w:r>
          </w:p>
        </w:tc>
        <w:tc>
          <w:tcPr>
            <w:tcW w:type="dxa" w:w="4896"/>
            <w:vAlign w:val="center"/>
            <w:shd w:fill="174A6E"/>
          </w:tcPr>
          <w:p>
            <w:pPr>
              <w:spacing w:after="0"/>
            </w:pPr>
            <w:r/>
            <w:r>
              <w:rPr>
                <w:rFonts w:ascii="Aptos" w:hAnsi="Aptos"/>
                <w:b/>
                <w:color w:val="FFFFFF"/>
                <w:sz w:val="17"/>
              </w:rPr>
              <w:t>Primary functions</w:t>
            </w:r>
          </w:p>
        </w:tc>
        <w:tc>
          <w:tcPr>
            <w:tcW w:type="dxa" w:w="3312"/>
            <w:vAlign w:val="center"/>
            <w:shd w:fill="174A6E"/>
          </w:tcPr>
          <w:p>
            <w:pPr>
              <w:spacing w:after="0"/>
            </w:pPr>
            <w:r/>
            <w:r>
              <w:rPr>
                <w:rFonts w:ascii="Aptos" w:hAnsi="Aptos"/>
                <w:b/>
                <w:color w:val="FFFFFF"/>
                <w:sz w:val="17"/>
              </w:rPr>
              <w:t>Verification / activation</w:t>
            </w:r>
          </w:p>
        </w:tc>
      </w:tr>
      <w:tr>
        <w:tc>
          <w:tcPr>
            <w:tcW w:type="dxa" w:w="2160"/>
            <w:vAlign w:val="center"/>
          </w:tcPr>
          <w:p>
            <w:pPr>
              <w:spacing w:after="0"/>
            </w:pPr>
            <w:r/>
            <w:r>
              <w:rPr>
                <w:rFonts w:ascii="Aptos" w:hAnsi="Aptos"/>
                <w:b w:val="0"/>
                <w:sz w:val="16"/>
              </w:rPr>
              <w:t>Tenant / Renter</w:t>
            </w:r>
          </w:p>
        </w:tc>
        <w:tc>
          <w:tcPr>
            <w:tcW w:type="dxa" w:w="4896"/>
            <w:vAlign w:val="center"/>
          </w:tcPr>
          <w:p>
            <w:pPr>
              <w:spacing w:after="0"/>
            </w:pPr>
            <w:r/>
            <w:r>
              <w:rPr>
                <w:rFonts w:ascii="Aptos" w:hAnsi="Aptos"/>
                <w:b w:val="0"/>
                <w:sz w:val="16"/>
              </w:rPr>
              <w:t>Search, inquiries, viewings, applications, leases, rent records, maintenance, Rental Passport, Panga Akiba.</w:t>
            </w:r>
          </w:p>
        </w:tc>
        <w:tc>
          <w:tcPr>
            <w:tcW w:type="dxa" w:w="3312"/>
            <w:vAlign w:val="center"/>
          </w:tcPr>
          <w:p>
            <w:pPr>
              <w:spacing w:after="0"/>
            </w:pPr>
            <w:r/>
            <w:r>
              <w:rPr>
                <w:rFonts w:ascii="Aptos" w:hAnsi="Aptos"/>
                <w:b w:val="0"/>
                <w:sz w:val="16"/>
              </w:rPr>
              <w:t>Phone/email verification; additional checks only when required for a transaction.</w:t>
            </w:r>
          </w:p>
        </w:tc>
      </w:tr>
      <w:tr>
        <w:tc>
          <w:tcPr>
            <w:tcW w:type="dxa" w:w="2160"/>
            <w:vAlign w:val="center"/>
            <w:shd w:fill="F1F6F9"/>
          </w:tcPr>
          <w:p>
            <w:pPr>
              <w:spacing w:after="0"/>
            </w:pPr>
            <w:r/>
            <w:r>
              <w:rPr>
                <w:rFonts w:ascii="Aptos" w:hAnsi="Aptos"/>
                <w:b w:val="0"/>
                <w:sz w:val="16"/>
              </w:rPr>
              <w:t>Property Owner / Landlord</w:t>
            </w:r>
          </w:p>
        </w:tc>
        <w:tc>
          <w:tcPr>
            <w:tcW w:type="dxa" w:w="4896"/>
            <w:vAlign w:val="center"/>
            <w:shd w:fill="F1F6F9"/>
          </w:tcPr>
          <w:p>
            <w:pPr>
              <w:spacing w:after="0"/>
            </w:pPr>
            <w:r/>
            <w:r>
              <w:rPr>
                <w:rFonts w:ascii="Aptos" w:hAnsi="Aptos"/>
                <w:b w:val="0"/>
                <w:sz w:val="16"/>
              </w:rPr>
              <w:t>Create and manage listings, prove ownership/authority, review applications, manage tenancies and property records.</w:t>
            </w:r>
          </w:p>
        </w:tc>
        <w:tc>
          <w:tcPr>
            <w:tcW w:type="dxa" w:w="3312"/>
            <w:vAlign w:val="center"/>
            <w:shd w:fill="F1F6F9"/>
          </w:tcPr>
          <w:p>
            <w:pPr>
              <w:spacing w:after="0"/>
            </w:pPr>
            <w:r/>
            <w:r>
              <w:rPr>
                <w:rFonts w:ascii="Aptos" w:hAnsi="Aptos"/>
                <w:b w:val="0"/>
                <w:sz w:val="16"/>
              </w:rPr>
              <w:t>Identity verification and property ownership/authority evidence before a verified-owner badge.</w:t>
            </w:r>
          </w:p>
        </w:tc>
      </w:tr>
      <w:tr>
        <w:tc>
          <w:tcPr>
            <w:tcW w:type="dxa" w:w="2160"/>
            <w:vAlign w:val="center"/>
          </w:tcPr>
          <w:p>
            <w:pPr>
              <w:spacing w:after="0"/>
            </w:pPr>
            <w:r/>
            <w:r>
              <w:rPr>
                <w:rFonts w:ascii="Aptos" w:hAnsi="Aptos"/>
                <w:b w:val="0"/>
                <w:sz w:val="16"/>
              </w:rPr>
              <w:t>Authorized Property Manager</w:t>
            </w:r>
          </w:p>
        </w:tc>
        <w:tc>
          <w:tcPr>
            <w:tcW w:type="dxa" w:w="4896"/>
            <w:vAlign w:val="center"/>
          </w:tcPr>
          <w:p>
            <w:pPr>
              <w:spacing w:after="0"/>
            </w:pPr>
            <w:r/>
            <w:r>
              <w:rPr>
                <w:rFonts w:ascii="Aptos" w:hAnsi="Aptos"/>
                <w:b w:val="0"/>
                <w:sz w:val="16"/>
              </w:rPr>
              <w:t>Manage assigned properties, units, listings, tenants, maintenance and records.</w:t>
            </w:r>
          </w:p>
        </w:tc>
        <w:tc>
          <w:tcPr>
            <w:tcW w:type="dxa" w:w="3312"/>
            <w:vAlign w:val="center"/>
          </w:tcPr>
          <w:p>
            <w:pPr>
              <w:spacing w:after="0"/>
            </w:pPr>
            <w:r/>
            <w:r>
              <w:rPr>
                <w:rFonts w:ascii="Aptos" w:hAnsi="Aptos"/>
                <w:b w:val="0"/>
                <w:sz w:val="16"/>
              </w:rPr>
              <w:t>Identity plus owner authorization and scoped assignment.</w:t>
            </w:r>
          </w:p>
        </w:tc>
      </w:tr>
      <w:tr>
        <w:tc>
          <w:tcPr>
            <w:tcW w:type="dxa" w:w="2160"/>
            <w:vAlign w:val="center"/>
            <w:shd w:fill="F1F6F9"/>
          </w:tcPr>
          <w:p>
            <w:pPr>
              <w:spacing w:after="0"/>
            </w:pPr>
            <w:r/>
            <w:r>
              <w:rPr>
                <w:rFonts w:ascii="Aptos" w:hAnsi="Aptos"/>
                <w:b w:val="0"/>
                <w:sz w:val="16"/>
              </w:rPr>
              <w:t>Investor / Project Participant</w:t>
            </w:r>
          </w:p>
        </w:tc>
        <w:tc>
          <w:tcPr>
            <w:tcW w:type="dxa" w:w="4896"/>
            <w:vAlign w:val="center"/>
            <w:shd w:fill="F1F6F9"/>
          </w:tcPr>
          <w:p>
            <w:pPr>
              <w:spacing w:after="0"/>
            </w:pPr>
            <w:r/>
            <w:r>
              <w:rPr>
                <w:rFonts w:ascii="Aptos" w:hAnsi="Aptos"/>
                <w:b w:val="0"/>
                <w:sz w:val="16"/>
              </w:rPr>
              <w:t>Discover projects, submit interest, review disclosed project information and track their own participation records.</w:t>
            </w:r>
          </w:p>
        </w:tc>
        <w:tc>
          <w:tcPr>
            <w:tcW w:type="dxa" w:w="3312"/>
            <w:vAlign w:val="center"/>
            <w:shd w:fill="F1F6F9"/>
          </w:tcPr>
          <w:p>
            <w:pPr>
              <w:spacing w:after="0"/>
            </w:pPr>
            <w:r/>
            <w:r>
              <w:rPr>
                <w:rFonts w:ascii="Aptos" w:hAnsi="Aptos"/>
                <w:b w:val="0"/>
                <w:sz w:val="16"/>
              </w:rPr>
              <w:t>Identity and project-specific checks; no promise of return.</w:t>
            </w:r>
          </w:p>
        </w:tc>
      </w:tr>
      <w:tr>
        <w:tc>
          <w:tcPr>
            <w:tcW w:type="dxa" w:w="2160"/>
            <w:vAlign w:val="center"/>
          </w:tcPr>
          <w:p>
            <w:pPr>
              <w:spacing w:after="0"/>
            </w:pPr>
            <w:r/>
            <w:r>
              <w:rPr>
                <w:rFonts w:ascii="Aptos" w:hAnsi="Aptos"/>
                <w:b w:val="0"/>
                <w:sz w:val="16"/>
              </w:rPr>
              <w:t>Financing Provider</w:t>
            </w:r>
          </w:p>
        </w:tc>
        <w:tc>
          <w:tcPr>
            <w:tcW w:type="dxa" w:w="4896"/>
            <w:vAlign w:val="center"/>
          </w:tcPr>
          <w:p>
            <w:pPr>
              <w:spacing w:after="0"/>
            </w:pPr>
            <w:r/>
            <w:r>
              <w:rPr>
                <w:rFonts w:ascii="Aptos" w:hAnsi="Aptos"/>
                <w:b w:val="0"/>
                <w:sz w:val="16"/>
              </w:rPr>
              <w:t>Publish financing criteria, receive consented applications, independently assess and contract with applicants.</w:t>
            </w:r>
          </w:p>
        </w:tc>
        <w:tc>
          <w:tcPr>
            <w:tcW w:type="dxa" w:w="3312"/>
            <w:vAlign w:val="center"/>
          </w:tcPr>
          <w:p>
            <w:pPr>
              <w:spacing w:after="0"/>
            </w:pPr>
            <w:r/>
            <w:r>
              <w:rPr>
                <w:rFonts w:ascii="Aptos" w:hAnsi="Aptos"/>
                <w:b w:val="0"/>
                <w:sz w:val="16"/>
              </w:rPr>
              <w:t>Organization/provider verification and eligibility/licensing review before provider status becomes active.</w:t>
            </w:r>
          </w:p>
        </w:tc>
      </w:tr>
      <w:tr>
        <w:tc>
          <w:tcPr>
            <w:tcW w:type="dxa" w:w="2160"/>
            <w:vAlign w:val="center"/>
            <w:shd w:fill="F1F6F9"/>
          </w:tcPr>
          <w:p>
            <w:pPr>
              <w:spacing w:after="0"/>
            </w:pPr>
            <w:r/>
            <w:r>
              <w:rPr>
                <w:rFonts w:ascii="Aptos" w:hAnsi="Aptos"/>
                <w:b w:val="0"/>
                <w:sz w:val="16"/>
              </w:rPr>
              <w:t>Vendor / Contractor</w:t>
            </w:r>
          </w:p>
        </w:tc>
        <w:tc>
          <w:tcPr>
            <w:tcW w:type="dxa" w:w="4896"/>
            <w:vAlign w:val="center"/>
            <w:shd w:fill="F1F6F9"/>
          </w:tcPr>
          <w:p>
            <w:pPr>
              <w:spacing w:after="0"/>
            </w:pPr>
            <w:r/>
            <w:r>
              <w:rPr>
                <w:rFonts w:ascii="Aptos" w:hAnsi="Aptos"/>
                <w:b w:val="0"/>
                <w:sz w:val="16"/>
              </w:rPr>
              <w:t>Receive assigned work orders, provide estimates, update job status and submit invoices/receipts.</w:t>
            </w:r>
          </w:p>
        </w:tc>
        <w:tc>
          <w:tcPr>
            <w:tcW w:type="dxa" w:w="3312"/>
            <w:vAlign w:val="center"/>
            <w:shd w:fill="F1F6F9"/>
          </w:tcPr>
          <w:p>
            <w:pPr>
              <w:spacing w:after="0"/>
            </w:pPr>
            <w:r/>
            <w:r>
              <w:rPr>
                <w:rFonts w:ascii="Aptos" w:hAnsi="Aptos"/>
                <w:b w:val="0"/>
                <w:sz w:val="16"/>
              </w:rPr>
              <w:t>Contact and service verification; organization membership if applicable.</w:t>
            </w:r>
          </w:p>
        </w:tc>
      </w:tr>
      <w:tr>
        <w:tc>
          <w:tcPr>
            <w:tcW w:type="dxa" w:w="2160"/>
            <w:vAlign w:val="center"/>
          </w:tcPr>
          <w:p>
            <w:pPr>
              <w:spacing w:after="0"/>
            </w:pPr>
            <w:r/>
            <w:r>
              <w:rPr>
                <w:rFonts w:ascii="Aptos" w:hAnsi="Aptos"/>
                <w:b w:val="0"/>
                <w:sz w:val="16"/>
              </w:rPr>
              <w:t>Platform Administrator / Moderator</w:t>
            </w:r>
          </w:p>
        </w:tc>
        <w:tc>
          <w:tcPr>
            <w:tcW w:type="dxa" w:w="4896"/>
            <w:vAlign w:val="center"/>
          </w:tcPr>
          <w:p>
            <w:pPr>
              <w:spacing w:after="0"/>
            </w:pPr>
            <w:r/>
            <w:r>
              <w:rPr>
                <w:rFonts w:ascii="Aptos" w:hAnsi="Aptos"/>
                <w:b w:val="0"/>
                <w:sz w:val="16"/>
              </w:rPr>
              <w:t>Review reports, moderate listings, manage verification queues, investigate abuse and support users.</w:t>
            </w:r>
          </w:p>
        </w:tc>
        <w:tc>
          <w:tcPr>
            <w:tcW w:type="dxa" w:w="3312"/>
            <w:vAlign w:val="center"/>
          </w:tcPr>
          <w:p>
            <w:pPr>
              <w:spacing w:after="0"/>
            </w:pPr>
            <w:r/>
            <w:r>
              <w:rPr>
                <w:rFonts w:ascii="Aptos" w:hAnsi="Aptos"/>
                <w:b w:val="0"/>
                <w:sz w:val="16"/>
              </w:rPr>
              <w:t>Strong authentication, least-privilege access and audit logging.</w:t>
            </w:r>
          </w:p>
        </w:tc>
      </w:tr>
    </w:tbl>
    <w:p/>
    <w:p>
      <w:pPr>
        <w:pStyle w:val="Heading2"/>
      </w:pPr>
      <w:r>
        <w:t>2.2 Multi-role account requirements</w:t>
      </w:r>
    </w:p>
    <w:p>
      <w:pPr>
        <w:ind w:left="173"/>
      </w:pPr>
      <w:r>
        <w:rPr>
          <w:b/>
          <w:color w:val="2778A5"/>
        </w:rPr>
        <w:t xml:space="preserve">IAM-001 [Must] </w:t>
      </w:r>
      <w:r>
        <w:t>The system shall permit one verified identity to activate more than one capability without creating duplicate login accounts.</w:t>
      </w:r>
    </w:p>
    <w:p>
      <w:pPr>
        <w:ind w:left="173"/>
      </w:pPr>
      <w:r>
        <w:rPr>
          <w:b/>
          <w:color w:val="2778A5"/>
        </w:rPr>
        <w:t xml:space="preserve">IAM-002 [Must] </w:t>
      </w:r>
      <w:r>
        <w:t>The user shall be able to switch active workspace/capability from a role switcher while retaining the same account.</w:t>
      </w:r>
    </w:p>
    <w:p>
      <w:pPr>
        <w:ind w:left="173"/>
      </w:pPr>
      <w:r>
        <w:rPr>
          <w:b/>
          <w:color w:val="2778A5"/>
        </w:rPr>
        <w:t xml:space="preserve">IAM-003 [Must] </w:t>
      </w:r>
      <w:r>
        <w:t>Each capability shall have separate onboarding status, verification status, profile fields, terms/consents and permissions.</w:t>
      </w:r>
    </w:p>
    <w:p>
      <w:pPr>
        <w:ind w:left="173"/>
      </w:pPr>
      <w:r>
        <w:rPr>
          <w:b/>
          <w:color w:val="2778A5"/>
        </w:rPr>
        <w:t xml:space="preserve">IAM-004 [Must] </w:t>
      </w:r>
      <w:r>
        <w:t>Role activation shall not automatically grant access to another capability's private records.</w:t>
      </w:r>
    </w:p>
    <w:p>
      <w:pPr>
        <w:ind w:left="173"/>
      </w:pPr>
      <w:r>
        <w:rPr>
          <w:b/>
          <w:color w:val="2778A5"/>
        </w:rPr>
        <w:t xml:space="preserve">IAM-005 [Must] </w:t>
      </w:r>
      <w:r>
        <w:t>Authorization shall be enforced server-side for every protected action; hiding a UI control is not sufficient.</w:t>
      </w:r>
    </w:p>
    <w:p>
      <w:pPr>
        <w:ind w:left="173"/>
      </w:pPr>
      <w:r>
        <w:rPr>
          <w:b/>
          <w:color w:val="2778A5"/>
        </w:rPr>
        <w:t xml:space="preserve">IAM-006 [Must] </w:t>
      </w:r>
      <w:r>
        <w:t>A user may act as a landlord for one property, tenant for another tenancy, investor in a project, and eligible financing-provider representative where approved.</w:t>
      </w:r>
    </w:p>
    <w:p>
      <w:pPr>
        <w:ind w:left="173"/>
      </w:pPr>
      <w:r>
        <w:rPr>
          <w:b/>
          <w:color w:val="2778A5"/>
        </w:rPr>
        <w:t xml:space="preserve">IAM-007 [Must] </w:t>
      </w:r>
      <w:r>
        <w:t>Organization profiles shall support multiple authorized members with scoped permissions and revocation.</w:t>
      </w:r>
    </w:p>
    <w:p>
      <w:pPr>
        <w:ind w:left="173"/>
      </w:pPr>
      <w:r>
        <w:rPr>
          <w:b/>
          <w:color w:val="2778A5"/>
        </w:rPr>
        <w:t xml:space="preserve">IAM-008 [Must] </w:t>
      </w:r>
      <w:r>
        <w:t>The system shall keep an auditable history of role activation, verification, suspension and permission changes.</w:t>
      </w:r>
    </w:p>
    <w:p>
      <w:pPr>
        <w:ind w:left="173"/>
      </w:pPr>
      <w:r>
        <w:rPr>
          <w:b/>
          <w:color w:val="2778A5"/>
        </w:rPr>
        <w:t xml:space="preserve">IAM-009 [Must] </w:t>
      </w:r>
      <w:r>
        <w:t>If a user has a conflict of interest in a transaction, the platform shall disclose relevant relationships where appropriate and shall not treat role overlap as proof of misconduct.</w:t>
      </w:r>
    </w:p>
    <w:p>
      <w:pPr>
        <w:ind w:left="173"/>
      </w:pPr>
      <w:r>
        <w:rPr>
          <w:b/>
          <w:color w:val="2778A5"/>
        </w:rPr>
        <w:t xml:space="preserve">IAM-010 [Must] </w:t>
      </w:r>
      <w:r>
        <w:t>Suspending one capability shall not automatically suspend unrelated capabilities unless a security, fraud or legal reason requires broader restrictions.</w:t>
      </w:r>
    </w:p>
    <w:p>
      <w:pPr>
        <w:pStyle w:val="Heading1"/>
      </w:pPr>
      <w:r>
        <w:t>3. Product modules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74A6E"/>
          </w:tcPr>
          <w:p>
            <w:pPr>
              <w:spacing w:after="0"/>
            </w:pPr>
            <w:r/>
            <w:r>
              <w:rPr>
                <w:rFonts w:ascii="Aptos" w:hAnsi="Aptos"/>
                <w:b/>
                <w:color w:val="FFFFFF"/>
                <w:sz w:val="17"/>
              </w:rPr>
              <w:t>Module</w:t>
            </w:r>
          </w:p>
        </w:tc>
        <w:tc>
          <w:tcPr>
            <w:tcW w:type="dxa" w:w="6336"/>
            <w:vAlign w:val="center"/>
            <w:shd w:fill="174A6E"/>
          </w:tcPr>
          <w:p>
            <w:pPr>
              <w:spacing w:after="0"/>
            </w:pPr>
            <w:r/>
            <w:r>
              <w:rPr>
                <w:rFonts w:ascii="Aptos" w:hAnsi="Aptos"/>
                <w:b/>
                <w:color w:val="FFFFFF"/>
                <w:sz w:val="17"/>
              </w:rPr>
              <w:t>Purpose</w:t>
            </w:r>
          </w:p>
        </w:tc>
        <w:tc>
          <w:tcPr>
            <w:tcW w:type="dxa" w:w="1440"/>
            <w:vAlign w:val="center"/>
            <w:shd w:fill="174A6E"/>
          </w:tcPr>
          <w:p>
            <w:pPr>
              <w:spacing w:after="0"/>
            </w:pPr>
            <w:r/>
            <w:r>
              <w:rPr>
                <w:rFonts w:ascii="Aptos" w:hAnsi="Aptos"/>
                <w:b/>
                <w:color w:val="FFFFFF"/>
                <w:sz w:val="17"/>
              </w:rPr>
              <w:t>Release</w:t>
            </w:r>
          </w:p>
        </w:tc>
      </w:tr>
      <w:tr>
        <w:tc>
          <w:tcPr>
            <w:tcW w:type="dxa" w:w="2592"/>
            <w:vAlign w:val="center"/>
          </w:tcPr>
          <w:p>
            <w:pPr>
              <w:spacing w:after="0"/>
            </w:pPr>
            <w:r/>
            <w:r>
              <w:rPr>
                <w:rFonts w:ascii="Aptos" w:hAnsi="Aptos"/>
                <w:b w:val="0"/>
                <w:sz w:val="16"/>
              </w:rPr>
              <w:t>Identity &amp; Access</w:t>
            </w:r>
          </w:p>
        </w:tc>
        <w:tc>
          <w:tcPr>
            <w:tcW w:type="dxa" w:w="6336"/>
            <w:vAlign w:val="center"/>
          </w:tcPr>
          <w:p>
            <w:pPr>
              <w:spacing w:after="0"/>
            </w:pPr>
            <w:r/>
            <w:r>
              <w:rPr>
                <w:rFonts w:ascii="Aptos" w:hAnsi="Aptos"/>
                <w:b w:val="0"/>
                <w:sz w:val="16"/>
              </w:rPr>
              <w:t>Authentication, multi-role identity, organizations, permissions, verification states.</w:t>
            </w:r>
          </w:p>
        </w:tc>
        <w:tc>
          <w:tcPr>
            <w:tcW w:type="dxa" w:w="1440"/>
            <w:vAlign w:val="center"/>
          </w:tcPr>
          <w:p>
            <w:pPr>
              <w:spacing w:after="0"/>
            </w:pPr>
            <w:r/>
            <w:r>
              <w:rPr>
                <w:rFonts w:ascii="Aptos" w:hAnsi="Aptos"/>
                <w:b w:val="0"/>
                <w:sz w:val="16"/>
              </w:rPr>
              <w:t>MVP</w:t>
            </w:r>
          </w:p>
        </w:tc>
      </w:tr>
      <w:tr>
        <w:tc>
          <w:tcPr>
            <w:tcW w:type="dxa" w:w="2592"/>
            <w:vAlign w:val="center"/>
            <w:shd w:fill="F1F6F9"/>
          </w:tcPr>
          <w:p>
            <w:pPr>
              <w:spacing w:after="0"/>
            </w:pPr>
            <w:r/>
            <w:r>
              <w:rPr>
                <w:rFonts w:ascii="Aptos" w:hAnsi="Aptos"/>
                <w:b w:val="0"/>
                <w:sz w:val="16"/>
              </w:rPr>
              <w:t>Property Marketplace</w:t>
            </w:r>
          </w:p>
        </w:tc>
        <w:tc>
          <w:tcPr>
            <w:tcW w:type="dxa" w:w="6336"/>
            <w:vAlign w:val="center"/>
            <w:shd w:fill="F1F6F9"/>
          </w:tcPr>
          <w:p>
            <w:pPr>
              <w:spacing w:after="0"/>
            </w:pPr>
            <w:r/>
            <w:r>
              <w:rPr>
                <w:rFonts w:ascii="Aptos" w:hAnsi="Aptos"/>
                <w:b w:val="0"/>
                <w:sz w:val="16"/>
              </w:rPr>
              <w:t>Listings, search, maps, owner-direct contact, favorites, reports and moderation.</w:t>
            </w:r>
          </w:p>
        </w:tc>
        <w:tc>
          <w:tcPr>
            <w:tcW w:type="dxa" w:w="1440"/>
            <w:vAlign w:val="center"/>
            <w:shd w:fill="F1F6F9"/>
          </w:tcPr>
          <w:p>
            <w:pPr>
              <w:spacing w:after="0"/>
            </w:pPr>
            <w:r/>
            <w:r>
              <w:rPr>
                <w:rFonts w:ascii="Aptos" w:hAnsi="Aptos"/>
                <w:b w:val="0"/>
                <w:sz w:val="16"/>
              </w:rPr>
              <w:t>MVP</w:t>
            </w:r>
          </w:p>
        </w:tc>
      </w:tr>
      <w:tr>
        <w:tc>
          <w:tcPr>
            <w:tcW w:type="dxa" w:w="2592"/>
            <w:vAlign w:val="center"/>
          </w:tcPr>
          <w:p>
            <w:pPr>
              <w:spacing w:after="0"/>
            </w:pPr>
            <w:r/>
            <w:r>
              <w:rPr>
                <w:rFonts w:ascii="Aptos" w:hAnsi="Aptos"/>
                <w:b w:val="0"/>
                <w:sz w:val="16"/>
              </w:rPr>
              <w:t>Viewings &amp; Applications</w:t>
            </w:r>
          </w:p>
        </w:tc>
        <w:tc>
          <w:tcPr>
            <w:tcW w:type="dxa" w:w="6336"/>
            <w:vAlign w:val="center"/>
          </w:tcPr>
          <w:p>
            <w:pPr>
              <w:spacing w:after="0"/>
            </w:pPr>
            <w:r/>
            <w:r>
              <w:rPr>
                <w:rFonts w:ascii="Aptos" w:hAnsi="Aptos"/>
                <w:b w:val="0"/>
                <w:sz w:val="16"/>
              </w:rPr>
              <w:t>Viewing appointments, application workflow, status tracking and document consent.</w:t>
            </w:r>
          </w:p>
        </w:tc>
        <w:tc>
          <w:tcPr>
            <w:tcW w:type="dxa" w:w="1440"/>
            <w:vAlign w:val="center"/>
          </w:tcPr>
          <w:p>
            <w:pPr>
              <w:spacing w:after="0"/>
            </w:pPr>
            <w:r/>
            <w:r>
              <w:rPr>
                <w:rFonts w:ascii="Aptos" w:hAnsi="Aptos"/>
                <w:b w:val="0"/>
                <w:sz w:val="16"/>
              </w:rPr>
              <w:t>MVP</w:t>
            </w:r>
          </w:p>
        </w:tc>
      </w:tr>
      <w:tr>
        <w:tc>
          <w:tcPr>
            <w:tcW w:type="dxa" w:w="2592"/>
            <w:vAlign w:val="center"/>
            <w:shd w:fill="F1F6F9"/>
          </w:tcPr>
          <w:p>
            <w:pPr>
              <w:spacing w:after="0"/>
            </w:pPr>
            <w:r/>
            <w:r>
              <w:rPr>
                <w:rFonts w:ascii="Aptos" w:hAnsi="Aptos"/>
                <w:b w:val="0"/>
                <w:sz w:val="16"/>
              </w:rPr>
              <w:t>Rental Operations</w:t>
            </w:r>
          </w:p>
        </w:tc>
        <w:tc>
          <w:tcPr>
            <w:tcW w:type="dxa" w:w="6336"/>
            <w:vAlign w:val="center"/>
            <w:shd w:fill="F1F6F9"/>
          </w:tcPr>
          <w:p>
            <w:pPr>
              <w:spacing w:after="0"/>
            </w:pPr>
            <w:r/>
            <w:r>
              <w:rPr>
                <w:rFonts w:ascii="Aptos" w:hAnsi="Aptos"/>
                <w:b w:val="0"/>
                <w:sz w:val="16"/>
              </w:rPr>
              <w:t>Units, tenancy records, leases, renewals, rent ledger, receipts and reminders.</w:t>
            </w:r>
          </w:p>
        </w:tc>
        <w:tc>
          <w:tcPr>
            <w:tcW w:type="dxa" w:w="1440"/>
            <w:vAlign w:val="center"/>
            <w:shd w:fill="F1F6F9"/>
          </w:tcPr>
          <w:p>
            <w:pPr>
              <w:spacing w:after="0"/>
            </w:pPr>
            <w:r/>
            <w:r>
              <w:rPr>
                <w:rFonts w:ascii="Aptos" w:hAnsi="Aptos"/>
                <w:b w:val="0"/>
                <w:sz w:val="16"/>
              </w:rPr>
              <w:t>Phase 2</w:t>
            </w:r>
          </w:p>
        </w:tc>
      </w:tr>
      <w:tr>
        <w:tc>
          <w:tcPr>
            <w:tcW w:type="dxa" w:w="2592"/>
            <w:vAlign w:val="center"/>
          </w:tcPr>
          <w:p>
            <w:pPr>
              <w:spacing w:after="0"/>
            </w:pPr>
            <w:r/>
            <w:r>
              <w:rPr>
                <w:rFonts w:ascii="Aptos" w:hAnsi="Aptos"/>
                <w:b w:val="0"/>
                <w:sz w:val="16"/>
              </w:rPr>
              <w:t>Payments &amp; Accounting</w:t>
            </w:r>
          </w:p>
        </w:tc>
        <w:tc>
          <w:tcPr>
            <w:tcW w:type="dxa" w:w="6336"/>
            <w:vAlign w:val="center"/>
          </w:tcPr>
          <w:p>
            <w:pPr>
              <w:spacing w:after="0"/>
            </w:pPr>
            <w:r/>
            <w:r>
              <w:rPr>
                <w:rFonts w:ascii="Aptos" w:hAnsi="Aptos"/>
                <w:b w:val="0"/>
                <w:sz w:val="16"/>
              </w:rPr>
              <w:t>Payment-provider integration, rent transactions, owner statements, expenses and exports.</w:t>
            </w:r>
          </w:p>
        </w:tc>
        <w:tc>
          <w:tcPr>
            <w:tcW w:type="dxa" w:w="1440"/>
            <w:vAlign w:val="center"/>
          </w:tcPr>
          <w:p>
            <w:pPr>
              <w:spacing w:after="0"/>
            </w:pPr>
            <w:r/>
            <w:r>
              <w:rPr>
                <w:rFonts w:ascii="Aptos" w:hAnsi="Aptos"/>
                <w:b w:val="0"/>
                <w:sz w:val="16"/>
              </w:rPr>
              <w:t>Phase 2; partner-dependent</w:t>
            </w:r>
          </w:p>
        </w:tc>
      </w:tr>
      <w:tr>
        <w:tc>
          <w:tcPr>
            <w:tcW w:type="dxa" w:w="2592"/>
            <w:vAlign w:val="center"/>
            <w:shd w:fill="F1F6F9"/>
          </w:tcPr>
          <w:p>
            <w:pPr>
              <w:spacing w:after="0"/>
            </w:pPr>
            <w:r/>
            <w:r>
              <w:rPr>
                <w:rFonts w:ascii="Aptos" w:hAnsi="Aptos"/>
                <w:b w:val="0"/>
                <w:sz w:val="16"/>
              </w:rPr>
              <w:t>Maintenance &amp; Vendors</w:t>
            </w:r>
          </w:p>
        </w:tc>
        <w:tc>
          <w:tcPr>
            <w:tcW w:type="dxa" w:w="6336"/>
            <w:vAlign w:val="center"/>
            <w:shd w:fill="F1F6F9"/>
          </w:tcPr>
          <w:p>
            <w:pPr>
              <w:spacing w:after="0"/>
            </w:pPr>
            <w:r/>
            <w:r>
              <w:rPr>
                <w:rFonts w:ascii="Aptos" w:hAnsi="Aptos"/>
                <w:b w:val="0"/>
                <w:sz w:val="16"/>
              </w:rPr>
              <w:t>Maintenance requests, work orders, assignment, estimates, completion evidence.</w:t>
            </w:r>
          </w:p>
        </w:tc>
        <w:tc>
          <w:tcPr>
            <w:tcW w:type="dxa" w:w="1440"/>
            <w:vAlign w:val="center"/>
            <w:shd w:fill="F1F6F9"/>
          </w:tcPr>
          <w:p>
            <w:pPr>
              <w:spacing w:after="0"/>
            </w:pPr>
            <w:r/>
            <w:r>
              <w:rPr>
                <w:rFonts w:ascii="Aptos" w:hAnsi="Aptos"/>
                <w:b w:val="0"/>
                <w:sz w:val="16"/>
              </w:rPr>
              <w:t>Phase 2</w:t>
            </w:r>
          </w:p>
        </w:tc>
      </w:tr>
      <w:tr>
        <w:tc>
          <w:tcPr>
            <w:tcW w:type="dxa" w:w="2592"/>
            <w:vAlign w:val="center"/>
          </w:tcPr>
          <w:p>
            <w:pPr>
              <w:spacing w:after="0"/>
            </w:pPr>
            <w:r/>
            <w:r>
              <w:rPr>
                <w:rFonts w:ascii="Aptos" w:hAnsi="Aptos"/>
                <w:b w:val="0"/>
                <w:sz w:val="16"/>
              </w:rPr>
              <w:t>Messaging &amp; Notifications</w:t>
            </w:r>
          </w:p>
        </w:tc>
        <w:tc>
          <w:tcPr>
            <w:tcW w:type="dxa" w:w="6336"/>
            <w:vAlign w:val="center"/>
          </w:tcPr>
          <w:p>
            <w:pPr>
              <w:spacing w:after="0"/>
            </w:pPr>
            <w:r/>
            <w:r>
              <w:rPr>
                <w:rFonts w:ascii="Aptos" w:hAnsi="Aptos"/>
                <w:b w:val="0"/>
                <w:sz w:val="16"/>
              </w:rPr>
              <w:t>In-app chat, presence, typing, unread counts, notifications, email/SMS/push.</w:t>
            </w:r>
          </w:p>
        </w:tc>
        <w:tc>
          <w:tcPr>
            <w:tcW w:type="dxa" w:w="1440"/>
            <w:vAlign w:val="center"/>
          </w:tcPr>
          <w:p>
            <w:pPr>
              <w:spacing w:after="0"/>
            </w:pPr>
            <w:r/>
            <w:r>
              <w:rPr>
                <w:rFonts w:ascii="Aptos" w:hAnsi="Aptos"/>
                <w:b w:val="0"/>
                <w:sz w:val="16"/>
              </w:rPr>
              <w:t>MVP core; enhanced realtime</w:t>
            </w:r>
          </w:p>
        </w:tc>
      </w:tr>
      <w:tr>
        <w:tc>
          <w:tcPr>
            <w:tcW w:type="dxa" w:w="2592"/>
            <w:vAlign w:val="center"/>
            <w:shd w:fill="F1F6F9"/>
          </w:tcPr>
          <w:p>
            <w:pPr>
              <w:spacing w:after="0"/>
            </w:pPr>
            <w:r/>
            <w:r>
              <w:rPr>
                <w:rFonts w:ascii="Aptos" w:hAnsi="Aptos"/>
                <w:b w:val="0"/>
                <w:sz w:val="16"/>
              </w:rPr>
              <w:t>Panga Akiba</w:t>
            </w:r>
          </w:p>
        </w:tc>
        <w:tc>
          <w:tcPr>
            <w:tcW w:type="dxa" w:w="6336"/>
            <w:vAlign w:val="center"/>
            <w:shd w:fill="F1F6F9"/>
          </w:tcPr>
          <w:p>
            <w:pPr>
              <w:spacing w:after="0"/>
            </w:pPr>
            <w:r/>
            <w:r>
              <w:rPr>
                <w:rFonts w:ascii="Aptos" w:hAnsi="Aptos"/>
                <w:b w:val="0"/>
                <w:sz w:val="16"/>
              </w:rPr>
              <w:t>Savings goals and progress tracking; actual custody/transfer only through approved partner.</w:t>
            </w:r>
          </w:p>
        </w:tc>
        <w:tc>
          <w:tcPr>
            <w:tcW w:type="dxa" w:w="1440"/>
            <w:vAlign w:val="center"/>
            <w:shd w:fill="F1F6F9"/>
          </w:tcPr>
          <w:p>
            <w:pPr>
              <w:spacing w:after="0"/>
            </w:pPr>
            <w:r/>
            <w:r>
              <w:rPr>
                <w:rFonts w:ascii="Aptos" w:hAnsi="Aptos"/>
                <w:b w:val="0"/>
                <w:sz w:val="16"/>
              </w:rPr>
              <w:t>MVP tracking; money movement later</w:t>
            </w:r>
          </w:p>
        </w:tc>
      </w:tr>
      <w:tr>
        <w:tc>
          <w:tcPr>
            <w:tcW w:type="dxa" w:w="2592"/>
            <w:vAlign w:val="center"/>
          </w:tcPr>
          <w:p>
            <w:pPr>
              <w:spacing w:after="0"/>
            </w:pPr>
            <w:r/>
            <w:r>
              <w:rPr>
                <w:rFonts w:ascii="Aptos" w:hAnsi="Aptos"/>
                <w:b w:val="0"/>
                <w:sz w:val="16"/>
              </w:rPr>
              <w:t>Panga Life Records / Rental Passport</w:t>
            </w:r>
          </w:p>
        </w:tc>
        <w:tc>
          <w:tcPr>
            <w:tcW w:type="dxa" w:w="6336"/>
            <w:vAlign w:val="center"/>
          </w:tcPr>
          <w:p>
            <w:pPr>
              <w:spacing w:after="0"/>
            </w:pPr>
            <w:r/>
            <w:r>
              <w:rPr>
                <w:rFonts w:ascii="Aptos" w:hAnsi="Aptos"/>
                <w:b w:val="0"/>
                <w:sz w:val="16"/>
              </w:rPr>
              <w:t>Private housing timeline, evidence-backed rental history, expenses and move-in/out records.</w:t>
            </w:r>
          </w:p>
        </w:tc>
        <w:tc>
          <w:tcPr>
            <w:tcW w:type="dxa" w:w="1440"/>
            <w:vAlign w:val="center"/>
          </w:tcPr>
          <w:p>
            <w:pPr>
              <w:spacing w:after="0"/>
            </w:pPr>
            <w:r/>
            <w:r>
              <w:rPr>
                <w:rFonts w:ascii="Aptos" w:hAnsi="Aptos"/>
                <w:b w:val="0"/>
                <w:sz w:val="16"/>
              </w:rPr>
              <w:t>Phase 2</w:t>
            </w:r>
          </w:p>
        </w:tc>
      </w:tr>
      <w:tr>
        <w:tc>
          <w:tcPr>
            <w:tcW w:type="dxa" w:w="2592"/>
            <w:vAlign w:val="center"/>
            <w:shd w:fill="F1F6F9"/>
          </w:tcPr>
          <w:p>
            <w:pPr>
              <w:spacing w:after="0"/>
            </w:pPr>
            <w:r/>
            <w:r>
              <w:rPr>
                <w:rFonts w:ascii="Aptos" w:hAnsi="Aptos"/>
                <w:b w:val="0"/>
                <w:sz w:val="16"/>
              </w:rPr>
              <w:t>Panga Finance Connect</w:t>
            </w:r>
          </w:p>
        </w:tc>
        <w:tc>
          <w:tcPr>
            <w:tcW w:type="dxa" w:w="6336"/>
            <w:vAlign w:val="center"/>
            <w:shd w:fill="F1F6F9"/>
          </w:tcPr>
          <w:p>
            <w:pPr>
              <w:spacing w:after="0"/>
            </w:pPr>
            <w:r/>
            <w:r>
              <w:rPr>
                <w:rFonts w:ascii="Aptos" w:hAnsi="Aptos"/>
                <w:b w:val="0"/>
                <w:sz w:val="16"/>
              </w:rPr>
              <w:t>Matching tenants to eligible financing partners with explicit data-sharing consent.</w:t>
            </w:r>
          </w:p>
        </w:tc>
        <w:tc>
          <w:tcPr>
            <w:tcW w:type="dxa" w:w="1440"/>
            <w:vAlign w:val="center"/>
            <w:shd w:fill="F1F6F9"/>
          </w:tcPr>
          <w:p>
            <w:pPr>
              <w:spacing w:after="0"/>
            </w:pPr>
            <w:r/>
            <w:r>
              <w:rPr>
                <w:rFonts w:ascii="Aptos" w:hAnsi="Aptos"/>
                <w:b w:val="0"/>
                <w:sz w:val="16"/>
              </w:rPr>
              <w:t>Later phase after legal review</w:t>
            </w:r>
          </w:p>
        </w:tc>
      </w:tr>
      <w:tr>
        <w:tc>
          <w:tcPr>
            <w:tcW w:type="dxa" w:w="2592"/>
            <w:vAlign w:val="center"/>
          </w:tcPr>
          <w:p>
            <w:pPr>
              <w:spacing w:after="0"/>
            </w:pPr>
            <w:r/>
            <w:r>
              <w:rPr>
                <w:rFonts w:ascii="Aptos" w:hAnsi="Aptos"/>
                <w:b w:val="0"/>
                <w:sz w:val="16"/>
              </w:rPr>
              <w:t>Investment &amp; Project Participation</w:t>
            </w:r>
          </w:p>
        </w:tc>
        <w:tc>
          <w:tcPr>
            <w:tcW w:type="dxa" w:w="6336"/>
            <w:vAlign w:val="center"/>
          </w:tcPr>
          <w:p>
            <w:pPr>
              <w:spacing w:after="0"/>
            </w:pPr>
            <w:r/>
            <w:r>
              <w:rPr>
                <w:rFonts w:ascii="Aptos" w:hAnsi="Aptos"/>
                <w:b w:val="0"/>
                <w:sz w:val="16"/>
              </w:rPr>
              <w:t>Project profiles, due diligence disclosures, expressions of interest and participation records.</w:t>
            </w:r>
          </w:p>
        </w:tc>
        <w:tc>
          <w:tcPr>
            <w:tcW w:type="dxa" w:w="1440"/>
            <w:vAlign w:val="center"/>
          </w:tcPr>
          <w:p>
            <w:pPr>
              <w:spacing w:after="0"/>
            </w:pPr>
            <w:r/>
            <w:r>
              <w:rPr>
                <w:rFonts w:ascii="Aptos" w:hAnsi="Aptos"/>
                <w:b w:val="0"/>
                <w:sz w:val="16"/>
              </w:rPr>
              <w:t>Later phase after legal review</w:t>
            </w:r>
          </w:p>
        </w:tc>
      </w:tr>
      <w:tr>
        <w:tc>
          <w:tcPr>
            <w:tcW w:type="dxa" w:w="2592"/>
            <w:vAlign w:val="center"/>
            <w:shd w:fill="F1F6F9"/>
          </w:tcPr>
          <w:p>
            <w:pPr>
              <w:spacing w:after="0"/>
            </w:pPr>
            <w:r/>
            <w:r>
              <w:rPr>
                <w:rFonts w:ascii="Aptos" w:hAnsi="Aptos"/>
                <w:b w:val="0"/>
                <w:sz w:val="16"/>
              </w:rPr>
              <w:t>Analytics &amp; Reporting</w:t>
            </w:r>
          </w:p>
        </w:tc>
        <w:tc>
          <w:tcPr>
            <w:tcW w:type="dxa" w:w="6336"/>
            <w:vAlign w:val="center"/>
            <w:shd w:fill="F1F6F9"/>
          </w:tcPr>
          <w:p>
            <w:pPr>
              <w:spacing w:after="0"/>
            </w:pPr>
            <w:r/>
            <w:r>
              <w:rPr>
                <w:rFonts w:ascii="Aptos" w:hAnsi="Aptos"/>
                <w:b w:val="0"/>
                <w:sz w:val="16"/>
              </w:rPr>
              <w:t>Owner, manager, tenant, vendor and platform operational reports.</w:t>
            </w:r>
          </w:p>
        </w:tc>
        <w:tc>
          <w:tcPr>
            <w:tcW w:type="dxa" w:w="1440"/>
            <w:vAlign w:val="center"/>
            <w:shd w:fill="F1F6F9"/>
          </w:tcPr>
          <w:p>
            <w:pPr>
              <w:spacing w:after="0"/>
            </w:pPr>
            <w:r/>
            <w:r>
              <w:rPr>
                <w:rFonts w:ascii="Aptos" w:hAnsi="Aptos"/>
                <w:b w:val="0"/>
                <w:sz w:val="16"/>
              </w:rPr>
              <w:t>Phased</w:t>
            </w:r>
          </w:p>
        </w:tc>
      </w:tr>
      <w:tr>
        <w:tc>
          <w:tcPr>
            <w:tcW w:type="dxa" w:w="2592"/>
            <w:vAlign w:val="center"/>
          </w:tcPr>
          <w:p>
            <w:pPr>
              <w:spacing w:after="0"/>
            </w:pPr>
            <w:r/>
            <w:r>
              <w:rPr>
                <w:rFonts w:ascii="Aptos" w:hAnsi="Aptos"/>
                <w:b w:val="0"/>
                <w:sz w:val="16"/>
              </w:rPr>
              <w:t>Reviews &amp; Trust</w:t>
            </w:r>
          </w:p>
        </w:tc>
        <w:tc>
          <w:tcPr>
            <w:tcW w:type="dxa" w:w="6336"/>
            <w:vAlign w:val="center"/>
          </w:tcPr>
          <w:p>
            <w:pPr>
              <w:spacing w:after="0"/>
            </w:pPr>
            <w:r/>
            <w:r>
              <w:rPr>
                <w:rFonts w:ascii="Aptos" w:hAnsi="Aptos"/>
                <w:b w:val="0"/>
                <w:sz w:val="16"/>
              </w:rPr>
              <w:t>Post-tenancy reviews, dispute/report handling and verification signals.</w:t>
            </w:r>
          </w:p>
        </w:tc>
        <w:tc>
          <w:tcPr>
            <w:tcW w:type="dxa" w:w="1440"/>
            <w:vAlign w:val="center"/>
          </w:tcPr>
          <w:p>
            <w:pPr>
              <w:spacing w:after="0"/>
            </w:pPr>
            <w:r/>
            <w:r>
              <w:rPr>
                <w:rFonts w:ascii="Aptos" w:hAnsi="Aptos"/>
                <w:b w:val="0"/>
                <w:sz w:val="16"/>
              </w:rPr>
              <w:t>Phase 2</w:t>
            </w:r>
          </w:p>
        </w:tc>
      </w:tr>
    </w:tbl>
    <w:p/>
    <w:p>
      <w:pPr>
        <w:pStyle w:val="Heading1"/>
      </w:pPr>
      <w:r>
        <w:t>4. Functional requirements</w:t>
      </w:r>
    </w:p>
    <w:p>
      <w:pPr>
        <w:pStyle w:val="Heading2"/>
      </w:pPr>
      <w:r>
        <w:t>4.1 Identity, authentication and account security</w:t>
      </w:r>
    </w:p>
    <w:p>
      <w:pPr>
        <w:ind w:left="173"/>
      </w:pPr>
      <w:r>
        <w:rPr>
          <w:b/>
          <w:color w:val="2778A5"/>
        </w:rPr>
        <w:t xml:space="preserve">AUTH-001 [Must] </w:t>
      </w:r>
      <w:r>
        <w:t>The platform shall support phone-number authentication with OTP; email login or recovery may be added if approved.</w:t>
      </w:r>
    </w:p>
    <w:p>
      <w:pPr>
        <w:ind w:left="173"/>
      </w:pPr>
      <w:r>
        <w:rPr>
          <w:b/>
          <w:color w:val="2778A5"/>
        </w:rPr>
        <w:t xml:space="preserve">AUTH-002 [Must] </w:t>
      </w:r>
      <w:r>
        <w:t>OTP requests shall be rate-limited by account, phone number, IP/device signals and time window.</w:t>
      </w:r>
    </w:p>
    <w:p>
      <w:pPr>
        <w:ind w:left="173"/>
      </w:pPr>
      <w:r>
        <w:rPr>
          <w:b/>
          <w:color w:val="2778A5"/>
        </w:rPr>
        <w:t xml:space="preserve">AUTH-003 [Must] </w:t>
      </w:r>
      <w:r>
        <w:t>Administrative accounts shall require MFA and stronger session controls.</w:t>
      </w:r>
    </w:p>
    <w:p>
      <w:pPr>
        <w:ind w:left="173"/>
      </w:pPr>
      <w:r>
        <w:rPr>
          <w:b/>
          <w:color w:val="2778A5"/>
        </w:rPr>
        <w:t xml:space="preserve">AUTH-004 [Must] </w:t>
      </w:r>
      <w:r>
        <w:t>Users shall be able to review active sessions and revoke sessions they do not recognize.</w:t>
      </w:r>
    </w:p>
    <w:p>
      <w:pPr>
        <w:ind w:left="173"/>
      </w:pPr>
      <w:r>
        <w:rPr>
          <w:b/>
          <w:color w:val="2778A5"/>
        </w:rPr>
        <w:t xml:space="preserve">AUTH-005 [Must] </w:t>
      </w:r>
      <w:r>
        <w:t>Account recovery shall not bypass verification and audit requirements.</w:t>
      </w:r>
    </w:p>
    <w:p>
      <w:pPr>
        <w:ind w:left="173"/>
      </w:pPr>
      <w:r>
        <w:rPr>
          <w:b/>
          <w:color w:val="2778A5"/>
        </w:rPr>
        <w:t xml:space="preserve">AUTH-006 [Must] </w:t>
      </w:r>
      <w:r>
        <w:t>The system shall support account deactivation and a documented data-retention/deletion workflow subject to legal retention duties.</w:t>
      </w:r>
    </w:p>
    <w:p>
      <w:pPr>
        <w:ind w:left="173"/>
      </w:pPr>
      <w:r>
        <w:rPr>
          <w:b/>
          <w:color w:val="2778A5"/>
        </w:rPr>
        <w:t xml:space="preserve">AUTH-007 [Must] </w:t>
      </w:r>
      <w:r>
        <w:t>The system shall use secure, short-lived access tokens or secure server sessions, rotate refresh credentials where used, and invalidate compromised sessions.</w:t>
      </w:r>
    </w:p>
    <w:p>
      <w:pPr>
        <w:pStyle w:val="Heading2"/>
      </w:pPr>
      <w:r>
        <w:t>4.2 Property and listing marketplace</w:t>
      </w:r>
    </w:p>
    <w:p>
      <w:pPr>
        <w:ind w:left="173"/>
      </w:pPr>
      <w:r>
        <w:rPr>
          <w:b/>
          <w:color w:val="2778A5"/>
        </w:rPr>
        <w:t xml:space="preserve">PROP-001 [Must] </w:t>
      </w:r>
      <w:r>
        <w:t>Owners and authorized managers shall create, edit, publish, pause, archive and renew property listings within their permissions.</w:t>
      </w:r>
    </w:p>
    <w:p>
      <w:pPr>
        <w:ind w:left="173"/>
      </w:pPr>
      <w:r>
        <w:rPr>
          <w:b/>
          <w:color w:val="2778A5"/>
        </w:rPr>
        <w:t xml:space="preserve">PROP-002 [Must] </w:t>
      </w:r>
      <w:r>
        <w:t>A property may contain multiple rentable units; each unit shall have its own availability, price, lease status and history.</w:t>
      </w:r>
    </w:p>
    <w:p>
      <w:pPr>
        <w:ind w:left="173"/>
      </w:pPr>
      <w:r>
        <w:rPr>
          <w:b/>
          <w:color w:val="2778A5"/>
        </w:rPr>
        <w:t xml:space="preserve">PROP-003 [Must] </w:t>
      </w:r>
      <w:r>
        <w:t>Listings shall include property type, rent amount and frequency, deposit if any, location, amenities, rules, availability date, photos and description.</w:t>
      </w:r>
    </w:p>
    <w:p>
      <w:pPr>
        <w:ind w:left="173"/>
      </w:pPr>
      <w:r>
        <w:rPr>
          <w:b/>
          <w:color w:val="2778A5"/>
        </w:rPr>
        <w:t xml:space="preserve">PROP-004 [Must] </w:t>
      </w:r>
      <w:r>
        <w:t>The platform shall support listing photos and optional virtual tours, subject to upload limits, malware checks and content moderation.</w:t>
      </w:r>
    </w:p>
    <w:p>
      <w:pPr>
        <w:ind w:left="173"/>
      </w:pPr>
      <w:r>
        <w:rPr>
          <w:b/>
          <w:color w:val="2778A5"/>
        </w:rPr>
        <w:t xml:space="preserve">PROP-005 [Must] </w:t>
      </w:r>
      <w:r>
        <w:t>Search shall filter by location, property/unit type, price range, amenities, availability, lease duration and verification state.</w:t>
      </w:r>
    </w:p>
    <w:p>
      <w:pPr>
        <w:ind w:left="173"/>
      </w:pPr>
      <w:r>
        <w:rPr>
          <w:b/>
          <w:color w:val="2778A5"/>
        </w:rPr>
        <w:t xml:space="preserve">PROP-006 [Must] </w:t>
      </w:r>
      <w:r>
        <w:t>Users shall be able to browse a map and list view; exact sensitive addresses may be hidden until the owner chooses to disclose them.</w:t>
      </w:r>
    </w:p>
    <w:p>
      <w:pPr>
        <w:ind w:left="173"/>
      </w:pPr>
      <w:r>
        <w:rPr>
          <w:b/>
          <w:color w:val="2778A5"/>
        </w:rPr>
        <w:t xml:space="preserve">PROP-007 [Must] </w:t>
      </w:r>
      <w:r>
        <w:t>The platform shall provide favorites/saved searches and optional alerts for matching listings.</w:t>
      </w:r>
    </w:p>
    <w:p>
      <w:pPr>
        <w:ind w:left="173"/>
      </w:pPr>
      <w:r>
        <w:rPr>
          <w:b/>
          <w:color w:val="2778A5"/>
        </w:rPr>
        <w:t xml:space="preserve">PROP-008 [Must] </w:t>
      </w:r>
      <w:r>
        <w:t>Owner-direct shall be the default marketplace model. An agent or manager must be labelled as an authorized representative and linked to an owner authorization record.</w:t>
      </w:r>
    </w:p>
    <w:p>
      <w:pPr>
        <w:ind w:left="173"/>
      </w:pPr>
      <w:r>
        <w:rPr>
          <w:b/>
          <w:color w:val="2778A5"/>
        </w:rPr>
        <w:t xml:space="preserve">PROP-009 [Must] </w:t>
      </w:r>
      <w:r>
        <w:t>The platform shall allow owners/managers to reconfirm listing availability and automatically flag stale availability information.</w:t>
      </w:r>
    </w:p>
    <w:p>
      <w:pPr>
        <w:ind w:left="173"/>
      </w:pPr>
      <w:r>
        <w:rPr>
          <w:b/>
          <w:color w:val="2778A5"/>
        </w:rPr>
        <w:t xml:space="preserve">PROP-010 [Must] </w:t>
      </w:r>
      <w:r>
        <w:t>Users shall report suspicious, misleading, duplicate or discriminatory listings; moderators shall track report status and decisions.</w:t>
      </w:r>
    </w:p>
    <w:p>
      <w:pPr>
        <w:ind w:left="173"/>
      </w:pPr>
      <w:r>
        <w:rPr>
          <w:b/>
          <w:color w:val="2778A5"/>
        </w:rPr>
        <w:t xml:space="preserve">PROP-011 [Must] </w:t>
      </w:r>
      <w:r>
        <w:t>The platform shall record who created and last changed listing details, with timestamps and moderation history.</w:t>
      </w:r>
    </w:p>
    <w:p>
      <w:pPr>
        <w:ind w:left="173"/>
      </w:pPr>
      <w:r>
        <w:rPr>
          <w:b/>
          <w:color w:val="2778A5"/>
        </w:rPr>
        <w:t xml:space="preserve">PROP-012 [Must] </w:t>
      </w:r>
      <w:r>
        <w:t>The platform shall not display a verification badge until the applicable verification checks have passed.</w:t>
      </w:r>
    </w:p>
    <w:p>
      <w:pPr>
        <w:pStyle w:val="Heading2"/>
      </w:pPr>
      <w:r>
        <w:t>4.3 Property, owner and representative verification</w:t>
      </w:r>
    </w:p>
    <w:p>
      <w:pPr>
        <w:ind w:left="173"/>
      </w:pPr>
      <w:r>
        <w:rPr>
          <w:b/>
          <w:color w:val="2778A5"/>
        </w:rPr>
        <w:t xml:space="preserve">VER-001 [Must] </w:t>
      </w:r>
      <w:r>
        <w:t>The system shall support identity verification status separately from property ownership verification.</w:t>
      </w:r>
    </w:p>
    <w:p>
      <w:pPr>
        <w:ind w:left="173"/>
      </w:pPr>
      <w:r>
        <w:rPr>
          <w:b/>
          <w:color w:val="2778A5"/>
        </w:rPr>
        <w:t xml:space="preserve">VER-002 [Must] </w:t>
      </w:r>
      <w:r>
        <w:t>Property verification may require proof of ownership or documented authority, property address/location, and supporting property details.</w:t>
      </w:r>
    </w:p>
    <w:p>
      <w:pPr>
        <w:ind w:left="173"/>
      </w:pPr>
      <w:r>
        <w:rPr>
          <w:b/>
          <w:color w:val="2778A5"/>
        </w:rPr>
        <w:t xml:space="preserve">VER-003 [Must] </w:t>
      </w:r>
      <w:r>
        <w:t>A property manager or representative shall be linked to the owner and to the specific properties they may manage.</w:t>
      </w:r>
    </w:p>
    <w:p>
      <w:pPr>
        <w:ind w:left="173"/>
      </w:pPr>
      <w:r>
        <w:rPr>
          <w:b/>
          <w:color w:val="2778A5"/>
        </w:rPr>
        <w:t xml:space="preserve">VER-004 [Must] </w:t>
      </w:r>
      <w:r>
        <w:t>Verification documents shall be private, encrypted at rest where supported, access-controlled and available only to authorized reviewers and relevant workflows.</w:t>
      </w:r>
    </w:p>
    <w:p>
      <w:pPr>
        <w:ind w:left="173"/>
      </w:pPr>
      <w:r>
        <w:rPr>
          <w:b/>
          <w:color w:val="2778A5"/>
        </w:rPr>
        <w:t xml:space="preserve">VER-005 [Must] </w:t>
      </w:r>
      <w:r>
        <w:t>The system shall store verification outcome, reviewer, timestamps, expiry/review date and reason codes without exposing unnecessary document details publicly.</w:t>
      </w:r>
    </w:p>
    <w:p>
      <w:pPr>
        <w:ind w:left="173"/>
      </w:pPr>
      <w:r>
        <w:rPr>
          <w:b/>
          <w:color w:val="2778A5"/>
        </w:rPr>
        <w:t xml:space="preserve">VER-006 [Must] </w:t>
      </w:r>
      <w:r>
        <w:t>A failed or expired check shall trigger a clear status and an appeal/resubmission workflow.</w:t>
      </w:r>
    </w:p>
    <w:p>
      <w:pPr>
        <w:ind w:left="173"/>
      </w:pPr>
      <w:r>
        <w:rPr>
          <w:b/>
          <w:color w:val="2778A5"/>
        </w:rPr>
        <w:t xml:space="preserve">VER-007 [Must] </w:t>
      </w:r>
      <w:r>
        <w:t>Verification means only that defined checks were completed; it shall not be represented as a guarantee of property quality, title validity or transaction safety.</w:t>
      </w:r>
    </w:p>
    <w:p>
      <w:pPr>
        <w:pStyle w:val="Heading2"/>
      </w:pPr>
      <w:r>
        <w:t>4.4 Viewing, application and tenancy workflow</w:t>
      </w:r>
    </w:p>
    <w:p>
      <w:pPr>
        <w:ind w:left="173"/>
      </w:pPr>
      <w:r>
        <w:rPr>
          <w:b/>
          <w:color w:val="2778A5"/>
        </w:rPr>
        <w:t xml:space="preserve">LEASE-001 [Must] </w:t>
      </w:r>
      <w:r>
        <w:t>Prospective tenants shall send inquiries and request a viewing time for a listed unit.</w:t>
      </w:r>
    </w:p>
    <w:p>
      <w:pPr>
        <w:ind w:left="173"/>
      </w:pPr>
      <w:r>
        <w:rPr>
          <w:b/>
          <w:color w:val="2778A5"/>
        </w:rPr>
        <w:t xml:space="preserve">LEASE-002 [Must] </w:t>
      </w:r>
      <w:r>
        <w:t>Owners/managers shall accept, propose another time or decline a viewing request; both parties shall receive status notifications.</w:t>
      </w:r>
    </w:p>
    <w:p>
      <w:pPr>
        <w:ind w:left="173"/>
      </w:pPr>
      <w:r>
        <w:rPr>
          <w:b/>
          <w:color w:val="2778A5"/>
        </w:rPr>
        <w:t xml:space="preserve">LEASE-003 [Must] </w:t>
      </w:r>
      <w:r>
        <w:t>A tenant shall be able to submit a rental application and attach only requested documents.</w:t>
      </w:r>
    </w:p>
    <w:p>
      <w:pPr>
        <w:ind w:left="173"/>
      </w:pPr>
      <w:r>
        <w:rPr>
          <w:b/>
          <w:color w:val="2778A5"/>
        </w:rPr>
        <w:t xml:space="preserve">LEASE-004 [Must] </w:t>
      </w:r>
      <w:r>
        <w:t>The platform shall track application states such as Draft, Submitted, Under Review, More Information Requested, Approved, Declined and Withdrawn.</w:t>
      </w:r>
    </w:p>
    <w:p>
      <w:pPr>
        <w:ind w:left="173"/>
      </w:pPr>
      <w:r>
        <w:rPr>
          <w:b/>
          <w:color w:val="2778A5"/>
        </w:rPr>
        <w:t xml:space="preserve">LEASE-005 [Must] </w:t>
      </w:r>
      <w:r>
        <w:t>The system shall record the reason or message supplied for a decision where appropriate and legally permitted.</w:t>
      </w:r>
    </w:p>
    <w:p>
      <w:pPr>
        <w:ind w:left="173"/>
      </w:pPr>
      <w:r>
        <w:rPr>
          <w:b/>
          <w:color w:val="2778A5"/>
        </w:rPr>
        <w:t xml:space="preserve">LEASE-006 [Must] </w:t>
      </w:r>
      <w:r>
        <w:t>Screening integrations, where enabled, shall require a lawful basis, clear disclosure and appropriate tenant authorization.</w:t>
      </w:r>
    </w:p>
    <w:p>
      <w:pPr>
        <w:ind w:left="173"/>
      </w:pPr>
      <w:r>
        <w:rPr>
          <w:b/>
          <w:color w:val="2778A5"/>
        </w:rPr>
        <w:t xml:space="preserve">LEASE-007 [Must] </w:t>
      </w:r>
      <w:r>
        <w:t>A tenancy shall be created only after the relevant parties accept the required lease/tenancy terms.</w:t>
      </w:r>
    </w:p>
    <w:p>
      <w:pPr>
        <w:ind w:left="173"/>
      </w:pPr>
      <w:r>
        <w:rPr>
          <w:b/>
          <w:color w:val="2778A5"/>
        </w:rPr>
        <w:t xml:space="preserve">LEASE-008 [Must] </w:t>
      </w:r>
      <w:r>
        <w:t>The platform shall support lease documents, versioning, renewals, addenda, expiry reminders and termination/move-out records.</w:t>
      </w:r>
    </w:p>
    <w:p>
      <w:pPr>
        <w:ind w:left="173"/>
      </w:pPr>
      <w:r>
        <w:rPr>
          <w:b/>
          <w:color w:val="2778A5"/>
        </w:rPr>
        <w:t xml:space="preserve">LEASE-009 [Must] </w:t>
      </w:r>
      <w:r>
        <w:t>Electronic signature functionality shall be enabled only after the signature provider, evidence requirements and local legal suitability are reviewed.</w:t>
      </w:r>
    </w:p>
    <w:p>
      <w:pPr>
        <w:ind w:left="173"/>
      </w:pPr>
      <w:r>
        <w:rPr>
          <w:b/>
          <w:color w:val="2778A5"/>
        </w:rPr>
        <w:t xml:space="preserve">LEASE-010 [Must] </w:t>
      </w:r>
      <w:r>
        <w:t>The system shall prevent overlapping active tenancy assignments for the same unit unless an explicitly supported shared-tenancy model permits it.</w:t>
      </w:r>
    </w:p>
    <w:p>
      <w:pPr>
        <w:pStyle w:val="Heading2"/>
      </w:pPr>
      <w:r>
        <w:t>4.5 Rental operations, rent ledger and payments</w:t>
      </w:r>
    </w:p>
    <w:p>
      <w:pPr>
        <w:ind w:left="173"/>
      </w:pPr>
      <w:r>
        <w:rPr>
          <w:b/>
          <w:color w:val="2778A5"/>
        </w:rPr>
        <w:t xml:space="preserve">RENT-001 [Must] </w:t>
      </w:r>
      <w:r>
        <w:t>Each tenancy shall have agreed rent amount, currency, payment frequency, due dates, deposit terms and any agreed charges.</w:t>
      </w:r>
    </w:p>
    <w:p>
      <w:pPr>
        <w:ind w:left="173"/>
      </w:pPr>
      <w:r>
        <w:rPr>
          <w:b/>
          <w:color w:val="2778A5"/>
        </w:rPr>
        <w:t xml:space="preserve">RENT-002 [Must] </w:t>
      </w:r>
      <w:r>
        <w:t>The platform shall maintain a ledger separating rent due, payments reported, payments confirmed by a payment provider, credits, refunds and adjustments.</w:t>
      </w:r>
    </w:p>
    <w:p>
      <w:pPr>
        <w:ind w:left="173"/>
      </w:pPr>
      <w:r>
        <w:rPr>
          <w:b/>
          <w:color w:val="2778A5"/>
        </w:rPr>
        <w:t xml:space="preserve">RENT-003 [Must] </w:t>
      </w:r>
      <w:r>
        <w:t>The system shall not mark a payment as confirmed solely because a user uploaded a receipt; it shall distinguish user-reported evidence from provider-confirmed transactions.</w:t>
      </w:r>
    </w:p>
    <w:p>
      <w:pPr>
        <w:ind w:left="173"/>
      </w:pPr>
      <w:r>
        <w:rPr>
          <w:b/>
          <w:color w:val="2778A5"/>
        </w:rPr>
        <w:t xml:space="preserve">RENT-004 [Must] </w:t>
      </w:r>
      <w:r>
        <w:t>Payment integration shall use approved payment service providers and shall not store raw card credentials.</w:t>
      </w:r>
    </w:p>
    <w:p>
      <w:pPr>
        <w:ind w:left="173"/>
      </w:pPr>
      <w:r>
        <w:rPr>
          <w:b/>
          <w:color w:val="2778A5"/>
        </w:rPr>
        <w:t xml:space="preserve">RENT-005 [Must] </w:t>
      </w:r>
      <w:r>
        <w:t>The system shall support transaction references, provider callbacks/webhooks, idempotency keys and reconciliation workflows.</w:t>
      </w:r>
    </w:p>
    <w:p>
      <w:pPr>
        <w:ind w:left="173"/>
      </w:pPr>
      <w:r>
        <w:rPr>
          <w:b/>
          <w:color w:val="2778A5"/>
        </w:rPr>
        <w:t xml:space="preserve">RENT-006 [Must] </w:t>
      </w:r>
      <w:r>
        <w:t>Tenants and owners shall be able to view receipts and a tenancy-level payment history, subject to their permissions.</w:t>
      </w:r>
    </w:p>
    <w:p>
      <w:pPr>
        <w:ind w:left="173"/>
      </w:pPr>
      <w:r>
        <w:rPr>
          <w:b/>
          <w:color w:val="2778A5"/>
        </w:rPr>
        <w:t xml:space="preserve">RENT-007 [Must] </w:t>
      </w:r>
      <w:r>
        <w:t>The system shall send configurable reminders for upcoming/overdue rent and lease milestones.</w:t>
      </w:r>
    </w:p>
    <w:p>
      <w:pPr>
        <w:ind w:left="173"/>
      </w:pPr>
      <w:r>
        <w:rPr>
          <w:b/>
          <w:color w:val="2778A5"/>
        </w:rPr>
        <w:t xml:space="preserve">RENT-008 [Must] </w:t>
      </w:r>
      <w:r>
        <w:t>Owner/manager reports shall include rent roll, occupancy, income/expense summaries and exportable statements.</w:t>
      </w:r>
    </w:p>
    <w:p>
      <w:pPr>
        <w:ind w:left="173"/>
      </w:pPr>
      <w:r>
        <w:rPr>
          <w:b/>
          <w:color w:val="2778A5"/>
        </w:rPr>
        <w:t xml:space="preserve">RENT-009 [Must] </w:t>
      </w:r>
      <w:r>
        <w:t>Any tax reporting feature shall be configurable for applicable Tanzanian requirements and reviewed by qualified advisers before launch.</w:t>
      </w:r>
    </w:p>
    <w:p>
      <w:pPr>
        <w:ind w:left="173"/>
      </w:pPr>
      <w:r>
        <w:rPr>
          <w:b/>
          <w:color w:val="2778A5"/>
        </w:rPr>
        <w:t xml:space="preserve">RENT-010 [Must] </w:t>
      </w:r>
      <w:r>
        <w:t>Refunds, disputed payments and manual ledger adjustments shall require a reason and an audit record.</w:t>
      </w:r>
    </w:p>
    <w:p>
      <w:pPr>
        <w:pStyle w:val="Heading2"/>
      </w:pPr>
      <w:r>
        <w:t>4.6 Maintenance and service providers</w:t>
      </w:r>
    </w:p>
    <w:p>
      <w:pPr>
        <w:ind w:left="173"/>
      </w:pPr>
      <w:r>
        <w:rPr>
          <w:b/>
          <w:color w:val="2778A5"/>
        </w:rPr>
        <w:t xml:space="preserve">MAINT-001 [Must] </w:t>
      </w:r>
      <w:r>
        <w:t>Tenants shall submit maintenance requests with description, priority, photos and access preferences.</w:t>
      </w:r>
    </w:p>
    <w:p>
      <w:pPr>
        <w:ind w:left="173"/>
      </w:pPr>
      <w:r>
        <w:rPr>
          <w:b/>
          <w:color w:val="2778A5"/>
        </w:rPr>
        <w:t xml:space="preserve">MAINT-002 [Must] </w:t>
      </w:r>
      <w:r>
        <w:t>Owners/managers shall classify, assign, schedule, update and close work orders.</w:t>
      </w:r>
    </w:p>
    <w:p>
      <w:pPr>
        <w:ind w:left="173"/>
      </w:pPr>
      <w:r>
        <w:rPr>
          <w:b/>
          <w:color w:val="2778A5"/>
        </w:rPr>
        <w:t xml:space="preserve">MAINT-003 [Must] </w:t>
      </w:r>
      <w:r>
        <w:t>Vendors/contractors shall see only jobs assigned to them and the minimum property/tenant information required to perform those jobs.</w:t>
      </w:r>
    </w:p>
    <w:p>
      <w:pPr>
        <w:ind w:left="173"/>
      </w:pPr>
      <w:r>
        <w:rPr>
          <w:b/>
          <w:color w:val="2778A5"/>
        </w:rPr>
        <w:t xml:space="preserve">MAINT-004 [Must] </w:t>
      </w:r>
      <w:r>
        <w:t>The workflow shall support estimates, approvals, invoices, receipts, before/after photos and completion confirmation.</w:t>
      </w:r>
    </w:p>
    <w:p>
      <w:pPr>
        <w:ind w:left="173"/>
      </w:pPr>
      <w:r>
        <w:rPr>
          <w:b/>
          <w:color w:val="2778A5"/>
        </w:rPr>
        <w:t xml:space="preserve">MAINT-005 [Must] </w:t>
      </w:r>
      <w:r>
        <w:t>The system shall preserve maintenance history against the property/unit and tenancy where relevant.</w:t>
      </w:r>
    </w:p>
    <w:p>
      <w:pPr>
        <w:ind w:left="173"/>
      </w:pPr>
      <w:r>
        <w:rPr>
          <w:b/>
          <w:color w:val="2778A5"/>
        </w:rPr>
        <w:t xml:space="preserve">MAINT-006 [Must] </w:t>
      </w:r>
      <w:r>
        <w:t>Recurring preventive maintenance and inspection schedules may be configured for later release.</w:t>
      </w:r>
    </w:p>
    <w:p>
      <w:pPr>
        <w:pStyle w:val="Heading2"/>
      </w:pPr>
      <w:r>
        <w:t>4.7 Messaging, notifications and collaboration</w:t>
      </w:r>
    </w:p>
    <w:p>
      <w:pPr>
        <w:ind w:left="173"/>
      </w:pPr>
      <w:r>
        <w:rPr>
          <w:b/>
          <w:color w:val="2778A5"/>
        </w:rPr>
        <w:t xml:space="preserve">MSG-001 [Must] </w:t>
      </w:r>
      <w:r>
        <w:t>Users shall be able to message another user when a permitted relationship or listing inquiry exists.</w:t>
      </w:r>
    </w:p>
    <w:p>
      <w:pPr>
        <w:ind w:left="173"/>
      </w:pPr>
      <w:r>
        <w:rPr>
          <w:b/>
          <w:color w:val="2778A5"/>
        </w:rPr>
        <w:t xml:space="preserve">MSG-002 [Must] </w:t>
      </w:r>
      <w:r>
        <w:t>Chat authorization shall be checked on every connection and message action; a client-supplied room identifier alone shall never grant access.</w:t>
      </w:r>
    </w:p>
    <w:p>
      <w:pPr>
        <w:ind w:left="173"/>
      </w:pPr>
      <w:r>
        <w:rPr>
          <w:b/>
          <w:color w:val="2778A5"/>
        </w:rPr>
        <w:t xml:space="preserve">MSG-003 [Must] </w:t>
      </w:r>
      <w:r>
        <w:t>The system shall support message history, delivery/read states where feasible, unread counts, typing indicators and online presence.</w:t>
      </w:r>
    </w:p>
    <w:p>
      <w:pPr>
        <w:ind w:left="173"/>
      </w:pPr>
      <w:r>
        <w:rPr>
          <w:b/>
          <w:color w:val="2778A5"/>
        </w:rPr>
        <w:t xml:space="preserve">MSG-004 [Must] </w:t>
      </w:r>
      <w:r>
        <w:t>Users shall be able to block/report abuse and moderators shall be able to investigate under documented policies.</w:t>
      </w:r>
    </w:p>
    <w:p>
      <w:pPr>
        <w:ind w:left="173"/>
      </w:pPr>
      <w:r>
        <w:rPr>
          <w:b/>
          <w:color w:val="2778A5"/>
        </w:rPr>
        <w:t xml:space="preserve">MSG-005 [Must] </w:t>
      </w:r>
      <w:r>
        <w:t>Notifications shall support in-app delivery and optional email, SMS or push channels.</w:t>
      </w:r>
    </w:p>
    <w:p>
      <w:pPr>
        <w:ind w:left="173"/>
      </w:pPr>
      <w:r>
        <w:rPr>
          <w:b/>
          <w:color w:val="2778A5"/>
        </w:rPr>
        <w:t xml:space="preserve">MSG-006 [Must] </w:t>
      </w:r>
      <w:r>
        <w:t>Notifications shall be generated for viewing updates, applications, leases, rent reminders, maintenance status, verification and financing-match updates.</w:t>
      </w:r>
    </w:p>
    <w:p>
      <w:pPr>
        <w:ind w:left="173"/>
      </w:pPr>
      <w:r>
        <w:rPr>
          <w:b/>
          <w:color w:val="2778A5"/>
        </w:rPr>
        <w:t xml:space="preserve">MSG-007 [Must] </w:t>
      </w:r>
      <w:r>
        <w:t>Message retention, deletion, attachment handling and lawful access policies shall be documented.</w:t>
      </w:r>
    </w:p>
    <w:p>
      <w:pPr>
        <w:pStyle w:val="Heading2"/>
      </w:pPr>
      <w:r>
        <w:t>4.8 Panga Akiba — tenant savings goals</w:t>
      </w:r>
    </w:p>
    <w:p>
      <w:r>
        <w:t>Panga Akiba begins as a planning and progress-tracking tool. A progress indicator is not proof that money is held by the platform.</w:t>
      </w:r>
    </w:p>
    <w:p>
      <w:pPr>
        <w:ind w:left="173"/>
      </w:pPr>
      <w:r>
        <w:rPr>
          <w:b/>
          <w:color w:val="2778A5"/>
        </w:rPr>
        <w:t xml:space="preserve">AKIBA-001 [Must] </w:t>
      </w:r>
      <w:r>
        <w:t>A tenant shall create one or more savings goals associated with an upcoming rent obligation or general housing goal.</w:t>
      </w:r>
    </w:p>
    <w:p>
      <w:pPr>
        <w:ind w:left="173"/>
      </w:pPr>
      <w:r>
        <w:rPr>
          <w:b/>
          <w:color w:val="2778A5"/>
        </w:rPr>
        <w:t xml:space="preserve">AKIBA-002 [Must] </w:t>
      </w:r>
      <w:r>
        <w:t>A goal shall support target amount, target date, currency, contribution frequency and optional reminders.</w:t>
      </w:r>
    </w:p>
    <w:p>
      <w:pPr>
        <w:ind w:left="173"/>
      </w:pPr>
      <w:r>
        <w:rPr>
          <w:b/>
          <w:color w:val="2778A5"/>
        </w:rPr>
        <w:t xml:space="preserve">AKIBA-003 [Must] </w:t>
      </w:r>
      <w:r>
        <w:t>The tenant shall record manual contributions and optionally import provider-confirmed transactions when an authorized integration exists.</w:t>
      </w:r>
    </w:p>
    <w:p>
      <w:pPr>
        <w:ind w:left="173"/>
      </w:pPr>
      <w:r>
        <w:rPr>
          <w:b/>
          <w:color w:val="2778A5"/>
        </w:rPr>
        <w:t xml:space="preserve">AKIBA-004 [Must] </w:t>
      </w:r>
      <w:r>
        <w:t>The UI and reports shall clearly distinguish planned, user-reported, provider-confirmed, withdrawn and transferred amounts.</w:t>
      </w:r>
    </w:p>
    <w:p>
      <w:pPr>
        <w:ind w:left="173"/>
      </w:pPr>
      <w:r>
        <w:rPr>
          <w:b/>
          <w:color w:val="2778A5"/>
        </w:rPr>
        <w:t xml:space="preserve">AKIBA-005 [Must] </w:t>
      </w:r>
      <w:r>
        <w:t>The system shall show progress, remaining amount, time remaining and contribution history.</w:t>
      </w:r>
    </w:p>
    <w:p>
      <w:pPr>
        <w:ind w:left="173"/>
      </w:pPr>
      <w:r>
        <w:rPr>
          <w:b/>
          <w:color w:val="2778A5"/>
        </w:rPr>
        <w:t xml:space="preserve">AKIBA-006 [Must] </w:t>
      </w:r>
      <w:r>
        <w:t>The platform shall not claim to hold savings or automatically pay rent unless an approved financial/payment partner actually performs the movement and the applicable agreement authorizes it.</w:t>
      </w:r>
    </w:p>
    <w:p>
      <w:pPr>
        <w:ind w:left="173"/>
      </w:pPr>
      <w:r>
        <w:rPr>
          <w:b/>
          <w:color w:val="2778A5"/>
        </w:rPr>
        <w:t xml:space="preserve">AKIBA-007 [Must] </w:t>
      </w:r>
      <w:r>
        <w:t>Automatic transfers or rent payments shall be a separate, opt-in capability with explicit consent, clear fees, revocation and failure handling.</w:t>
      </w:r>
    </w:p>
    <w:p>
      <w:pPr>
        <w:ind w:left="173"/>
      </w:pPr>
      <w:r>
        <w:rPr>
          <w:b/>
          <w:color w:val="2778A5"/>
        </w:rPr>
        <w:t xml:space="preserve">AKIBA-008 [Must] </w:t>
      </w:r>
      <w:r>
        <w:t>Savings goals shall not be marketed as an interest-bearing account or deposit product unless provided through a legally eligible partner.</w:t>
      </w:r>
    </w:p>
    <w:p>
      <w:pPr>
        <w:pStyle w:val="Heading2"/>
      </w:pPr>
      <w:r>
        <w:t>4.9 Panga Life Records / Rental Passport</w:t>
      </w:r>
    </w:p>
    <w:p>
      <w:r>
        <w:t>This module preserves a tenant's housing journey across multiple rooms, units, landlords and cities. It separates private personal records from verified records that the tenant chooses to share.</w:t>
      </w:r>
    </w:p>
    <w:p>
      <w:pPr>
        <w:ind w:left="173"/>
      </w:pPr>
      <w:r>
        <w:rPr>
          <w:b/>
          <w:color w:val="2778A5"/>
        </w:rPr>
        <w:t xml:space="preserve">PASS-001 [Must] </w:t>
      </w:r>
      <w:r>
        <w:t>A tenant shall maintain a chronological housing timeline containing tenancy periods, properties/units, move-in and move-out events and personal notes.</w:t>
      </w:r>
    </w:p>
    <w:p>
      <w:pPr>
        <w:ind w:left="173"/>
      </w:pPr>
      <w:r>
        <w:rPr>
          <w:b/>
          <w:color w:val="2778A5"/>
        </w:rPr>
        <w:t xml:space="preserve">PASS-002 [Must] </w:t>
      </w:r>
      <w:r>
        <w:t>The tenant shall be able to record agreed rent, deposit, utility costs, moving costs, repairs paid by the tenant, furnishings/purchases and other housing-related expenses.</w:t>
      </w:r>
    </w:p>
    <w:p>
      <w:pPr>
        <w:ind w:left="173"/>
      </w:pPr>
      <w:r>
        <w:rPr>
          <w:b/>
          <w:color w:val="2778A5"/>
        </w:rPr>
        <w:t xml:space="preserve">PASS-003 [Must] </w:t>
      </w:r>
      <w:r>
        <w:t>Every expense shall have a type, date, amount, currency, payer, notes and optional evidence such as a receipt, invoice or photograph.</w:t>
      </w:r>
    </w:p>
    <w:p>
      <w:pPr>
        <w:ind w:left="173"/>
      </w:pPr>
      <w:r>
        <w:rPr>
          <w:b/>
          <w:color w:val="2778A5"/>
        </w:rPr>
        <w:t xml:space="preserve">PASS-004 [Must] </w:t>
      </w:r>
      <w:r>
        <w:t>The system shall distinguish tenant-entered expense, evidence attached, landlord-confirmed item, payment-provider-confirmed transaction and approved reimbursement; these statuses must not be conflated.</w:t>
      </w:r>
    </w:p>
    <w:p>
      <w:pPr>
        <w:ind w:left="173"/>
      </w:pPr>
      <w:r>
        <w:rPr>
          <w:b/>
          <w:color w:val="2778A5"/>
        </w:rPr>
        <w:t xml:space="preserve">PASS-005 [Must] </w:t>
      </w:r>
      <w:r>
        <w:t>The tenant shall store lease copies, receipts, inspection checklists, move-in/move-out photos, utility records and other relevant documents with privacy controls.</w:t>
      </w:r>
    </w:p>
    <w:p>
      <w:pPr>
        <w:ind w:left="173"/>
      </w:pPr>
      <w:r>
        <w:rPr>
          <w:b/>
          <w:color w:val="2778A5"/>
        </w:rPr>
        <w:t xml:space="preserve">PASS-006 [Must] </w:t>
      </w:r>
      <w:r>
        <w:t>The platform shall support a move-in/move-out condition report with dated photos and acknowledgements from relevant parties where available.</w:t>
      </w:r>
    </w:p>
    <w:p>
      <w:pPr>
        <w:ind w:left="173"/>
      </w:pPr>
      <w:r>
        <w:rPr>
          <w:b/>
          <w:color w:val="2778A5"/>
        </w:rPr>
        <w:t xml:space="preserve">PASS-007 [Must] </w:t>
      </w:r>
      <w:r>
        <w:t>A tenant shall be able to generate a downloadable housing-history report for personal use.</w:t>
      </w:r>
    </w:p>
    <w:p>
      <w:pPr>
        <w:ind w:left="173"/>
      </w:pPr>
      <w:r>
        <w:rPr>
          <w:b/>
          <w:color w:val="2778A5"/>
        </w:rPr>
        <w:t xml:space="preserve">PASS-008 [Must] </w:t>
      </w:r>
      <w:r>
        <w:t>The system shall offer a Private Life Story area visible only to the tenant unless the tenant deliberately shares specific items.</w:t>
      </w:r>
    </w:p>
    <w:p>
      <w:pPr>
        <w:ind w:left="173"/>
      </w:pPr>
      <w:r>
        <w:rPr>
          <w:b/>
          <w:color w:val="2778A5"/>
        </w:rPr>
        <w:t xml:space="preserve">PASS-009 [Must] </w:t>
      </w:r>
      <w:r>
        <w:t>The system shall offer a Verified Rental History section containing only records that have a defined verification source and status.</w:t>
      </w:r>
    </w:p>
    <w:p>
      <w:pPr>
        <w:ind w:left="173"/>
      </w:pPr>
      <w:r>
        <w:rPr>
          <w:b/>
          <w:color w:val="2778A5"/>
        </w:rPr>
        <w:t xml:space="preserve">PASS-010 [Must] </w:t>
      </w:r>
      <w:r>
        <w:t>The tenant shall choose which verified records to share, with whom, for what purpose and for how long where technically feasible.</w:t>
      </w:r>
    </w:p>
    <w:p>
      <w:pPr>
        <w:ind w:left="173"/>
      </w:pPr>
      <w:r>
        <w:rPr>
          <w:b/>
          <w:color w:val="2778A5"/>
        </w:rPr>
        <w:t xml:space="preserve">PASS-011 [Must] </w:t>
      </w:r>
      <w:r>
        <w:t>A prospective landlord shall not be able to browse a tenant's full Rental Passport by default.</w:t>
      </w:r>
    </w:p>
    <w:p>
      <w:pPr>
        <w:ind w:left="173"/>
      </w:pPr>
      <w:r>
        <w:rPr>
          <w:b/>
          <w:color w:val="2778A5"/>
        </w:rPr>
        <w:t xml:space="preserve">PASS-012 [Must] </w:t>
      </w:r>
      <w:r>
        <w:t>A shared report shall use purpose-limited, revocable access where feasible and shall log who accessed or downloaded it.</w:t>
      </w:r>
    </w:p>
    <w:p>
      <w:pPr>
        <w:ind w:left="173"/>
      </w:pPr>
      <w:r>
        <w:rPr>
          <w:b/>
          <w:color w:val="2778A5"/>
        </w:rPr>
        <w:t xml:space="preserve">PASS-013 [Must] </w:t>
      </w:r>
      <w:r>
        <w:t>Tenants shall be able to challenge inaccurate records and submit supporting evidence; disputed items shall be visibly marked while under review.</w:t>
      </w:r>
    </w:p>
    <w:p>
      <w:pPr>
        <w:ind w:left="173"/>
      </w:pPr>
      <w:r>
        <w:rPr>
          <w:b/>
          <w:color w:val="2778A5"/>
        </w:rPr>
        <w:t xml:space="preserve">PASS-014 [Must] </w:t>
      </w:r>
      <w:r>
        <w:t>A tenant-entered expense shall not automatically establish that a landlord owes reimbursement or that the expense was approved.</w:t>
      </w:r>
    </w:p>
    <w:p>
      <w:pPr>
        <w:ind w:left="173"/>
      </w:pPr>
      <w:r>
        <w:rPr>
          <w:b/>
          <w:color w:val="2778A5"/>
        </w:rPr>
        <w:t xml:space="preserve">PASS-015 [Must] </w:t>
      </w:r>
      <w:r>
        <w:t>The system shall not create automatic rejection or adverse eligibility decisions solely from Rental Passport data.</w:t>
      </w:r>
    </w:p>
    <w:p>
      <w:pPr>
        <w:ind w:left="173"/>
      </w:pPr>
      <w:r>
        <w:rPr>
          <w:b/>
          <w:color w:val="2778A5"/>
        </w:rPr>
        <w:t xml:space="preserve">PASS-016 [Must] </w:t>
      </w:r>
      <w:r>
        <w:t>Sensitive identity documents and unrelated personal notes shall not be included in shared reports by default.</w:t>
      </w:r>
    </w:p>
    <w:p>
      <w:pPr>
        <w:pStyle w:val="Heading2"/>
      </w:pPr>
      <w:r>
        <w:t>4.10 Panga Finance Connect — independent rent-finance matching</w:t>
      </w:r>
    </w:p>
    <w:p>
      <w:r>
        <w:t>Panga Finance Connect connects tenants who request rental financing with eligible independent providers. Panga na Kupangisha is not the lender, borrower, guarantor or repayment collector under the intended product model. Providers and borrowers enter into their own agreement and manage funding and repayment directly, unless a separately reviewed and authorized arrangement is later approved.</w:t>
      </w:r>
    </w:p>
    <w:p>
      <w:pPr>
        <w:ind w:left="173"/>
      </w:pPr>
      <w:r>
        <w:rPr>
          <w:b/>
          <w:color w:val="2778A5"/>
        </w:rPr>
        <w:t xml:space="preserve">FIN-001 [Must] </w:t>
      </w:r>
      <w:r>
        <w:t>A tenant shall be able to submit a rent-financing request specifying requested amount, purpose, timing and relevant tenancy context.</w:t>
      </w:r>
    </w:p>
    <w:p>
      <w:pPr>
        <w:ind w:left="173"/>
      </w:pPr>
      <w:r>
        <w:rPr>
          <w:b/>
          <w:color w:val="2778A5"/>
        </w:rPr>
        <w:t xml:space="preserve">FIN-002 [Must] </w:t>
      </w:r>
      <w:r>
        <w:t>The platform shall show provider profiles, service areas, eligibility criteria, fees/rates disclosures supplied by providers and provider verification status.</w:t>
      </w:r>
    </w:p>
    <w:p>
      <w:pPr>
        <w:ind w:left="173"/>
      </w:pPr>
      <w:r>
        <w:rPr>
          <w:b/>
          <w:color w:val="2778A5"/>
        </w:rPr>
        <w:t xml:space="preserve">FIN-003 [Must] </w:t>
      </w:r>
      <w:r>
        <w:t>The platform shall match requests to providers using published criteria, geography, requested amount and tenant-selected preferences; matching shall not promise approval.</w:t>
      </w:r>
    </w:p>
    <w:p>
      <w:pPr>
        <w:ind w:left="173"/>
      </w:pPr>
      <w:r>
        <w:rPr>
          <w:b/>
          <w:color w:val="2778A5"/>
        </w:rPr>
        <w:t xml:space="preserve">FIN-004 [Must] </w:t>
      </w:r>
      <w:r>
        <w:t>The tenant shall preview the categories of data requested by each provider and explicitly authorize the selected data to be shared.</w:t>
      </w:r>
    </w:p>
    <w:p>
      <w:pPr>
        <w:ind w:left="173"/>
      </w:pPr>
      <w:r>
        <w:rPr>
          <w:b/>
          <w:color w:val="2778A5"/>
        </w:rPr>
        <w:t xml:space="preserve">FIN-005 [Must] </w:t>
      </w:r>
      <w:r>
        <w:t>Only data necessary for the stated application purpose shall be shared. The full Rental Passport, unrelated notes, unrelated expenses and sensitive documents shall not be sent by default.</w:t>
      </w:r>
    </w:p>
    <w:p>
      <w:pPr>
        <w:ind w:left="173"/>
      </w:pPr>
      <w:r>
        <w:rPr>
          <w:b/>
          <w:color w:val="2778A5"/>
        </w:rPr>
        <w:t xml:space="preserve">FIN-006 [Must] </w:t>
      </w:r>
      <w:r>
        <w:t>Potential shared fields may include contact details, requested amount, relevant tenancy dates, agreed rent, landlord-confirmed rent obligation and specifically authorized supporting evidence.</w:t>
      </w:r>
    </w:p>
    <w:p>
      <w:pPr>
        <w:ind w:left="173"/>
      </w:pPr>
      <w:r>
        <w:rPr>
          <w:b/>
          <w:color w:val="2778A5"/>
        </w:rPr>
        <w:t xml:space="preserve">FIN-007 [Must] </w:t>
      </w:r>
      <w:r>
        <w:t>Income or identity documents shall be requested and shared only where necessary, lawful and disclosed to the tenant; secure access and retention limits are required.</w:t>
      </w:r>
    </w:p>
    <w:p>
      <w:pPr>
        <w:ind w:left="173"/>
      </w:pPr>
      <w:r>
        <w:rPr>
          <w:b/>
          <w:color w:val="2778A5"/>
        </w:rPr>
        <w:t xml:space="preserve">FIN-008 [Must] </w:t>
      </w:r>
      <w:r>
        <w:t>Providers shall independently assess applications, set terms, disclose interest/fees and repayment obligations, approve or decline, disburse funds and manage repayment/default.</w:t>
      </w:r>
    </w:p>
    <w:p>
      <w:pPr>
        <w:ind w:left="173"/>
      </w:pPr>
      <w:r>
        <w:rPr>
          <w:b/>
          <w:color w:val="2778A5"/>
        </w:rPr>
        <w:t xml:space="preserve">FIN-009 [Must] </w:t>
      </w:r>
      <w:r>
        <w:t>The platform shall not determine the provider's credit decision or guarantee funding, repayment, recovery or investment returns.</w:t>
      </w:r>
    </w:p>
    <w:p>
      <w:pPr>
        <w:ind w:left="173"/>
      </w:pPr>
      <w:r>
        <w:rPr>
          <w:b/>
          <w:color w:val="2778A5"/>
        </w:rPr>
        <w:t xml:space="preserve">FIN-010 [Must] </w:t>
      </w:r>
      <w:r>
        <w:t>The platform shall not collect loan repayments or custody loan funds in the MVP; repayment is directly between the borrower and provider under their separate agreement.</w:t>
      </w:r>
    </w:p>
    <w:p>
      <w:pPr>
        <w:ind w:left="173"/>
      </w:pPr>
      <w:r>
        <w:rPr>
          <w:b/>
          <w:color w:val="2778A5"/>
        </w:rPr>
        <w:t xml:space="preserve">FIN-011 [Must] </w:t>
      </w:r>
      <w:r>
        <w:t>The system shall record the tenant's consent, data categories shared, recipient, purpose, timestamp and any withdrawal or expiry.</w:t>
      </w:r>
    </w:p>
    <w:p>
      <w:pPr>
        <w:ind w:left="173"/>
      </w:pPr>
      <w:r>
        <w:rPr>
          <w:b/>
          <w:color w:val="2778A5"/>
        </w:rPr>
        <w:t xml:space="preserve">FIN-012 [Must] </w:t>
      </w:r>
      <w:r>
        <w:t>Providers shall be required to accept platform terms covering lawful operations, data use, confidentiality, fair treatment, complaints and accurate product disclosures.</w:t>
      </w:r>
    </w:p>
    <w:p>
      <w:pPr>
        <w:ind w:left="173"/>
      </w:pPr>
      <w:r>
        <w:rPr>
          <w:b/>
          <w:color w:val="2778A5"/>
        </w:rPr>
        <w:t xml:space="preserve">FIN-013 [Must] </w:t>
      </w:r>
      <w:r>
        <w:t>Provider activation shall require review of legal entity/identity, applicable registration or licence evidence and service permissions. Individual or informal funding offers shall not automatically be labelled as licensed microfinance.</w:t>
      </w:r>
    </w:p>
    <w:p>
      <w:pPr>
        <w:ind w:left="173"/>
      </w:pPr>
      <w:r>
        <w:rPr>
          <w:b/>
          <w:color w:val="2778A5"/>
        </w:rPr>
        <w:t xml:space="preserve">FIN-014 [Must] </w:t>
      </w:r>
      <w:r>
        <w:t>The platform shall support tenant withdrawal from an application before the provider's independent process reaches a stage where withdrawal is no longer operationally possible, with status and consequences explained.</w:t>
      </w:r>
    </w:p>
    <w:p>
      <w:pPr>
        <w:ind w:left="173"/>
      </w:pPr>
      <w:r>
        <w:rPr>
          <w:b/>
          <w:color w:val="2778A5"/>
        </w:rPr>
        <w:t xml:space="preserve">FIN-015 [Must] </w:t>
      </w:r>
      <w:r>
        <w:t>The platform shall support complaints and dispute reporting about platform conduct or provider behavior without representing itself as the lender's adjudicator.</w:t>
      </w:r>
    </w:p>
    <w:p>
      <w:pPr>
        <w:ind w:left="173"/>
      </w:pPr>
      <w:r>
        <w:rPr>
          <w:b/>
          <w:color w:val="2778A5"/>
        </w:rPr>
        <w:t xml:space="preserve">FIN-016 [Must] </w:t>
      </w:r>
      <w:r>
        <w:t>Any provider-to-landlord disbursement route must be agreed directly between borrower, provider and relevant recipient and implemented only after legal, payment and operational review.</w:t>
      </w:r>
    </w:p>
    <w:p>
      <w:pPr>
        <w:ind w:left="173"/>
      </w:pPr>
      <w:r>
        <w:rPr>
          <w:b/>
          <w:color w:val="2778A5"/>
        </w:rPr>
        <w:t xml:space="preserve">FIN-017 [Must] </w:t>
      </w:r>
      <w:r>
        <w:t>Legal review shall determine whether matching, referrals, document workflows, fees or other platform activity create licensing, intermediary, consumer-protection or data-protection duties.</w:t>
      </w:r>
    </w:p>
    <w:p>
      <w:pPr>
        <w:pStyle w:val="Heading2"/>
      </w:pPr>
      <w:r>
        <w:t>4.11 Investment and property-development projects</w:t>
      </w:r>
    </w:p>
    <w:p>
      <w:pPr>
        <w:ind w:left="173"/>
      </w:pPr>
      <w:r>
        <w:rPr>
          <w:b/>
          <w:color w:val="2778A5"/>
        </w:rPr>
        <w:t xml:space="preserve">INV-001 [Must] </w:t>
      </w:r>
      <w:r>
        <w:t>The platform may support project profiles for property development, construction, refurbishment or other approved real-estate investment opportunities.</w:t>
      </w:r>
    </w:p>
    <w:p>
      <w:pPr>
        <w:ind w:left="173"/>
      </w:pPr>
      <w:r>
        <w:rPr>
          <w:b/>
          <w:color w:val="2778A5"/>
        </w:rPr>
        <w:t xml:space="preserve">INV-002 [Must] </w:t>
      </w:r>
      <w:r>
        <w:t>Project profiles shall identify the responsible owner/organization, location, status, intended use of funds, project milestones, risks and supporting documents where available.</w:t>
      </w:r>
    </w:p>
    <w:p>
      <w:pPr>
        <w:ind w:left="173"/>
      </w:pPr>
      <w:r>
        <w:rPr>
          <w:b/>
          <w:color w:val="2778A5"/>
        </w:rPr>
        <w:t xml:space="preserve">INV-003 [Must] </w:t>
      </w:r>
      <w:r>
        <w:t>Users shall be able to express interest and communicate with the project organizer; expression of interest shall not itself constitute an investment contract.</w:t>
      </w:r>
    </w:p>
    <w:p>
      <w:pPr>
        <w:ind w:left="173"/>
      </w:pPr>
      <w:r>
        <w:rPr>
          <w:b/>
          <w:color w:val="2778A5"/>
        </w:rPr>
        <w:t xml:space="preserve">INV-004 [Must] </w:t>
      </w:r>
      <w:r>
        <w:t>The system shall clearly distinguish informational project listings from regulated offers, securities, pooled investment products or fundraising activities.</w:t>
      </w:r>
    </w:p>
    <w:p>
      <w:pPr>
        <w:ind w:left="173"/>
      </w:pPr>
      <w:r>
        <w:rPr>
          <w:b/>
          <w:color w:val="2778A5"/>
        </w:rPr>
        <w:t xml:space="preserve">INV-005 [Must] </w:t>
      </w:r>
      <w:r>
        <w:t>No projected return shall be shown as guaranteed. Risk disclosures and supporting assumptions must be visible where return estimates are permitted.</w:t>
      </w:r>
    </w:p>
    <w:p>
      <w:pPr>
        <w:ind w:left="173"/>
      </w:pPr>
      <w:r>
        <w:rPr>
          <w:b/>
          <w:color w:val="2778A5"/>
        </w:rPr>
        <w:t xml:space="preserve">INV-006 [Must] </w:t>
      </w:r>
      <w:r>
        <w:t>Money collection, pooled investment, ownership shares, profit distribution or crowdfunding shall not be enabled until legal and regulatory review approves the model and any required licensed partner.</w:t>
      </w:r>
    </w:p>
    <w:p>
      <w:pPr>
        <w:ind w:left="173"/>
      </w:pPr>
      <w:r>
        <w:rPr>
          <w:b/>
          <w:color w:val="2778A5"/>
        </w:rPr>
        <w:t xml:space="preserve">INV-007 [Must] </w:t>
      </w:r>
      <w:r>
        <w:t>Participation records and documents shall be private to authorized parties and auditable.</w:t>
      </w:r>
    </w:p>
    <w:p>
      <w:pPr>
        <w:pStyle w:val="Heading2"/>
      </w:pPr>
      <w:r>
        <w:t>4.12 Reviews, trust and moderation</w:t>
      </w:r>
    </w:p>
    <w:p>
      <w:pPr>
        <w:ind w:left="173"/>
      </w:pPr>
      <w:r>
        <w:rPr>
          <w:b/>
          <w:color w:val="2778A5"/>
        </w:rPr>
        <w:t xml:space="preserve">TRUST-001 [Must] </w:t>
      </w:r>
      <w:r>
        <w:t>Eligible users may submit a review after a qualifying tenancy or service interaction.</w:t>
      </w:r>
    </w:p>
    <w:p>
      <w:pPr>
        <w:ind w:left="173"/>
      </w:pPr>
      <w:r>
        <w:rPr>
          <w:b/>
          <w:color w:val="2778A5"/>
        </w:rPr>
        <w:t xml:space="preserve">TRUST-002 [Must] </w:t>
      </w:r>
      <w:r>
        <w:t>Reviews shall be linked to a qualifying interaction where possible and shall not expose private tenancy documents.</w:t>
      </w:r>
    </w:p>
    <w:p>
      <w:pPr>
        <w:ind w:left="173"/>
      </w:pPr>
      <w:r>
        <w:rPr>
          <w:b/>
          <w:color w:val="2778A5"/>
        </w:rPr>
        <w:t xml:space="preserve">TRUST-003 [Must] </w:t>
      </w:r>
      <w:r>
        <w:t>Both sides shall have a defined response, report and moderation process.</w:t>
      </w:r>
    </w:p>
    <w:p>
      <w:pPr>
        <w:ind w:left="173"/>
      </w:pPr>
      <w:r>
        <w:rPr>
          <w:b/>
          <w:color w:val="2778A5"/>
        </w:rPr>
        <w:t xml:space="preserve">TRUST-004 [Must] </w:t>
      </w:r>
      <w:r>
        <w:t>The platform shall detect duplicate or abusive reports using rate limits and moderation workflows; automated signals shall assist review, not silently determine severe sanctions.</w:t>
      </w:r>
    </w:p>
    <w:p>
      <w:pPr>
        <w:ind w:left="173"/>
      </w:pPr>
      <w:r>
        <w:rPr>
          <w:b/>
          <w:color w:val="2778A5"/>
        </w:rPr>
        <w:t xml:space="preserve">TRUST-005 [Must] </w:t>
      </w:r>
      <w:r>
        <w:t>A user's verified status shall be distinct from public ratings and shall not imply endorsement.</w:t>
      </w:r>
    </w:p>
    <w:p>
      <w:pPr>
        <w:pStyle w:val="Heading2"/>
      </w:pPr>
      <w:r>
        <w:t>4.13 Dashboards and reporting</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4A6E"/>
          </w:tcPr>
          <w:p>
            <w:pPr>
              <w:spacing w:after="0"/>
            </w:pPr>
            <w:r/>
            <w:r>
              <w:rPr>
                <w:rFonts w:ascii="Aptos" w:hAnsi="Aptos"/>
                <w:b/>
                <w:color w:val="FFFFFF"/>
                <w:sz w:val="17"/>
              </w:rPr>
              <w:t>Dashboard</w:t>
            </w:r>
          </w:p>
        </w:tc>
        <w:tc>
          <w:tcPr>
            <w:tcW w:type="dxa" w:w="7920"/>
            <w:vAlign w:val="center"/>
            <w:shd w:fill="174A6E"/>
          </w:tcPr>
          <w:p>
            <w:pPr>
              <w:spacing w:after="0"/>
            </w:pPr>
            <w:r/>
            <w:r>
              <w:rPr>
                <w:rFonts w:ascii="Aptos" w:hAnsi="Aptos"/>
                <w:b/>
                <w:color w:val="FFFFFF"/>
                <w:sz w:val="17"/>
              </w:rPr>
              <w:t>Required summary</w:t>
            </w:r>
          </w:p>
        </w:tc>
      </w:tr>
      <w:tr>
        <w:tc>
          <w:tcPr>
            <w:tcW w:type="dxa" w:w="2448"/>
            <w:vAlign w:val="center"/>
          </w:tcPr>
          <w:p>
            <w:pPr>
              <w:spacing w:after="0"/>
            </w:pPr>
            <w:r/>
            <w:r>
              <w:rPr>
                <w:rFonts w:ascii="Aptos" w:hAnsi="Aptos"/>
                <w:b w:val="0"/>
                <w:sz w:val="16"/>
              </w:rPr>
              <w:t>Tenant</w:t>
            </w:r>
          </w:p>
        </w:tc>
        <w:tc>
          <w:tcPr>
            <w:tcW w:type="dxa" w:w="7920"/>
            <w:vAlign w:val="center"/>
          </w:tcPr>
          <w:p>
            <w:pPr>
              <w:spacing w:after="0"/>
            </w:pPr>
            <w:r/>
            <w:r>
              <w:rPr>
                <w:rFonts w:ascii="Aptos" w:hAnsi="Aptos"/>
                <w:b w:val="0"/>
                <w:sz w:val="16"/>
              </w:rPr>
              <w:t>Current tenancy, rent due/confirmed payments, viewing/application status, maintenance, documents, Panga Akiba goals, Rental Passport and finance-match status.</w:t>
            </w:r>
          </w:p>
        </w:tc>
      </w:tr>
      <w:tr>
        <w:tc>
          <w:tcPr>
            <w:tcW w:type="dxa" w:w="2448"/>
            <w:vAlign w:val="center"/>
            <w:shd w:fill="F1F6F9"/>
          </w:tcPr>
          <w:p>
            <w:pPr>
              <w:spacing w:after="0"/>
            </w:pPr>
            <w:r/>
            <w:r>
              <w:rPr>
                <w:rFonts w:ascii="Aptos" w:hAnsi="Aptos"/>
                <w:b w:val="0"/>
                <w:sz w:val="16"/>
              </w:rPr>
              <w:t>Owner</w:t>
            </w:r>
          </w:p>
        </w:tc>
        <w:tc>
          <w:tcPr>
            <w:tcW w:type="dxa" w:w="7920"/>
            <w:vAlign w:val="center"/>
            <w:shd w:fill="F1F6F9"/>
          </w:tcPr>
          <w:p>
            <w:pPr>
              <w:spacing w:after="0"/>
            </w:pPr>
            <w:r/>
            <w:r>
              <w:rPr>
                <w:rFonts w:ascii="Aptos" w:hAnsi="Aptos"/>
                <w:b w:val="0"/>
                <w:sz w:val="16"/>
              </w:rPr>
              <w:t>Listings and availability, viewing leads, applications, occupied/vacant units, rent ledger, maintenance, documents and income/expense reports.</w:t>
            </w:r>
          </w:p>
        </w:tc>
      </w:tr>
      <w:tr>
        <w:tc>
          <w:tcPr>
            <w:tcW w:type="dxa" w:w="2448"/>
            <w:vAlign w:val="center"/>
          </w:tcPr>
          <w:p>
            <w:pPr>
              <w:spacing w:after="0"/>
            </w:pPr>
            <w:r/>
            <w:r>
              <w:rPr>
                <w:rFonts w:ascii="Aptos" w:hAnsi="Aptos"/>
                <w:b w:val="0"/>
                <w:sz w:val="16"/>
              </w:rPr>
              <w:t>Property Manager</w:t>
            </w:r>
          </w:p>
        </w:tc>
        <w:tc>
          <w:tcPr>
            <w:tcW w:type="dxa" w:w="7920"/>
            <w:vAlign w:val="center"/>
          </w:tcPr>
          <w:p>
            <w:pPr>
              <w:spacing w:after="0"/>
            </w:pPr>
            <w:r/>
            <w:r>
              <w:rPr>
                <w:rFonts w:ascii="Aptos" w:hAnsi="Aptos"/>
                <w:b w:val="0"/>
                <w:sz w:val="16"/>
              </w:rPr>
              <w:t>Assigned properties, tasks, pending applications, inspections, maintenance deadlines and role-scoped financial/occupancy reports.</w:t>
            </w:r>
          </w:p>
        </w:tc>
      </w:tr>
      <w:tr>
        <w:tc>
          <w:tcPr>
            <w:tcW w:type="dxa" w:w="2448"/>
            <w:vAlign w:val="center"/>
            <w:shd w:fill="F1F6F9"/>
          </w:tcPr>
          <w:p>
            <w:pPr>
              <w:spacing w:after="0"/>
            </w:pPr>
            <w:r/>
            <w:r>
              <w:rPr>
                <w:rFonts w:ascii="Aptos" w:hAnsi="Aptos"/>
                <w:b w:val="0"/>
                <w:sz w:val="16"/>
              </w:rPr>
              <w:t>Investor / Project Participant</w:t>
            </w:r>
          </w:p>
        </w:tc>
        <w:tc>
          <w:tcPr>
            <w:tcW w:type="dxa" w:w="7920"/>
            <w:vAlign w:val="center"/>
            <w:shd w:fill="F1F6F9"/>
          </w:tcPr>
          <w:p>
            <w:pPr>
              <w:spacing w:after="0"/>
            </w:pPr>
            <w:r/>
            <w:r>
              <w:rPr>
                <w:rFonts w:ascii="Aptos" w:hAnsi="Aptos"/>
                <w:b w:val="0"/>
                <w:sz w:val="16"/>
              </w:rPr>
              <w:t>Projects followed, disclosed documents, milestones, participation records and communications; no implied guaranteed returns.</w:t>
            </w:r>
          </w:p>
        </w:tc>
      </w:tr>
      <w:tr>
        <w:tc>
          <w:tcPr>
            <w:tcW w:type="dxa" w:w="2448"/>
            <w:vAlign w:val="center"/>
          </w:tcPr>
          <w:p>
            <w:pPr>
              <w:spacing w:after="0"/>
            </w:pPr>
            <w:r/>
            <w:r>
              <w:rPr>
                <w:rFonts w:ascii="Aptos" w:hAnsi="Aptos"/>
                <w:b w:val="0"/>
                <w:sz w:val="16"/>
              </w:rPr>
              <w:t>Financing Provider</w:t>
            </w:r>
          </w:p>
        </w:tc>
        <w:tc>
          <w:tcPr>
            <w:tcW w:type="dxa" w:w="7920"/>
            <w:vAlign w:val="center"/>
          </w:tcPr>
          <w:p>
            <w:pPr>
              <w:spacing w:after="0"/>
            </w:pPr>
            <w:r/>
            <w:r>
              <w:rPr>
                <w:rFonts w:ascii="Aptos" w:hAnsi="Aptos"/>
                <w:b w:val="0"/>
                <w:sz w:val="16"/>
              </w:rPr>
              <w:t>Applications explicitly shared with that provider, consent status, provider-owned decision status and communications.</w:t>
            </w:r>
          </w:p>
        </w:tc>
      </w:tr>
      <w:tr>
        <w:tc>
          <w:tcPr>
            <w:tcW w:type="dxa" w:w="2448"/>
            <w:vAlign w:val="center"/>
            <w:shd w:fill="F1F6F9"/>
          </w:tcPr>
          <w:p>
            <w:pPr>
              <w:spacing w:after="0"/>
            </w:pPr>
            <w:r/>
            <w:r>
              <w:rPr>
                <w:rFonts w:ascii="Aptos" w:hAnsi="Aptos"/>
                <w:b w:val="0"/>
                <w:sz w:val="16"/>
              </w:rPr>
              <w:t>Vendor</w:t>
            </w:r>
          </w:p>
        </w:tc>
        <w:tc>
          <w:tcPr>
            <w:tcW w:type="dxa" w:w="7920"/>
            <w:vAlign w:val="center"/>
            <w:shd w:fill="F1F6F9"/>
          </w:tcPr>
          <w:p>
            <w:pPr>
              <w:spacing w:after="0"/>
            </w:pPr>
            <w:r/>
            <w:r>
              <w:rPr>
                <w:rFonts w:ascii="Aptos" w:hAnsi="Aptos"/>
                <w:b w:val="0"/>
                <w:sz w:val="16"/>
              </w:rPr>
              <w:t>Assigned jobs, schedules, estimates, work status and submitted invoices.</w:t>
            </w:r>
          </w:p>
        </w:tc>
      </w:tr>
      <w:tr>
        <w:tc>
          <w:tcPr>
            <w:tcW w:type="dxa" w:w="2448"/>
            <w:vAlign w:val="center"/>
          </w:tcPr>
          <w:p>
            <w:pPr>
              <w:spacing w:after="0"/>
            </w:pPr>
            <w:r/>
            <w:r>
              <w:rPr>
                <w:rFonts w:ascii="Aptos" w:hAnsi="Aptos"/>
                <w:b w:val="0"/>
                <w:sz w:val="16"/>
              </w:rPr>
              <w:t>Platform Admin</w:t>
            </w:r>
          </w:p>
        </w:tc>
        <w:tc>
          <w:tcPr>
            <w:tcW w:type="dxa" w:w="7920"/>
            <w:vAlign w:val="center"/>
          </w:tcPr>
          <w:p>
            <w:pPr>
              <w:spacing w:after="0"/>
            </w:pPr>
            <w:r/>
            <w:r>
              <w:rPr>
                <w:rFonts w:ascii="Aptos" w:hAnsi="Aptos"/>
                <w:b w:val="0"/>
                <w:sz w:val="16"/>
              </w:rPr>
              <w:t>Verification queue, reported listings/users, operational health, access audit and abuse trends.</w:t>
            </w:r>
          </w:p>
        </w:tc>
      </w:tr>
    </w:tbl>
    <w:p/>
    <w:p>
      <w:pPr>
        <w:pStyle w:val="Heading1"/>
      </w:pPr>
      <w:r>
        <w:t>5. Core user journeys</w:t>
      </w:r>
    </w:p>
    <w:p>
      <w:pPr>
        <w:pStyle w:val="ListNumber"/>
        <w:spacing w:after="40"/>
      </w:pPr>
      <w:r>
        <w:t>Account creation: user verifies contact details, creates one identity, selects a desired capability, completes the relevant profile and verification steps, then can add other capabilities later.</w:t>
      </w:r>
    </w:p>
    <w:p>
      <w:pPr>
        <w:pStyle w:val="ListNumber"/>
        <w:spacing w:after="40"/>
      </w:pPr>
      <w:r>
        <w:t>Owner listing: owner creates property and unit records, submits proof of ownership/authority, publishes a listing, reconfirms availability and receives inquiries/viewing requests.</w:t>
      </w:r>
    </w:p>
    <w:p>
      <w:pPr>
        <w:pStyle w:val="ListNumber"/>
        <w:spacing w:after="40"/>
      </w:pPr>
      <w:r>
        <w:t>Tenant rental: tenant searches, contacts owner/authorized manager, schedules viewing, applies, receives a decision, accepts lease terms and starts a tenancy record.</w:t>
      </w:r>
    </w:p>
    <w:p>
      <w:pPr>
        <w:pStyle w:val="ListNumber"/>
        <w:spacing w:after="40"/>
      </w:pPr>
      <w:r>
        <w:t>Rent lifecycle: system records rent obligations, accepts payment through an approved provider if enabled, reconciles provider callbacks, issues receipts and sends reminders.</w:t>
      </w:r>
    </w:p>
    <w:p>
      <w:pPr>
        <w:pStyle w:val="ListNumber"/>
        <w:spacing w:after="40"/>
      </w:pPr>
      <w:r>
        <w:t>Move-out and Rental Passport: parties record condition and move-out details; tenant retains private documents and can select verified rental records to share with a future landlord.</w:t>
      </w:r>
    </w:p>
    <w:p>
      <w:pPr>
        <w:pStyle w:val="ListNumber"/>
        <w:spacing w:after="40"/>
      </w:pPr>
      <w:r>
        <w:t>Panga Akiba: tenant sets a target and records contributions; actual money movement, if later supported, uses an approved partner with explicit opt-in.</w:t>
      </w:r>
    </w:p>
    <w:p>
      <w:pPr>
        <w:pStyle w:val="ListNumber"/>
        <w:spacing w:after="40"/>
      </w:pPr>
      <w:r>
        <w:t>Finance Connect: tenant requests rent finance, previews and consents to specific data sharing, selects or is matched with eligible providers, and communicates directly with provider; provider independently decides and contracts with tenant.</w:t>
      </w:r>
    </w:p>
    <w:p>
      <w:pPr>
        <w:pStyle w:val="ListNumber"/>
        <w:spacing w:after="40"/>
      </w:pPr>
      <w:r>
        <w:t>Multi-role example: Ibrahim uses one account as tenant, property owner, project investor and—only if eligible and verified—representative of a financing provider. Workspaces and permissions remain separate.</w:t>
      </w:r>
    </w:p>
    <w:p>
      <w:pPr>
        <w:pStyle w:val="Heading1"/>
      </w:pPr>
      <w:r>
        <w:t>6. Data model and domain boundaries</w:t>
      </w:r>
    </w:p>
    <w:p>
      <w:r>
        <w:t>The following is a conceptual model, not a final migration specification. Use normalized relational tables for core transactional entities; JSON fields should be reserved for genuinely extensible attributes, not for relationships or authorization rules.</w:t>
      </w:r>
    </w:p>
    <w:tbl>
      <w:tblPr>
        <w:tblStyle w:val="TableGrid"/>
        <w:tblW w:type="auto" w:w="0"/>
        <w:jc w:val="center"/>
        <w:tblLook w:firstColumn="1" w:firstRow="1" w:lastColumn="0" w:lastRow="0" w:noHBand="0" w:noVBand="1" w:val="04A0"/>
      </w:tblPr>
      <w:tblGrid>
        <w:gridCol w:w="4968"/>
        <w:gridCol w:w="4968"/>
      </w:tblGrid>
      <w:tr>
        <w:tc>
          <w:tcPr>
            <w:tcW w:type="dxa" w:w="3168"/>
            <w:vAlign w:val="center"/>
            <w:shd w:fill="174A6E"/>
          </w:tcPr>
          <w:p>
            <w:pPr>
              <w:spacing w:after="0"/>
            </w:pPr>
            <w:r/>
            <w:r>
              <w:rPr>
                <w:rFonts w:ascii="Aptos" w:hAnsi="Aptos"/>
                <w:b/>
                <w:color w:val="FFFFFF"/>
                <w:sz w:val="17"/>
              </w:rPr>
              <w:t>Entity / table concept</w:t>
            </w:r>
          </w:p>
        </w:tc>
        <w:tc>
          <w:tcPr>
            <w:tcW w:type="dxa" w:w="7200"/>
            <w:vAlign w:val="center"/>
            <w:shd w:fill="174A6E"/>
          </w:tcPr>
          <w:p>
            <w:pPr>
              <w:spacing w:after="0"/>
            </w:pPr>
            <w:r/>
            <w:r>
              <w:rPr>
                <w:rFonts w:ascii="Aptos" w:hAnsi="Aptos"/>
                <w:b/>
                <w:color w:val="FFFFFF"/>
                <w:sz w:val="17"/>
              </w:rPr>
              <w:t>Purpose / important relationships</w:t>
            </w:r>
          </w:p>
        </w:tc>
      </w:tr>
      <w:tr>
        <w:tc>
          <w:tcPr>
            <w:tcW w:type="dxa" w:w="3168"/>
            <w:vAlign w:val="center"/>
          </w:tcPr>
          <w:p>
            <w:pPr>
              <w:spacing w:after="0"/>
            </w:pPr>
            <w:r/>
            <w:r>
              <w:rPr>
                <w:rFonts w:ascii="Aptos" w:hAnsi="Aptos"/>
                <w:b w:val="0"/>
                <w:sz w:val="16"/>
              </w:rPr>
              <w:t>users</w:t>
            </w:r>
          </w:p>
        </w:tc>
        <w:tc>
          <w:tcPr>
            <w:tcW w:type="dxa" w:w="7200"/>
            <w:vAlign w:val="center"/>
          </w:tcPr>
          <w:p>
            <w:pPr>
              <w:spacing w:after="0"/>
            </w:pPr>
            <w:r/>
            <w:r>
              <w:rPr>
                <w:rFonts w:ascii="Aptos" w:hAnsi="Aptos"/>
                <w:b w:val="0"/>
                <w:sz w:val="16"/>
              </w:rPr>
              <w:t>Canonical identity, login and account status.</w:t>
            </w:r>
          </w:p>
        </w:tc>
      </w:tr>
      <w:tr>
        <w:tc>
          <w:tcPr>
            <w:tcW w:type="dxa" w:w="3168"/>
            <w:vAlign w:val="center"/>
            <w:shd w:fill="F1F6F9"/>
          </w:tcPr>
          <w:p>
            <w:pPr>
              <w:spacing w:after="0"/>
            </w:pPr>
            <w:r/>
            <w:r>
              <w:rPr>
                <w:rFonts w:ascii="Aptos" w:hAnsi="Aptos"/>
                <w:b w:val="0"/>
                <w:sz w:val="16"/>
              </w:rPr>
              <w:t>user_contacts</w:t>
            </w:r>
          </w:p>
        </w:tc>
        <w:tc>
          <w:tcPr>
            <w:tcW w:type="dxa" w:w="7200"/>
            <w:vAlign w:val="center"/>
            <w:shd w:fill="F1F6F9"/>
          </w:tcPr>
          <w:p>
            <w:pPr>
              <w:spacing w:after="0"/>
            </w:pPr>
            <w:r/>
            <w:r>
              <w:rPr>
                <w:rFonts w:ascii="Aptos" w:hAnsi="Aptos"/>
                <w:b w:val="0"/>
                <w:sz w:val="16"/>
              </w:rPr>
              <w:t>Phone/email verification and contact preferences.</w:t>
            </w:r>
          </w:p>
        </w:tc>
      </w:tr>
      <w:tr>
        <w:tc>
          <w:tcPr>
            <w:tcW w:type="dxa" w:w="3168"/>
            <w:vAlign w:val="center"/>
          </w:tcPr>
          <w:p>
            <w:pPr>
              <w:spacing w:after="0"/>
            </w:pPr>
            <w:r/>
            <w:r>
              <w:rPr>
                <w:rFonts w:ascii="Aptos" w:hAnsi="Aptos"/>
                <w:b w:val="0"/>
                <w:sz w:val="16"/>
              </w:rPr>
              <w:t>capabilities</w:t>
            </w:r>
          </w:p>
        </w:tc>
        <w:tc>
          <w:tcPr>
            <w:tcW w:type="dxa" w:w="7200"/>
            <w:vAlign w:val="center"/>
          </w:tcPr>
          <w:p>
            <w:pPr>
              <w:spacing w:after="0"/>
            </w:pPr>
            <w:r/>
            <w:r>
              <w:rPr>
                <w:rFonts w:ascii="Aptos" w:hAnsi="Aptos"/>
                <w:b w:val="0"/>
                <w:sz w:val="16"/>
              </w:rPr>
              <w:t>Capability catalog: tenant, owner, manager, investor, vendor, financing provider, admin.</w:t>
            </w:r>
          </w:p>
        </w:tc>
      </w:tr>
      <w:tr>
        <w:tc>
          <w:tcPr>
            <w:tcW w:type="dxa" w:w="3168"/>
            <w:vAlign w:val="center"/>
            <w:shd w:fill="F1F6F9"/>
          </w:tcPr>
          <w:p>
            <w:pPr>
              <w:spacing w:after="0"/>
            </w:pPr>
            <w:r/>
            <w:r>
              <w:rPr>
                <w:rFonts w:ascii="Aptos" w:hAnsi="Aptos"/>
                <w:b w:val="0"/>
                <w:sz w:val="16"/>
              </w:rPr>
              <w:t>user_capabilities</w:t>
            </w:r>
          </w:p>
        </w:tc>
        <w:tc>
          <w:tcPr>
            <w:tcW w:type="dxa" w:w="7200"/>
            <w:vAlign w:val="center"/>
            <w:shd w:fill="F1F6F9"/>
          </w:tcPr>
          <w:p>
            <w:pPr>
              <w:spacing w:after="0"/>
            </w:pPr>
            <w:r/>
            <w:r>
              <w:rPr>
                <w:rFonts w:ascii="Aptos" w:hAnsi="Aptos"/>
                <w:b w:val="0"/>
                <w:sz w:val="16"/>
              </w:rPr>
              <w:t>Capability activation/status for each user; includes onboarding and verification state.</w:t>
            </w:r>
          </w:p>
        </w:tc>
      </w:tr>
      <w:tr>
        <w:tc>
          <w:tcPr>
            <w:tcW w:type="dxa" w:w="3168"/>
            <w:vAlign w:val="center"/>
          </w:tcPr>
          <w:p>
            <w:pPr>
              <w:spacing w:after="0"/>
            </w:pPr>
            <w:r/>
            <w:r>
              <w:rPr>
                <w:rFonts w:ascii="Aptos" w:hAnsi="Aptos"/>
                <w:b w:val="0"/>
                <w:sz w:val="16"/>
              </w:rPr>
              <w:t>organizations</w:t>
            </w:r>
          </w:p>
        </w:tc>
        <w:tc>
          <w:tcPr>
            <w:tcW w:type="dxa" w:w="7200"/>
            <w:vAlign w:val="center"/>
          </w:tcPr>
          <w:p>
            <w:pPr>
              <w:spacing w:after="0"/>
            </w:pPr>
            <w:r/>
            <w:r>
              <w:rPr>
                <w:rFonts w:ascii="Aptos" w:hAnsi="Aptos"/>
                <w:b w:val="0"/>
                <w:sz w:val="16"/>
              </w:rPr>
              <w:t>Company/provider/project organization profile.</w:t>
            </w:r>
          </w:p>
        </w:tc>
      </w:tr>
      <w:tr>
        <w:tc>
          <w:tcPr>
            <w:tcW w:type="dxa" w:w="3168"/>
            <w:vAlign w:val="center"/>
            <w:shd w:fill="F1F6F9"/>
          </w:tcPr>
          <w:p>
            <w:pPr>
              <w:spacing w:after="0"/>
            </w:pPr>
            <w:r/>
            <w:r>
              <w:rPr>
                <w:rFonts w:ascii="Aptos" w:hAnsi="Aptos"/>
                <w:b w:val="0"/>
                <w:sz w:val="16"/>
              </w:rPr>
              <w:t>organization_memberships</w:t>
            </w:r>
          </w:p>
        </w:tc>
        <w:tc>
          <w:tcPr>
            <w:tcW w:type="dxa" w:w="7200"/>
            <w:vAlign w:val="center"/>
            <w:shd w:fill="F1F6F9"/>
          </w:tcPr>
          <w:p>
            <w:pPr>
              <w:spacing w:after="0"/>
            </w:pPr>
            <w:r/>
            <w:r>
              <w:rPr>
                <w:rFonts w:ascii="Aptos" w:hAnsi="Aptos"/>
                <w:b w:val="0"/>
                <w:sz w:val="16"/>
              </w:rPr>
              <w:t>Users linked to an organization with scoped role and status.</w:t>
            </w:r>
          </w:p>
        </w:tc>
      </w:tr>
      <w:tr>
        <w:tc>
          <w:tcPr>
            <w:tcW w:type="dxa" w:w="3168"/>
            <w:vAlign w:val="center"/>
          </w:tcPr>
          <w:p>
            <w:pPr>
              <w:spacing w:after="0"/>
            </w:pPr>
            <w:r/>
            <w:r>
              <w:rPr>
                <w:rFonts w:ascii="Aptos" w:hAnsi="Aptos"/>
                <w:b w:val="0"/>
                <w:sz w:val="16"/>
              </w:rPr>
              <w:t>verification_cases</w:t>
            </w:r>
          </w:p>
        </w:tc>
        <w:tc>
          <w:tcPr>
            <w:tcW w:type="dxa" w:w="7200"/>
            <w:vAlign w:val="center"/>
          </w:tcPr>
          <w:p>
            <w:pPr>
              <w:spacing w:after="0"/>
            </w:pPr>
            <w:r/>
            <w:r>
              <w:rPr>
                <w:rFonts w:ascii="Aptos" w:hAnsi="Aptos"/>
                <w:b w:val="0"/>
                <w:sz w:val="16"/>
              </w:rPr>
              <w:t>Identity, ownership, representative authority and provider verification cases.</w:t>
            </w:r>
          </w:p>
        </w:tc>
      </w:tr>
      <w:tr>
        <w:tc>
          <w:tcPr>
            <w:tcW w:type="dxa" w:w="3168"/>
            <w:vAlign w:val="center"/>
            <w:shd w:fill="F1F6F9"/>
          </w:tcPr>
          <w:p>
            <w:pPr>
              <w:spacing w:after="0"/>
            </w:pPr>
            <w:r/>
            <w:r>
              <w:rPr>
                <w:rFonts w:ascii="Aptos" w:hAnsi="Aptos"/>
                <w:b w:val="0"/>
                <w:sz w:val="16"/>
              </w:rPr>
              <w:t>properties</w:t>
            </w:r>
          </w:p>
        </w:tc>
        <w:tc>
          <w:tcPr>
            <w:tcW w:type="dxa" w:w="7200"/>
            <w:vAlign w:val="center"/>
            <w:shd w:fill="F1F6F9"/>
          </w:tcPr>
          <w:p>
            <w:pPr>
              <w:spacing w:after="0"/>
            </w:pPr>
            <w:r/>
            <w:r>
              <w:rPr>
                <w:rFonts w:ascii="Aptos" w:hAnsi="Aptos"/>
                <w:b w:val="0"/>
                <w:sz w:val="16"/>
              </w:rPr>
              <w:t>Property-level details, location, owner relationship and status.</w:t>
            </w:r>
          </w:p>
        </w:tc>
      </w:tr>
      <w:tr>
        <w:tc>
          <w:tcPr>
            <w:tcW w:type="dxa" w:w="3168"/>
            <w:vAlign w:val="center"/>
          </w:tcPr>
          <w:p>
            <w:pPr>
              <w:spacing w:after="0"/>
            </w:pPr>
            <w:r/>
            <w:r>
              <w:rPr>
                <w:rFonts w:ascii="Aptos" w:hAnsi="Aptos"/>
                <w:b w:val="0"/>
                <w:sz w:val="16"/>
              </w:rPr>
              <w:t>property_units</w:t>
            </w:r>
          </w:p>
        </w:tc>
        <w:tc>
          <w:tcPr>
            <w:tcW w:type="dxa" w:w="7200"/>
            <w:vAlign w:val="center"/>
          </w:tcPr>
          <w:p>
            <w:pPr>
              <w:spacing w:after="0"/>
            </w:pPr>
            <w:r/>
            <w:r>
              <w:rPr>
                <w:rFonts w:ascii="Aptos" w:hAnsi="Aptos"/>
                <w:b w:val="0"/>
                <w:sz w:val="16"/>
              </w:rPr>
              <w:t>Rentable units and unit-level availability.</w:t>
            </w:r>
          </w:p>
        </w:tc>
      </w:tr>
      <w:tr>
        <w:tc>
          <w:tcPr>
            <w:tcW w:type="dxa" w:w="3168"/>
            <w:vAlign w:val="center"/>
            <w:shd w:fill="F1F6F9"/>
          </w:tcPr>
          <w:p>
            <w:pPr>
              <w:spacing w:after="0"/>
            </w:pPr>
            <w:r/>
            <w:r>
              <w:rPr>
                <w:rFonts w:ascii="Aptos" w:hAnsi="Aptos"/>
                <w:b w:val="0"/>
                <w:sz w:val="16"/>
              </w:rPr>
              <w:t>property_authorizations</w:t>
            </w:r>
          </w:p>
        </w:tc>
        <w:tc>
          <w:tcPr>
            <w:tcW w:type="dxa" w:w="7200"/>
            <w:vAlign w:val="center"/>
            <w:shd w:fill="F1F6F9"/>
          </w:tcPr>
          <w:p>
            <w:pPr>
              <w:spacing w:after="0"/>
            </w:pPr>
            <w:r/>
            <w:r>
              <w:rPr>
                <w:rFonts w:ascii="Aptos" w:hAnsi="Aptos"/>
                <w:b w:val="0"/>
                <w:sz w:val="16"/>
              </w:rPr>
              <w:t>Owner-to-manager/representative permissions by property and validity dates.</w:t>
            </w:r>
          </w:p>
        </w:tc>
      </w:tr>
      <w:tr>
        <w:tc>
          <w:tcPr>
            <w:tcW w:type="dxa" w:w="3168"/>
            <w:vAlign w:val="center"/>
          </w:tcPr>
          <w:p>
            <w:pPr>
              <w:spacing w:after="0"/>
            </w:pPr>
            <w:r/>
            <w:r>
              <w:rPr>
                <w:rFonts w:ascii="Aptos" w:hAnsi="Aptos"/>
                <w:b w:val="0"/>
                <w:sz w:val="16"/>
              </w:rPr>
              <w:t>listings</w:t>
            </w:r>
          </w:p>
        </w:tc>
        <w:tc>
          <w:tcPr>
            <w:tcW w:type="dxa" w:w="7200"/>
            <w:vAlign w:val="center"/>
          </w:tcPr>
          <w:p>
            <w:pPr>
              <w:spacing w:after="0"/>
            </w:pPr>
            <w:r/>
            <w:r>
              <w:rPr>
                <w:rFonts w:ascii="Aptos" w:hAnsi="Aptos"/>
                <w:b w:val="0"/>
                <w:sz w:val="16"/>
              </w:rPr>
              <w:t>Public/limited listing details, pricing, status and publication history.</w:t>
            </w:r>
          </w:p>
        </w:tc>
      </w:tr>
      <w:tr>
        <w:tc>
          <w:tcPr>
            <w:tcW w:type="dxa" w:w="3168"/>
            <w:vAlign w:val="center"/>
            <w:shd w:fill="F1F6F9"/>
          </w:tcPr>
          <w:p>
            <w:pPr>
              <w:spacing w:after="0"/>
            </w:pPr>
            <w:r/>
            <w:r>
              <w:rPr>
                <w:rFonts w:ascii="Aptos" w:hAnsi="Aptos"/>
                <w:b w:val="0"/>
                <w:sz w:val="16"/>
              </w:rPr>
              <w:t>listing_media</w:t>
            </w:r>
          </w:p>
        </w:tc>
        <w:tc>
          <w:tcPr>
            <w:tcW w:type="dxa" w:w="7200"/>
            <w:vAlign w:val="center"/>
            <w:shd w:fill="F1F6F9"/>
          </w:tcPr>
          <w:p>
            <w:pPr>
              <w:spacing w:after="0"/>
            </w:pPr>
            <w:r/>
            <w:r>
              <w:rPr>
                <w:rFonts w:ascii="Aptos" w:hAnsi="Aptos"/>
                <w:b w:val="0"/>
                <w:sz w:val="16"/>
              </w:rPr>
              <w:t>Photos, tours and file metadata stored in object storage.</w:t>
            </w:r>
          </w:p>
        </w:tc>
      </w:tr>
      <w:tr>
        <w:tc>
          <w:tcPr>
            <w:tcW w:type="dxa" w:w="3168"/>
            <w:vAlign w:val="center"/>
          </w:tcPr>
          <w:p>
            <w:pPr>
              <w:spacing w:after="0"/>
            </w:pPr>
            <w:r/>
            <w:r>
              <w:rPr>
                <w:rFonts w:ascii="Aptos" w:hAnsi="Aptos"/>
                <w:b w:val="0"/>
                <w:sz w:val="16"/>
              </w:rPr>
              <w:t>viewing_requests</w:t>
            </w:r>
          </w:p>
        </w:tc>
        <w:tc>
          <w:tcPr>
            <w:tcW w:type="dxa" w:w="7200"/>
            <w:vAlign w:val="center"/>
          </w:tcPr>
          <w:p>
            <w:pPr>
              <w:spacing w:after="0"/>
            </w:pPr>
            <w:r/>
            <w:r>
              <w:rPr>
                <w:rFonts w:ascii="Aptos" w:hAnsi="Aptos"/>
                <w:b w:val="0"/>
                <w:sz w:val="16"/>
              </w:rPr>
              <w:t>Tenant viewing requests, proposed times and status history.</w:t>
            </w:r>
          </w:p>
        </w:tc>
      </w:tr>
      <w:tr>
        <w:tc>
          <w:tcPr>
            <w:tcW w:type="dxa" w:w="3168"/>
            <w:vAlign w:val="center"/>
            <w:shd w:fill="F1F6F9"/>
          </w:tcPr>
          <w:p>
            <w:pPr>
              <w:spacing w:after="0"/>
            </w:pPr>
            <w:r/>
            <w:r>
              <w:rPr>
                <w:rFonts w:ascii="Aptos" w:hAnsi="Aptos"/>
                <w:b w:val="0"/>
                <w:sz w:val="16"/>
              </w:rPr>
              <w:t>rental_applications</w:t>
            </w:r>
          </w:p>
        </w:tc>
        <w:tc>
          <w:tcPr>
            <w:tcW w:type="dxa" w:w="7200"/>
            <w:vAlign w:val="center"/>
            <w:shd w:fill="F1F6F9"/>
          </w:tcPr>
          <w:p>
            <w:pPr>
              <w:spacing w:after="0"/>
            </w:pPr>
            <w:r/>
            <w:r>
              <w:rPr>
                <w:rFonts w:ascii="Aptos" w:hAnsi="Aptos"/>
                <w:b w:val="0"/>
                <w:sz w:val="16"/>
              </w:rPr>
              <w:t>Application state, applicant, unit, consent and requested documents.</w:t>
            </w:r>
          </w:p>
        </w:tc>
      </w:tr>
      <w:tr>
        <w:tc>
          <w:tcPr>
            <w:tcW w:type="dxa" w:w="3168"/>
            <w:vAlign w:val="center"/>
          </w:tcPr>
          <w:p>
            <w:pPr>
              <w:spacing w:after="0"/>
            </w:pPr>
            <w:r/>
            <w:r>
              <w:rPr>
                <w:rFonts w:ascii="Aptos" w:hAnsi="Aptos"/>
                <w:b w:val="0"/>
                <w:sz w:val="16"/>
              </w:rPr>
              <w:t>tenancies</w:t>
            </w:r>
          </w:p>
        </w:tc>
        <w:tc>
          <w:tcPr>
            <w:tcW w:type="dxa" w:w="7200"/>
            <w:vAlign w:val="center"/>
          </w:tcPr>
          <w:p>
            <w:pPr>
              <w:spacing w:after="0"/>
            </w:pPr>
            <w:r/>
            <w:r>
              <w:rPr>
                <w:rFonts w:ascii="Aptos" w:hAnsi="Aptos"/>
                <w:b w:val="0"/>
                <w:sz w:val="16"/>
              </w:rPr>
              <w:t>Tenant, unit, landlord/manager, dates, lease and tenancy status.</w:t>
            </w:r>
          </w:p>
        </w:tc>
      </w:tr>
      <w:tr>
        <w:tc>
          <w:tcPr>
            <w:tcW w:type="dxa" w:w="3168"/>
            <w:vAlign w:val="center"/>
            <w:shd w:fill="F1F6F9"/>
          </w:tcPr>
          <w:p>
            <w:pPr>
              <w:spacing w:after="0"/>
            </w:pPr>
            <w:r/>
            <w:r>
              <w:rPr>
                <w:rFonts w:ascii="Aptos" w:hAnsi="Aptos"/>
                <w:b w:val="0"/>
                <w:sz w:val="16"/>
              </w:rPr>
              <w:t>lease_documents</w:t>
            </w:r>
          </w:p>
        </w:tc>
        <w:tc>
          <w:tcPr>
            <w:tcW w:type="dxa" w:w="7200"/>
            <w:vAlign w:val="center"/>
            <w:shd w:fill="F1F6F9"/>
          </w:tcPr>
          <w:p>
            <w:pPr>
              <w:spacing w:after="0"/>
            </w:pPr>
            <w:r/>
            <w:r>
              <w:rPr>
                <w:rFonts w:ascii="Aptos" w:hAnsi="Aptos"/>
                <w:b w:val="0"/>
                <w:sz w:val="16"/>
              </w:rPr>
              <w:t>Versioned lease documents, signatures/evidence and access rules.</w:t>
            </w:r>
          </w:p>
        </w:tc>
      </w:tr>
      <w:tr>
        <w:tc>
          <w:tcPr>
            <w:tcW w:type="dxa" w:w="3168"/>
            <w:vAlign w:val="center"/>
          </w:tcPr>
          <w:p>
            <w:pPr>
              <w:spacing w:after="0"/>
            </w:pPr>
            <w:r/>
            <w:r>
              <w:rPr>
                <w:rFonts w:ascii="Aptos" w:hAnsi="Aptos"/>
                <w:b w:val="0"/>
                <w:sz w:val="16"/>
              </w:rPr>
              <w:t>rent_obligations</w:t>
            </w:r>
          </w:p>
        </w:tc>
        <w:tc>
          <w:tcPr>
            <w:tcW w:type="dxa" w:w="7200"/>
            <w:vAlign w:val="center"/>
          </w:tcPr>
          <w:p>
            <w:pPr>
              <w:spacing w:after="0"/>
            </w:pPr>
            <w:r/>
            <w:r>
              <w:rPr>
                <w:rFonts w:ascii="Aptos" w:hAnsi="Aptos"/>
                <w:b w:val="0"/>
                <w:sz w:val="16"/>
              </w:rPr>
              <w:t>Expected rent/fees per tenancy and due date.</w:t>
            </w:r>
          </w:p>
        </w:tc>
      </w:tr>
      <w:tr>
        <w:tc>
          <w:tcPr>
            <w:tcW w:type="dxa" w:w="3168"/>
            <w:vAlign w:val="center"/>
            <w:shd w:fill="F1F6F9"/>
          </w:tcPr>
          <w:p>
            <w:pPr>
              <w:spacing w:after="0"/>
            </w:pPr>
            <w:r/>
            <w:r>
              <w:rPr>
                <w:rFonts w:ascii="Aptos" w:hAnsi="Aptos"/>
                <w:b w:val="0"/>
                <w:sz w:val="16"/>
              </w:rPr>
              <w:t>rent_payments</w:t>
            </w:r>
          </w:p>
        </w:tc>
        <w:tc>
          <w:tcPr>
            <w:tcW w:type="dxa" w:w="7200"/>
            <w:vAlign w:val="center"/>
            <w:shd w:fill="F1F6F9"/>
          </w:tcPr>
          <w:p>
            <w:pPr>
              <w:spacing w:after="0"/>
            </w:pPr>
            <w:r/>
            <w:r>
              <w:rPr>
                <w:rFonts w:ascii="Aptos" w:hAnsi="Aptos"/>
                <w:b w:val="0"/>
                <w:sz w:val="16"/>
              </w:rPr>
              <w:t>Payment attempts, provider references, status and reconciliation.</w:t>
            </w:r>
          </w:p>
        </w:tc>
      </w:tr>
      <w:tr>
        <w:tc>
          <w:tcPr>
            <w:tcW w:type="dxa" w:w="3168"/>
            <w:vAlign w:val="center"/>
          </w:tcPr>
          <w:p>
            <w:pPr>
              <w:spacing w:after="0"/>
            </w:pPr>
            <w:r/>
            <w:r>
              <w:rPr>
                <w:rFonts w:ascii="Aptos" w:hAnsi="Aptos"/>
                <w:b w:val="0"/>
                <w:sz w:val="16"/>
              </w:rPr>
              <w:t>ledger_entries</w:t>
            </w:r>
          </w:p>
        </w:tc>
        <w:tc>
          <w:tcPr>
            <w:tcW w:type="dxa" w:w="7200"/>
            <w:vAlign w:val="center"/>
          </w:tcPr>
          <w:p>
            <w:pPr>
              <w:spacing w:after="0"/>
            </w:pPr>
            <w:r/>
            <w:r>
              <w:rPr>
                <w:rFonts w:ascii="Aptos" w:hAnsi="Aptos"/>
                <w:b w:val="0"/>
                <w:sz w:val="16"/>
              </w:rPr>
              <w:t>Append-only or correction-controlled financial record with type and audit.</w:t>
            </w:r>
          </w:p>
        </w:tc>
      </w:tr>
      <w:tr>
        <w:tc>
          <w:tcPr>
            <w:tcW w:type="dxa" w:w="3168"/>
            <w:vAlign w:val="center"/>
            <w:shd w:fill="F1F6F9"/>
          </w:tcPr>
          <w:p>
            <w:pPr>
              <w:spacing w:after="0"/>
            </w:pPr>
            <w:r/>
            <w:r>
              <w:rPr>
                <w:rFonts w:ascii="Aptos" w:hAnsi="Aptos"/>
                <w:b w:val="0"/>
                <w:sz w:val="16"/>
              </w:rPr>
              <w:t>maintenance_requests</w:t>
            </w:r>
          </w:p>
        </w:tc>
        <w:tc>
          <w:tcPr>
            <w:tcW w:type="dxa" w:w="7200"/>
            <w:vAlign w:val="center"/>
            <w:shd w:fill="F1F6F9"/>
          </w:tcPr>
          <w:p>
            <w:pPr>
              <w:spacing w:after="0"/>
            </w:pPr>
            <w:r/>
            <w:r>
              <w:rPr>
                <w:rFonts w:ascii="Aptos" w:hAnsi="Aptos"/>
                <w:b w:val="0"/>
                <w:sz w:val="16"/>
              </w:rPr>
              <w:t>Tenant-submitted issues and status.</w:t>
            </w:r>
          </w:p>
        </w:tc>
      </w:tr>
      <w:tr>
        <w:tc>
          <w:tcPr>
            <w:tcW w:type="dxa" w:w="3168"/>
            <w:vAlign w:val="center"/>
          </w:tcPr>
          <w:p>
            <w:pPr>
              <w:spacing w:after="0"/>
            </w:pPr>
            <w:r/>
            <w:r>
              <w:rPr>
                <w:rFonts w:ascii="Aptos" w:hAnsi="Aptos"/>
                <w:b w:val="0"/>
                <w:sz w:val="16"/>
              </w:rPr>
              <w:t>work_orders</w:t>
            </w:r>
          </w:p>
        </w:tc>
        <w:tc>
          <w:tcPr>
            <w:tcW w:type="dxa" w:w="7200"/>
            <w:vAlign w:val="center"/>
          </w:tcPr>
          <w:p>
            <w:pPr>
              <w:spacing w:after="0"/>
            </w:pPr>
            <w:r/>
            <w:r>
              <w:rPr>
                <w:rFonts w:ascii="Aptos" w:hAnsi="Aptos"/>
                <w:b w:val="0"/>
                <w:sz w:val="16"/>
              </w:rPr>
              <w:t>Assigned vendor tasks, estimates, approvals and completion evidence.</w:t>
            </w:r>
          </w:p>
        </w:tc>
      </w:tr>
      <w:tr>
        <w:tc>
          <w:tcPr>
            <w:tcW w:type="dxa" w:w="3168"/>
            <w:vAlign w:val="center"/>
            <w:shd w:fill="F1F6F9"/>
          </w:tcPr>
          <w:p>
            <w:pPr>
              <w:spacing w:after="0"/>
            </w:pPr>
            <w:r/>
            <w:r>
              <w:rPr>
                <w:rFonts w:ascii="Aptos" w:hAnsi="Aptos"/>
                <w:b w:val="0"/>
                <w:sz w:val="16"/>
              </w:rPr>
              <w:t>chat_conversations / messages</w:t>
            </w:r>
          </w:p>
        </w:tc>
        <w:tc>
          <w:tcPr>
            <w:tcW w:type="dxa" w:w="7200"/>
            <w:vAlign w:val="center"/>
            <w:shd w:fill="F1F6F9"/>
          </w:tcPr>
          <w:p>
            <w:pPr>
              <w:spacing w:after="0"/>
            </w:pPr>
            <w:r/>
            <w:r>
              <w:rPr>
                <w:rFonts w:ascii="Aptos" w:hAnsi="Aptos"/>
                <w:b w:val="0"/>
                <w:sz w:val="16"/>
              </w:rPr>
              <w:t>Chat metadata, durable messages, sender and authorization context.</w:t>
            </w:r>
          </w:p>
        </w:tc>
      </w:tr>
      <w:tr>
        <w:tc>
          <w:tcPr>
            <w:tcW w:type="dxa" w:w="3168"/>
            <w:vAlign w:val="center"/>
          </w:tcPr>
          <w:p>
            <w:pPr>
              <w:spacing w:after="0"/>
            </w:pPr>
            <w:r/>
            <w:r>
              <w:rPr>
                <w:rFonts w:ascii="Aptos" w:hAnsi="Aptos"/>
                <w:b w:val="0"/>
                <w:sz w:val="16"/>
              </w:rPr>
              <w:t>notification_events / deliveries</w:t>
            </w:r>
          </w:p>
        </w:tc>
        <w:tc>
          <w:tcPr>
            <w:tcW w:type="dxa" w:w="7200"/>
            <w:vAlign w:val="center"/>
          </w:tcPr>
          <w:p>
            <w:pPr>
              <w:spacing w:after="0"/>
            </w:pPr>
            <w:r/>
            <w:r>
              <w:rPr>
                <w:rFonts w:ascii="Aptos" w:hAnsi="Aptos"/>
                <w:b w:val="0"/>
                <w:sz w:val="16"/>
              </w:rPr>
              <w:t>Notification intent and channel delivery status.</w:t>
            </w:r>
          </w:p>
        </w:tc>
      </w:tr>
      <w:tr>
        <w:tc>
          <w:tcPr>
            <w:tcW w:type="dxa" w:w="3168"/>
            <w:vAlign w:val="center"/>
            <w:shd w:fill="F1F6F9"/>
          </w:tcPr>
          <w:p>
            <w:pPr>
              <w:spacing w:after="0"/>
            </w:pPr>
            <w:r/>
            <w:r>
              <w:rPr>
                <w:rFonts w:ascii="Aptos" w:hAnsi="Aptos"/>
                <w:b w:val="0"/>
                <w:sz w:val="16"/>
              </w:rPr>
              <w:t>savings_goals</w:t>
            </w:r>
          </w:p>
        </w:tc>
        <w:tc>
          <w:tcPr>
            <w:tcW w:type="dxa" w:w="7200"/>
            <w:vAlign w:val="center"/>
            <w:shd w:fill="F1F6F9"/>
          </w:tcPr>
          <w:p>
            <w:pPr>
              <w:spacing w:after="0"/>
            </w:pPr>
            <w:r/>
            <w:r>
              <w:rPr>
                <w:rFonts w:ascii="Aptos" w:hAnsi="Aptos"/>
                <w:b w:val="0"/>
                <w:sz w:val="16"/>
              </w:rPr>
              <w:t>Tenant goals, target amount/date and status.</w:t>
            </w:r>
          </w:p>
        </w:tc>
      </w:tr>
      <w:tr>
        <w:tc>
          <w:tcPr>
            <w:tcW w:type="dxa" w:w="3168"/>
            <w:vAlign w:val="center"/>
          </w:tcPr>
          <w:p>
            <w:pPr>
              <w:spacing w:after="0"/>
            </w:pPr>
            <w:r/>
            <w:r>
              <w:rPr>
                <w:rFonts w:ascii="Aptos" w:hAnsi="Aptos"/>
                <w:b w:val="0"/>
                <w:sz w:val="16"/>
              </w:rPr>
              <w:t>savings_contributions</w:t>
            </w:r>
          </w:p>
        </w:tc>
        <w:tc>
          <w:tcPr>
            <w:tcW w:type="dxa" w:w="7200"/>
            <w:vAlign w:val="center"/>
          </w:tcPr>
          <w:p>
            <w:pPr>
              <w:spacing w:after="0"/>
            </w:pPr>
            <w:r/>
            <w:r>
              <w:rPr>
                <w:rFonts w:ascii="Aptos" w:hAnsi="Aptos"/>
                <w:b w:val="0"/>
                <w:sz w:val="16"/>
              </w:rPr>
              <w:t>Manual or provider-confirmed contribution records with source and evidence.</w:t>
            </w:r>
          </w:p>
        </w:tc>
      </w:tr>
      <w:tr>
        <w:tc>
          <w:tcPr>
            <w:tcW w:type="dxa" w:w="3168"/>
            <w:vAlign w:val="center"/>
            <w:shd w:fill="F1F6F9"/>
          </w:tcPr>
          <w:p>
            <w:pPr>
              <w:spacing w:after="0"/>
            </w:pPr>
            <w:r/>
            <w:r>
              <w:rPr>
                <w:rFonts w:ascii="Aptos" w:hAnsi="Aptos"/>
                <w:b w:val="0"/>
                <w:sz w:val="16"/>
              </w:rPr>
              <w:t>housing_expenses</w:t>
            </w:r>
          </w:p>
        </w:tc>
        <w:tc>
          <w:tcPr>
            <w:tcW w:type="dxa" w:w="7200"/>
            <w:vAlign w:val="center"/>
            <w:shd w:fill="F1F6F9"/>
          </w:tcPr>
          <w:p>
            <w:pPr>
              <w:spacing w:after="0"/>
            </w:pPr>
            <w:r/>
            <w:r>
              <w:rPr>
                <w:rFonts w:ascii="Aptos" w:hAnsi="Aptos"/>
                <w:b w:val="0"/>
                <w:sz w:val="16"/>
              </w:rPr>
              <w:t>Rental Passport expenses and classification/status.</w:t>
            </w:r>
          </w:p>
        </w:tc>
      </w:tr>
      <w:tr>
        <w:tc>
          <w:tcPr>
            <w:tcW w:type="dxa" w:w="3168"/>
            <w:vAlign w:val="center"/>
          </w:tcPr>
          <w:p>
            <w:pPr>
              <w:spacing w:after="0"/>
            </w:pPr>
            <w:r/>
            <w:r>
              <w:rPr>
                <w:rFonts w:ascii="Aptos" w:hAnsi="Aptos"/>
                <w:b w:val="0"/>
                <w:sz w:val="16"/>
              </w:rPr>
              <w:t>housing_evidence</w:t>
            </w:r>
          </w:p>
        </w:tc>
        <w:tc>
          <w:tcPr>
            <w:tcW w:type="dxa" w:w="7200"/>
            <w:vAlign w:val="center"/>
          </w:tcPr>
          <w:p>
            <w:pPr>
              <w:spacing w:after="0"/>
            </w:pPr>
            <w:r/>
            <w:r>
              <w:rPr>
                <w:rFonts w:ascii="Aptos" w:hAnsi="Aptos"/>
                <w:b w:val="0"/>
                <w:sz w:val="16"/>
              </w:rPr>
              <w:t>Documents/photos and provenance; actual bytes live in private object storage.</w:t>
            </w:r>
          </w:p>
        </w:tc>
      </w:tr>
      <w:tr>
        <w:tc>
          <w:tcPr>
            <w:tcW w:type="dxa" w:w="3168"/>
            <w:vAlign w:val="center"/>
            <w:shd w:fill="F1F6F9"/>
          </w:tcPr>
          <w:p>
            <w:pPr>
              <w:spacing w:after="0"/>
            </w:pPr>
            <w:r/>
            <w:r>
              <w:rPr>
                <w:rFonts w:ascii="Aptos" w:hAnsi="Aptos"/>
                <w:b w:val="0"/>
                <w:sz w:val="16"/>
              </w:rPr>
              <w:t>housing_events</w:t>
            </w:r>
          </w:p>
        </w:tc>
        <w:tc>
          <w:tcPr>
            <w:tcW w:type="dxa" w:w="7200"/>
            <w:vAlign w:val="center"/>
            <w:shd w:fill="F1F6F9"/>
          </w:tcPr>
          <w:p>
            <w:pPr>
              <w:spacing w:after="0"/>
            </w:pPr>
            <w:r/>
            <w:r>
              <w:rPr>
                <w:rFonts w:ascii="Aptos" w:hAnsi="Aptos"/>
                <w:b w:val="0"/>
                <w:sz w:val="16"/>
              </w:rPr>
              <w:t>Move-in/out, inspection, utility, repair and timeline events.</w:t>
            </w:r>
          </w:p>
        </w:tc>
      </w:tr>
      <w:tr>
        <w:tc>
          <w:tcPr>
            <w:tcW w:type="dxa" w:w="3168"/>
            <w:vAlign w:val="center"/>
          </w:tcPr>
          <w:p>
            <w:pPr>
              <w:spacing w:after="0"/>
            </w:pPr>
            <w:r/>
            <w:r>
              <w:rPr>
                <w:rFonts w:ascii="Aptos" w:hAnsi="Aptos"/>
                <w:b w:val="0"/>
                <w:sz w:val="16"/>
              </w:rPr>
              <w:t>record_shares / share_access_logs</w:t>
            </w:r>
          </w:p>
        </w:tc>
        <w:tc>
          <w:tcPr>
            <w:tcW w:type="dxa" w:w="7200"/>
            <w:vAlign w:val="center"/>
          </w:tcPr>
          <w:p>
            <w:pPr>
              <w:spacing w:after="0"/>
            </w:pPr>
            <w:r/>
            <w:r>
              <w:rPr>
                <w:rFonts w:ascii="Aptos" w:hAnsi="Aptos"/>
                <w:b w:val="0"/>
                <w:sz w:val="16"/>
              </w:rPr>
              <w:t>Purpose-limited sharing grants, recipients, expiry and access audit.</w:t>
            </w:r>
          </w:p>
        </w:tc>
      </w:tr>
      <w:tr>
        <w:tc>
          <w:tcPr>
            <w:tcW w:type="dxa" w:w="3168"/>
            <w:vAlign w:val="center"/>
            <w:shd w:fill="F1F6F9"/>
          </w:tcPr>
          <w:p>
            <w:pPr>
              <w:spacing w:after="0"/>
            </w:pPr>
            <w:r/>
            <w:r>
              <w:rPr>
                <w:rFonts w:ascii="Aptos" w:hAnsi="Aptos"/>
                <w:b w:val="0"/>
                <w:sz w:val="16"/>
              </w:rPr>
              <w:t>financing_requests</w:t>
            </w:r>
          </w:p>
        </w:tc>
        <w:tc>
          <w:tcPr>
            <w:tcW w:type="dxa" w:w="7200"/>
            <w:vAlign w:val="center"/>
            <w:shd w:fill="F1F6F9"/>
          </w:tcPr>
          <w:p>
            <w:pPr>
              <w:spacing w:after="0"/>
            </w:pPr>
            <w:r/>
            <w:r>
              <w:rPr>
                <w:rFonts w:ascii="Aptos" w:hAnsi="Aptos"/>
                <w:b w:val="0"/>
                <w:sz w:val="16"/>
              </w:rPr>
              <w:t>Tenant request and selected sharing/consent status.</w:t>
            </w:r>
          </w:p>
        </w:tc>
      </w:tr>
      <w:tr>
        <w:tc>
          <w:tcPr>
            <w:tcW w:type="dxa" w:w="3168"/>
            <w:vAlign w:val="center"/>
          </w:tcPr>
          <w:p>
            <w:pPr>
              <w:spacing w:after="0"/>
            </w:pPr>
            <w:r/>
            <w:r>
              <w:rPr>
                <w:rFonts w:ascii="Aptos" w:hAnsi="Aptos"/>
                <w:b w:val="0"/>
                <w:sz w:val="16"/>
              </w:rPr>
              <w:t>financing_providers / provider_products</w:t>
            </w:r>
          </w:p>
        </w:tc>
        <w:tc>
          <w:tcPr>
            <w:tcW w:type="dxa" w:w="7200"/>
            <w:vAlign w:val="center"/>
          </w:tcPr>
          <w:p>
            <w:pPr>
              <w:spacing w:after="0"/>
            </w:pPr>
            <w:r/>
            <w:r>
              <w:rPr>
                <w:rFonts w:ascii="Aptos" w:hAnsi="Aptos"/>
                <w:b w:val="0"/>
                <w:sz w:val="16"/>
              </w:rPr>
              <w:t>Provider verification, service areas, eligibility and disclosed product information.</w:t>
            </w:r>
          </w:p>
        </w:tc>
      </w:tr>
      <w:tr>
        <w:tc>
          <w:tcPr>
            <w:tcW w:type="dxa" w:w="3168"/>
            <w:vAlign w:val="center"/>
            <w:shd w:fill="F1F6F9"/>
          </w:tcPr>
          <w:p>
            <w:pPr>
              <w:spacing w:after="0"/>
            </w:pPr>
            <w:r/>
            <w:r>
              <w:rPr>
                <w:rFonts w:ascii="Aptos" w:hAnsi="Aptos"/>
                <w:b w:val="0"/>
                <w:sz w:val="16"/>
              </w:rPr>
              <w:t>financing_matches</w:t>
            </w:r>
          </w:p>
        </w:tc>
        <w:tc>
          <w:tcPr>
            <w:tcW w:type="dxa" w:w="7200"/>
            <w:vAlign w:val="center"/>
            <w:shd w:fill="F1F6F9"/>
          </w:tcPr>
          <w:p>
            <w:pPr>
              <w:spacing w:after="0"/>
            </w:pPr>
            <w:r/>
            <w:r>
              <w:rPr>
                <w:rFonts w:ascii="Aptos" w:hAnsi="Aptos"/>
                <w:b w:val="0"/>
                <w:sz w:val="16"/>
              </w:rPr>
              <w:t>Match result, provider recipient, consented fields and lifecycle status.</w:t>
            </w:r>
          </w:p>
        </w:tc>
      </w:tr>
      <w:tr>
        <w:tc>
          <w:tcPr>
            <w:tcW w:type="dxa" w:w="3168"/>
            <w:vAlign w:val="center"/>
          </w:tcPr>
          <w:p>
            <w:pPr>
              <w:spacing w:after="0"/>
            </w:pPr>
            <w:r/>
            <w:r>
              <w:rPr>
                <w:rFonts w:ascii="Aptos" w:hAnsi="Aptos"/>
                <w:b w:val="0"/>
                <w:sz w:val="16"/>
              </w:rPr>
              <w:t>project_profiles / project_participations</w:t>
            </w:r>
          </w:p>
        </w:tc>
        <w:tc>
          <w:tcPr>
            <w:tcW w:type="dxa" w:w="7200"/>
            <w:vAlign w:val="center"/>
          </w:tcPr>
          <w:p>
            <w:pPr>
              <w:spacing w:after="0"/>
            </w:pPr>
            <w:r/>
            <w:r>
              <w:rPr>
                <w:rFonts w:ascii="Aptos" w:hAnsi="Aptos"/>
                <w:b w:val="0"/>
                <w:sz w:val="16"/>
              </w:rPr>
              <w:t>Project metadata, disclosures, milestones and user participation records.</w:t>
            </w:r>
          </w:p>
        </w:tc>
      </w:tr>
      <w:tr>
        <w:tc>
          <w:tcPr>
            <w:tcW w:type="dxa" w:w="3168"/>
            <w:vAlign w:val="center"/>
            <w:shd w:fill="F1F6F9"/>
          </w:tcPr>
          <w:p>
            <w:pPr>
              <w:spacing w:after="0"/>
            </w:pPr>
            <w:r/>
            <w:r>
              <w:rPr>
                <w:rFonts w:ascii="Aptos" w:hAnsi="Aptos"/>
                <w:b w:val="0"/>
                <w:sz w:val="16"/>
              </w:rPr>
              <w:t>reviews / reports / moderation_cases</w:t>
            </w:r>
          </w:p>
        </w:tc>
        <w:tc>
          <w:tcPr>
            <w:tcW w:type="dxa" w:w="7200"/>
            <w:vAlign w:val="center"/>
            <w:shd w:fill="F1F6F9"/>
          </w:tcPr>
          <w:p>
            <w:pPr>
              <w:spacing w:after="0"/>
            </w:pPr>
            <w:r/>
            <w:r>
              <w:rPr>
                <w:rFonts w:ascii="Aptos" w:hAnsi="Aptos"/>
                <w:b w:val="0"/>
                <w:sz w:val="16"/>
              </w:rPr>
              <w:t>Reviews, abuse reports, review outcomes and appeals.</w:t>
            </w:r>
          </w:p>
        </w:tc>
      </w:tr>
      <w:tr>
        <w:tc>
          <w:tcPr>
            <w:tcW w:type="dxa" w:w="3168"/>
            <w:vAlign w:val="center"/>
          </w:tcPr>
          <w:p>
            <w:pPr>
              <w:spacing w:after="0"/>
            </w:pPr>
            <w:r/>
            <w:r>
              <w:rPr>
                <w:rFonts w:ascii="Aptos" w:hAnsi="Aptos"/>
                <w:b w:val="0"/>
                <w:sz w:val="16"/>
              </w:rPr>
              <w:t>audit_events</w:t>
            </w:r>
          </w:p>
        </w:tc>
        <w:tc>
          <w:tcPr>
            <w:tcW w:type="dxa" w:w="7200"/>
            <w:vAlign w:val="center"/>
          </w:tcPr>
          <w:p>
            <w:pPr>
              <w:spacing w:after="0"/>
            </w:pPr>
            <w:r/>
            <w:r>
              <w:rPr>
                <w:rFonts w:ascii="Aptos" w:hAnsi="Aptos"/>
                <w:b w:val="0"/>
                <w:sz w:val="16"/>
              </w:rPr>
              <w:t>Sensitive action, actor, target, timestamp, outcome and correlation ID.</w:t>
            </w:r>
          </w:p>
        </w:tc>
      </w:tr>
    </w:tbl>
    <w:p/>
    <w:p>
      <w:pPr>
        <w:pStyle w:val="Heading2"/>
      </w:pPr>
      <w:r>
        <w:t>6.1 Data integrity rules</w:t>
      </w:r>
    </w:p>
    <w:p>
      <w:pPr>
        <w:pStyle w:val="ListBullet"/>
        <w:spacing w:after="40"/>
      </w:pPr>
      <w:r>
        <w:t>Use immutable identifiers (UUID/ULID or equivalent) for external-facing records; do not expose sequential database IDs unnecessarily.</w:t>
      </w:r>
    </w:p>
    <w:p>
      <w:pPr>
        <w:pStyle w:val="ListBullet"/>
        <w:spacing w:after="40"/>
      </w:pPr>
      <w:r>
        <w:t>All core records must include created_at and updated_at; sensitive state changes should also record actor and reason.</w:t>
      </w:r>
    </w:p>
    <w:p>
      <w:pPr>
        <w:pStyle w:val="ListBullet"/>
        <w:spacing w:after="40"/>
      </w:pPr>
      <w:r>
        <w:t>Use foreign keys and database constraints for core relationships; use transactions for multi-record state changes.</w:t>
      </w:r>
    </w:p>
    <w:p>
      <w:pPr>
        <w:pStyle w:val="ListBullet"/>
        <w:spacing w:after="40"/>
      </w:pPr>
      <w:r>
        <w:t>Represent currency explicitly (initial product currency likely TZS; any additional currency requires explicit approval). Avoid floating-point types for money; use integer minor units or fixed-precision decimal with defined rounding.</w:t>
      </w:r>
    </w:p>
    <w:p>
      <w:pPr>
        <w:pStyle w:val="ListBullet"/>
        <w:spacing w:after="40"/>
      </w:pPr>
      <w:r>
        <w:t>Use soft deletion only where it is appropriate; financial and audit records require controlled correction/retention rather than silent deletion.</w:t>
      </w:r>
    </w:p>
    <w:p>
      <w:pPr>
        <w:pStyle w:val="ListBullet"/>
        <w:spacing w:after="40"/>
      </w:pPr>
      <w:r>
        <w:t>Store uploaded file metadata and private object-storage keys in the database; do not store large binary files directly in relational tables.</w:t>
      </w:r>
    </w:p>
    <w:p>
      <w:pPr>
        <w:pStyle w:val="ListBullet"/>
        <w:spacing w:after="40"/>
      </w:pPr>
      <w:r>
        <w:t>Store record provenance: user-entered, landlord-confirmed, provider-confirmed, moderator-verified or system-generated.</w:t>
      </w:r>
    </w:p>
    <w:p>
      <w:pPr>
        <w:pStyle w:val="ListBullet"/>
        <w:spacing w:after="40"/>
      </w:pPr>
      <w:r>
        <w:t>Use tenant/property/resource-scoped authorization, not only global role checks.</w:t>
      </w:r>
    </w:p>
    <w:p>
      <w:pPr>
        <w:pStyle w:val="Heading1"/>
      </w:pPr>
      <w:r>
        <w:t>7. System architecture</w:t>
      </w:r>
    </w:p>
    <w:p>
      <w:pPr>
        <w:pStyle w:val="Heading2"/>
      </w:pPr>
      <w:r>
        <w:t>7.1 Recommended logical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4A6E"/>
          </w:tcPr>
          <w:p>
            <w:pPr>
              <w:spacing w:after="0"/>
            </w:pPr>
            <w:r/>
            <w:r>
              <w:rPr>
                <w:rFonts w:ascii="Aptos" w:hAnsi="Aptos"/>
                <w:b/>
                <w:color w:val="FFFFFF"/>
                <w:sz w:val="17"/>
              </w:rPr>
              <w:t>Component</w:t>
            </w:r>
          </w:p>
        </w:tc>
        <w:tc>
          <w:tcPr>
            <w:tcW w:type="dxa" w:w="4464"/>
            <w:vAlign w:val="center"/>
            <w:shd w:fill="174A6E"/>
          </w:tcPr>
          <w:p>
            <w:pPr>
              <w:spacing w:after="0"/>
            </w:pPr>
            <w:r/>
            <w:r>
              <w:rPr>
                <w:rFonts w:ascii="Aptos" w:hAnsi="Aptos"/>
                <w:b/>
                <w:color w:val="FFFFFF"/>
                <w:sz w:val="17"/>
              </w:rPr>
              <w:t>Responsibilities</w:t>
            </w:r>
          </w:p>
        </w:tc>
        <w:tc>
          <w:tcPr>
            <w:tcW w:type="dxa" w:w="3600"/>
            <w:vAlign w:val="center"/>
            <w:shd w:fill="174A6E"/>
          </w:tcPr>
          <w:p>
            <w:pPr>
              <w:spacing w:after="0"/>
            </w:pPr>
            <w:r/>
            <w:r>
              <w:rPr>
                <w:rFonts w:ascii="Aptos" w:hAnsi="Aptos"/>
                <w:b/>
                <w:color w:val="FFFFFF"/>
                <w:sz w:val="17"/>
              </w:rPr>
              <w:t>Boundary</w:t>
            </w:r>
          </w:p>
        </w:tc>
      </w:tr>
      <w:tr>
        <w:tc>
          <w:tcPr>
            <w:tcW w:type="dxa" w:w="2304"/>
            <w:vAlign w:val="center"/>
          </w:tcPr>
          <w:p>
            <w:pPr>
              <w:spacing w:after="0"/>
            </w:pPr>
            <w:r/>
            <w:r>
              <w:rPr>
                <w:rFonts w:ascii="Aptos" w:hAnsi="Aptos"/>
                <w:b w:val="0"/>
                <w:sz w:val="16"/>
              </w:rPr>
              <w:t>Web client</w:t>
            </w:r>
          </w:p>
        </w:tc>
        <w:tc>
          <w:tcPr>
            <w:tcW w:type="dxa" w:w="4464"/>
            <w:vAlign w:val="center"/>
          </w:tcPr>
          <w:p>
            <w:pPr>
              <w:spacing w:after="0"/>
            </w:pPr>
            <w:r/>
            <w:r>
              <w:rPr>
                <w:rFonts w:ascii="Aptos" w:hAnsi="Aptos"/>
                <w:b w:val="0"/>
                <w:sz w:val="16"/>
              </w:rPr>
              <w:t>Responsive marketplace and role-specific workspaces.</w:t>
            </w:r>
          </w:p>
        </w:tc>
        <w:tc>
          <w:tcPr>
            <w:tcW w:type="dxa" w:w="3600"/>
            <w:vAlign w:val="center"/>
          </w:tcPr>
          <w:p>
            <w:pPr>
              <w:spacing w:after="0"/>
            </w:pPr>
            <w:r/>
            <w:r>
              <w:rPr>
                <w:rFonts w:ascii="Aptos" w:hAnsi="Aptos"/>
                <w:b w:val="0"/>
                <w:sz w:val="16"/>
              </w:rPr>
              <w:t>No secrets or authorization logic trusted solely to client.</w:t>
            </w:r>
          </w:p>
        </w:tc>
      </w:tr>
      <w:tr>
        <w:tc>
          <w:tcPr>
            <w:tcW w:type="dxa" w:w="2304"/>
            <w:vAlign w:val="center"/>
            <w:shd w:fill="F1F6F9"/>
          </w:tcPr>
          <w:p>
            <w:pPr>
              <w:spacing w:after="0"/>
            </w:pPr>
            <w:r/>
            <w:r>
              <w:rPr>
                <w:rFonts w:ascii="Aptos" w:hAnsi="Aptos"/>
                <w:b w:val="0"/>
                <w:sz w:val="16"/>
              </w:rPr>
              <w:t>Mobile clients</w:t>
            </w:r>
          </w:p>
        </w:tc>
        <w:tc>
          <w:tcPr>
            <w:tcW w:type="dxa" w:w="4464"/>
            <w:vAlign w:val="center"/>
            <w:shd w:fill="F1F6F9"/>
          </w:tcPr>
          <w:p>
            <w:pPr>
              <w:spacing w:after="0"/>
            </w:pPr>
            <w:r/>
            <w:r>
              <w:rPr>
                <w:rFonts w:ascii="Aptos" w:hAnsi="Aptos"/>
                <w:b w:val="0"/>
                <w:sz w:val="16"/>
              </w:rPr>
              <w:t>Android/iOS experience; push notifications, camera/document upload and location where consented.</w:t>
            </w:r>
          </w:p>
        </w:tc>
        <w:tc>
          <w:tcPr>
            <w:tcW w:type="dxa" w:w="3600"/>
            <w:vAlign w:val="center"/>
            <w:shd w:fill="F1F6F9"/>
          </w:tcPr>
          <w:p>
            <w:pPr>
              <w:spacing w:after="0"/>
            </w:pPr>
            <w:r/>
            <w:r>
              <w:rPr>
                <w:rFonts w:ascii="Aptos" w:hAnsi="Aptos"/>
                <w:b w:val="0"/>
                <w:sz w:val="16"/>
              </w:rPr>
              <w:t>Use same public API contracts and authorization policies.</w:t>
            </w:r>
          </w:p>
        </w:tc>
      </w:tr>
      <w:tr>
        <w:tc>
          <w:tcPr>
            <w:tcW w:type="dxa" w:w="2304"/>
            <w:vAlign w:val="center"/>
          </w:tcPr>
          <w:p>
            <w:pPr>
              <w:spacing w:after="0"/>
            </w:pPr>
            <w:r/>
            <w:r>
              <w:rPr>
                <w:rFonts w:ascii="Aptos" w:hAnsi="Aptos"/>
                <w:b w:val="0"/>
                <w:sz w:val="16"/>
              </w:rPr>
              <w:t>Laravel Core API</w:t>
            </w:r>
          </w:p>
        </w:tc>
        <w:tc>
          <w:tcPr>
            <w:tcW w:type="dxa" w:w="4464"/>
            <w:vAlign w:val="center"/>
          </w:tcPr>
          <w:p>
            <w:pPr>
              <w:spacing w:after="0"/>
            </w:pPr>
            <w:r/>
            <w:r>
              <w:rPr>
                <w:rFonts w:ascii="Aptos" w:hAnsi="Aptos"/>
                <w:b w:val="0"/>
                <w:sz w:val="16"/>
              </w:rPr>
              <w:t>Identity, capabilities, properties, listings, applications, tenancies, rent ledger, maintenance, savings goals, Rental Passport, provider matching and admin workflows.</w:t>
            </w:r>
          </w:p>
        </w:tc>
        <w:tc>
          <w:tcPr>
            <w:tcW w:type="dxa" w:w="3600"/>
            <w:vAlign w:val="center"/>
          </w:tcPr>
          <w:p>
            <w:pPr>
              <w:spacing w:after="0"/>
            </w:pPr>
            <w:r/>
            <w:r>
              <w:rPr>
                <w:rFonts w:ascii="Aptos" w:hAnsi="Aptos"/>
                <w:b w:val="0"/>
                <w:sz w:val="16"/>
              </w:rPr>
              <w:t>System of record for core business entities.</w:t>
            </w:r>
          </w:p>
        </w:tc>
      </w:tr>
      <w:tr>
        <w:tc>
          <w:tcPr>
            <w:tcW w:type="dxa" w:w="2304"/>
            <w:vAlign w:val="center"/>
            <w:shd w:fill="F1F6F9"/>
          </w:tcPr>
          <w:p>
            <w:pPr>
              <w:spacing w:after="0"/>
            </w:pPr>
            <w:r/>
            <w:r>
              <w:rPr>
                <w:rFonts w:ascii="Aptos" w:hAnsi="Aptos"/>
                <w:b w:val="0"/>
                <w:sz w:val="16"/>
              </w:rPr>
              <w:t>PostgreSQL</w:t>
            </w:r>
          </w:p>
        </w:tc>
        <w:tc>
          <w:tcPr>
            <w:tcW w:type="dxa" w:w="4464"/>
            <w:vAlign w:val="center"/>
            <w:shd w:fill="F1F6F9"/>
          </w:tcPr>
          <w:p>
            <w:pPr>
              <w:spacing w:after="0"/>
            </w:pPr>
            <w:r/>
            <w:r>
              <w:rPr>
                <w:rFonts w:ascii="Aptos" w:hAnsi="Aptos"/>
                <w:b w:val="0"/>
                <w:sz w:val="16"/>
              </w:rPr>
              <w:t>Transactional source of truth, relationships, constraints and audit data.</w:t>
            </w:r>
          </w:p>
        </w:tc>
        <w:tc>
          <w:tcPr>
            <w:tcW w:type="dxa" w:w="3600"/>
            <w:vAlign w:val="center"/>
            <w:shd w:fill="F1F6F9"/>
          </w:tcPr>
          <w:p>
            <w:pPr>
              <w:spacing w:after="0"/>
            </w:pPr>
            <w:r/>
            <w:r>
              <w:rPr>
                <w:rFonts w:ascii="Aptos" w:hAnsi="Aptos"/>
                <w:b w:val="0"/>
                <w:sz w:val="16"/>
              </w:rPr>
              <w:t>Backups, migrations, indexes and least-privilege DB roles required.</w:t>
            </w:r>
          </w:p>
        </w:tc>
      </w:tr>
      <w:tr>
        <w:tc>
          <w:tcPr>
            <w:tcW w:type="dxa" w:w="2304"/>
            <w:vAlign w:val="center"/>
          </w:tcPr>
          <w:p>
            <w:pPr>
              <w:spacing w:after="0"/>
            </w:pPr>
            <w:r/>
            <w:r>
              <w:rPr>
                <w:rFonts w:ascii="Aptos" w:hAnsi="Aptos"/>
                <w:b w:val="0"/>
                <w:sz w:val="16"/>
              </w:rPr>
              <w:t>Redis</w:t>
            </w:r>
          </w:p>
        </w:tc>
        <w:tc>
          <w:tcPr>
            <w:tcW w:type="dxa" w:w="4464"/>
            <w:vAlign w:val="center"/>
          </w:tcPr>
          <w:p>
            <w:pPr>
              <w:spacing w:after="0"/>
            </w:pPr>
            <w:r/>
            <w:r>
              <w:rPr>
                <w:rFonts w:ascii="Aptos" w:hAnsi="Aptos"/>
                <w:b w:val="0"/>
                <w:sz w:val="16"/>
              </w:rPr>
              <w:t>Cache, rate limits, queues coordination, short-lived state and pub/sub where appropriate.</w:t>
            </w:r>
          </w:p>
        </w:tc>
        <w:tc>
          <w:tcPr>
            <w:tcW w:type="dxa" w:w="3600"/>
            <w:vAlign w:val="center"/>
          </w:tcPr>
          <w:p>
            <w:pPr>
              <w:spacing w:after="0"/>
            </w:pPr>
            <w:r/>
            <w:r>
              <w:rPr>
                <w:rFonts w:ascii="Aptos" w:hAnsi="Aptos"/>
                <w:b w:val="0"/>
                <w:sz w:val="16"/>
              </w:rPr>
              <w:t>Not the sole source of truth for durable business records.</w:t>
            </w:r>
          </w:p>
        </w:tc>
      </w:tr>
      <w:tr>
        <w:tc>
          <w:tcPr>
            <w:tcW w:type="dxa" w:w="2304"/>
            <w:vAlign w:val="center"/>
            <w:shd w:fill="F1F6F9"/>
          </w:tcPr>
          <w:p>
            <w:pPr>
              <w:spacing w:after="0"/>
            </w:pPr>
            <w:r/>
            <w:r>
              <w:rPr>
                <w:rFonts w:ascii="Aptos" w:hAnsi="Aptos"/>
                <w:b w:val="0"/>
                <w:sz w:val="16"/>
              </w:rPr>
              <w:t>Elixir/Phoenix chat service</w:t>
            </w:r>
          </w:p>
        </w:tc>
        <w:tc>
          <w:tcPr>
            <w:tcW w:type="dxa" w:w="4464"/>
            <w:vAlign w:val="center"/>
            <w:shd w:fill="F1F6F9"/>
          </w:tcPr>
          <w:p>
            <w:pPr>
              <w:spacing w:after="0"/>
            </w:pPr>
            <w:r/>
            <w:r>
              <w:rPr>
                <w:rFonts w:ascii="Aptos" w:hAnsi="Aptos"/>
                <w:b w:val="0"/>
                <w:sz w:val="16"/>
              </w:rPr>
              <w:t>Realtime chat delivery, presence, typing, unread coordination and optional WebRTC signaling.</w:t>
            </w:r>
          </w:p>
        </w:tc>
        <w:tc>
          <w:tcPr>
            <w:tcW w:type="dxa" w:w="3600"/>
            <w:vAlign w:val="center"/>
            <w:shd w:fill="F1F6F9"/>
          </w:tcPr>
          <w:p>
            <w:pPr>
              <w:spacing w:after="0"/>
            </w:pPr>
            <w:r/>
            <w:r>
              <w:rPr>
                <w:rFonts w:ascii="Aptos" w:hAnsi="Aptos"/>
                <w:b w:val="0"/>
                <w:sz w:val="16"/>
              </w:rPr>
              <w:t>Must validate identity/token and conversation membership; core API remains owner of account/property business rules.</w:t>
            </w:r>
          </w:p>
        </w:tc>
      </w:tr>
      <w:tr>
        <w:tc>
          <w:tcPr>
            <w:tcW w:type="dxa" w:w="2304"/>
            <w:vAlign w:val="center"/>
          </w:tcPr>
          <w:p>
            <w:pPr>
              <w:spacing w:after="0"/>
            </w:pPr>
            <w:r/>
            <w:r>
              <w:rPr>
                <w:rFonts w:ascii="Aptos" w:hAnsi="Aptos"/>
                <w:b w:val="0"/>
                <w:sz w:val="16"/>
              </w:rPr>
              <w:t>Object storage</w:t>
            </w:r>
          </w:p>
        </w:tc>
        <w:tc>
          <w:tcPr>
            <w:tcW w:type="dxa" w:w="4464"/>
            <w:vAlign w:val="center"/>
          </w:tcPr>
          <w:p>
            <w:pPr>
              <w:spacing w:after="0"/>
            </w:pPr>
            <w:r/>
            <w:r>
              <w:rPr>
                <w:rFonts w:ascii="Aptos" w:hAnsi="Aptos"/>
                <w:b w:val="0"/>
                <w:sz w:val="16"/>
              </w:rPr>
              <w:t>Listing media, leases, evidence, private documents and reports.</w:t>
            </w:r>
          </w:p>
        </w:tc>
        <w:tc>
          <w:tcPr>
            <w:tcW w:type="dxa" w:w="3600"/>
            <w:vAlign w:val="center"/>
          </w:tcPr>
          <w:p>
            <w:pPr>
              <w:spacing w:after="0"/>
            </w:pPr>
            <w:r/>
            <w:r>
              <w:rPr>
                <w:rFonts w:ascii="Aptos" w:hAnsi="Aptos"/>
                <w:b w:val="0"/>
                <w:sz w:val="16"/>
              </w:rPr>
              <w:t>Private by default; signed short-lived access URLs; scanning and retention controls.</w:t>
            </w:r>
          </w:p>
        </w:tc>
      </w:tr>
      <w:tr>
        <w:tc>
          <w:tcPr>
            <w:tcW w:type="dxa" w:w="2304"/>
            <w:vAlign w:val="center"/>
            <w:shd w:fill="F1F6F9"/>
          </w:tcPr>
          <w:p>
            <w:pPr>
              <w:spacing w:after="0"/>
            </w:pPr>
            <w:r/>
            <w:r>
              <w:rPr>
                <w:rFonts w:ascii="Aptos" w:hAnsi="Aptos"/>
                <w:b w:val="0"/>
                <w:sz w:val="16"/>
              </w:rPr>
              <w:t>Queue/worker processes</w:t>
            </w:r>
          </w:p>
        </w:tc>
        <w:tc>
          <w:tcPr>
            <w:tcW w:type="dxa" w:w="4464"/>
            <w:vAlign w:val="center"/>
            <w:shd w:fill="F1F6F9"/>
          </w:tcPr>
          <w:p>
            <w:pPr>
              <w:spacing w:after="0"/>
            </w:pPr>
            <w:r/>
            <w:r>
              <w:rPr>
                <w:rFonts w:ascii="Aptos" w:hAnsi="Aptos"/>
                <w:b w:val="0"/>
                <w:sz w:val="16"/>
              </w:rPr>
              <w:t>Notifications, image processing, reports, provider callbacks and retries.</w:t>
            </w:r>
          </w:p>
        </w:tc>
        <w:tc>
          <w:tcPr>
            <w:tcW w:type="dxa" w:w="3600"/>
            <w:vAlign w:val="center"/>
            <w:shd w:fill="F1F6F9"/>
          </w:tcPr>
          <w:p>
            <w:pPr>
              <w:spacing w:after="0"/>
            </w:pPr>
            <w:r/>
            <w:r>
              <w:rPr>
                <w:rFonts w:ascii="Aptos" w:hAnsi="Aptos"/>
                <w:b w:val="0"/>
                <w:sz w:val="16"/>
              </w:rPr>
              <w:t>Idempotent jobs, bounded retries and dead-letter handling.</w:t>
            </w:r>
          </w:p>
        </w:tc>
      </w:tr>
      <w:tr>
        <w:tc>
          <w:tcPr>
            <w:tcW w:type="dxa" w:w="2304"/>
            <w:vAlign w:val="center"/>
          </w:tcPr>
          <w:p>
            <w:pPr>
              <w:spacing w:after="0"/>
            </w:pPr>
            <w:r/>
            <w:r>
              <w:rPr>
                <w:rFonts w:ascii="Aptos" w:hAnsi="Aptos"/>
                <w:b w:val="0"/>
                <w:sz w:val="16"/>
              </w:rPr>
              <w:t>External providers</w:t>
            </w:r>
          </w:p>
        </w:tc>
        <w:tc>
          <w:tcPr>
            <w:tcW w:type="dxa" w:w="4464"/>
            <w:vAlign w:val="center"/>
          </w:tcPr>
          <w:p>
            <w:pPr>
              <w:spacing w:after="0"/>
            </w:pPr>
            <w:r/>
            <w:r>
              <w:rPr>
                <w:rFonts w:ascii="Aptos" w:hAnsi="Aptos"/>
                <w:b w:val="0"/>
                <w:sz w:val="16"/>
              </w:rPr>
              <w:t>OTP/SMS/email, payment processing, maps/geocoding, push, identity/verification and eligible financing partners.</w:t>
            </w:r>
          </w:p>
        </w:tc>
        <w:tc>
          <w:tcPr>
            <w:tcW w:type="dxa" w:w="3600"/>
            <w:vAlign w:val="center"/>
          </w:tcPr>
          <w:p>
            <w:pPr>
              <w:spacing w:after="0"/>
            </w:pPr>
            <w:r/>
            <w:r>
              <w:rPr>
                <w:rFonts w:ascii="Aptos" w:hAnsi="Aptos"/>
                <w:b w:val="0"/>
                <w:sz w:val="16"/>
              </w:rPr>
              <w:t>Adapter interfaces, secrets management, webhook validation and provider failure handling.</w:t>
            </w:r>
          </w:p>
        </w:tc>
      </w:tr>
    </w:tbl>
    <w:p/>
    <w:p>
      <w:pPr>
        <w:pStyle w:val="Heading2"/>
      </w:pPr>
      <w:r>
        <w:t>7.2 Service ownership</w:t>
      </w:r>
    </w:p>
    <w:p>
      <w:pPr>
        <w:pStyle w:val="ListBullet"/>
        <w:spacing w:after="40"/>
      </w:pPr>
      <w:r>
        <w:t>Laravel owns the authoritative user, capability, organization, property, listing, application, tenancy, rent, maintenance, savings, Rental Passport and Finance Connect records.</w:t>
      </w:r>
    </w:p>
    <w:p>
      <w:pPr>
        <w:pStyle w:val="ListBullet"/>
        <w:spacing w:after="40"/>
      </w:pPr>
      <w:r>
        <w:t>Phoenix owns realtime delivery behavior and chat-specific transient state. Durable messages must have a defined persistence and recovery strategy.</w:t>
      </w:r>
    </w:p>
    <w:p>
      <w:pPr>
        <w:pStyle w:val="ListBullet"/>
        <w:spacing w:after="40"/>
      </w:pPr>
      <w:r>
        <w:t>PostgreSQL is the authoritative store for transactional business records. Redis is a performance/coordination layer, not the only copy of important data.</w:t>
      </w:r>
    </w:p>
    <w:p>
      <w:pPr>
        <w:pStyle w:val="ListBullet"/>
        <w:spacing w:after="40"/>
      </w:pPr>
      <w:r>
        <w:t>Services communicate through authenticated APIs and signed/validated events. Avoid direct cross-service writes into another service's tables.</w:t>
      </w:r>
    </w:p>
    <w:p>
      <w:pPr>
        <w:pStyle w:val="ListBullet"/>
        <w:spacing w:after="40"/>
      </w:pPr>
      <w:r>
        <w:t>Define API contracts and event schemas before splitting more services. Begin with a modular Laravel core rather than creating many microservices prematurely.</w:t>
      </w:r>
    </w:p>
    <w:p>
      <w:pPr>
        <w:pStyle w:val="Heading1"/>
      </w:pPr>
      <w:r>
        <w:t>8. API and integration requirements</w:t>
      </w:r>
    </w:p>
    <w:p>
      <w:pPr>
        <w:ind w:left="173"/>
      </w:pPr>
      <w:r>
        <w:rPr>
          <w:b/>
          <w:color w:val="2778A5"/>
        </w:rPr>
        <w:t xml:space="preserve">API-001 [Must] </w:t>
      </w:r>
      <w:r>
        <w:t>All APIs shall be versioned and documented with OpenAPI or an equivalent contract.</w:t>
      </w:r>
    </w:p>
    <w:p>
      <w:pPr>
        <w:ind w:left="173"/>
      </w:pPr>
      <w:r>
        <w:rPr>
          <w:b/>
          <w:color w:val="2778A5"/>
        </w:rPr>
        <w:t xml:space="preserve">API-002 [Must] </w:t>
      </w:r>
      <w:r>
        <w:t>APIs shall use consistent validation, pagination, filtering, error formats, request IDs and timestamps.</w:t>
      </w:r>
    </w:p>
    <w:p>
      <w:pPr>
        <w:ind w:left="173"/>
      </w:pPr>
      <w:r>
        <w:rPr>
          <w:b/>
          <w:color w:val="2778A5"/>
        </w:rPr>
        <w:t xml:space="preserve">API-003 [Must] </w:t>
      </w:r>
      <w:r>
        <w:t>Protected endpoints shall enforce authentication, capability permissions and resource ownership/assignment.</w:t>
      </w:r>
    </w:p>
    <w:p>
      <w:pPr>
        <w:ind w:left="173"/>
      </w:pPr>
      <w:r>
        <w:rPr>
          <w:b/>
          <w:color w:val="2778A5"/>
        </w:rPr>
        <w:t xml:space="preserve">API-004 [Must] </w:t>
      </w:r>
      <w:r>
        <w:t>Mutating endpoints vulnerable to retries shall support idempotency keys or equivalent duplicate protection.</w:t>
      </w:r>
    </w:p>
    <w:p>
      <w:pPr>
        <w:ind w:left="173"/>
      </w:pPr>
      <w:r>
        <w:rPr>
          <w:b/>
          <w:color w:val="2778A5"/>
        </w:rPr>
        <w:t xml:space="preserve">API-005 [Must] </w:t>
      </w:r>
      <w:r>
        <w:t>Webhook handlers shall verify signatures, timestamps where supported, replay protection and provider event identifiers.</w:t>
      </w:r>
    </w:p>
    <w:p>
      <w:pPr>
        <w:ind w:left="173"/>
      </w:pPr>
      <w:r>
        <w:rPr>
          <w:b/>
          <w:color w:val="2778A5"/>
        </w:rPr>
        <w:t xml:space="preserve">API-006 [Must] </w:t>
      </w:r>
      <w:r>
        <w:t>External provider calls shall use timeouts, retries with backoff, circuit-breaking where appropriate and operational alerting.</w:t>
      </w:r>
    </w:p>
    <w:p>
      <w:pPr>
        <w:ind w:left="173"/>
      </w:pPr>
      <w:r>
        <w:rPr>
          <w:b/>
          <w:color w:val="2778A5"/>
        </w:rPr>
        <w:t xml:space="preserve">API-007 [Must] </w:t>
      </w:r>
      <w:r>
        <w:t>Secrets shall be stored in environment/secret management systems, not source control or client bundles.</w:t>
      </w:r>
    </w:p>
    <w:p>
      <w:pPr>
        <w:ind w:left="173"/>
      </w:pPr>
      <w:r>
        <w:rPr>
          <w:b/>
          <w:color w:val="2778A5"/>
        </w:rPr>
        <w:t xml:space="preserve">API-008 [Must] </w:t>
      </w:r>
      <w:r>
        <w:t>Map integration shall support approximate/public location and avoid exposing exact private addresses before the relevant workflow permits it.</w:t>
      </w:r>
    </w:p>
    <w:p>
      <w:pPr>
        <w:ind w:left="173"/>
      </w:pPr>
      <w:r>
        <w:rPr>
          <w:b/>
          <w:color w:val="2778A5"/>
        </w:rPr>
        <w:t xml:space="preserve">API-009 [Must] </w:t>
      </w:r>
      <w:r>
        <w:t>Payment integrations shall reconcile provider events against internal transaction records and support manual exception resolution.</w:t>
      </w:r>
    </w:p>
    <w:p>
      <w:pPr>
        <w:ind w:left="173"/>
      </w:pPr>
      <w:r>
        <w:rPr>
          <w:b/>
          <w:color w:val="2778A5"/>
        </w:rPr>
        <w:t xml:space="preserve">API-010 [Must] </w:t>
      </w:r>
      <w:r>
        <w:t>OTP, SMS, email, push, object storage, identity checks and financing providers shall be implemented behind replaceable adapters where feasible.</w:t>
      </w:r>
    </w:p>
    <w:p>
      <w:pPr>
        <w:pStyle w:val="Heading1"/>
      </w:pPr>
      <w:r>
        <w:t>9. Security, privacy and compliance</w:t>
      </w:r>
    </w:p>
    <w:p>
      <w:pPr>
        <w:ind w:left="173"/>
      </w:pPr>
      <w:r>
        <w:rPr>
          <w:b/>
          <w:color w:val="2778A5"/>
        </w:rPr>
        <w:t xml:space="preserve">SEC-001 [Must] </w:t>
      </w:r>
      <w:r>
        <w:t>Use TLS for all network traffic and encrypt sensitive data at rest where supported by the selected infrastructure.</w:t>
      </w:r>
    </w:p>
    <w:p>
      <w:pPr>
        <w:ind w:left="173"/>
      </w:pPr>
      <w:r>
        <w:rPr>
          <w:b/>
          <w:color w:val="2778A5"/>
        </w:rPr>
        <w:t xml:space="preserve">SEC-002 [Must] </w:t>
      </w:r>
      <w:r>
        <w:t>Use least privilege for staff, services, database users, storage and third-party integrations.</w:t>
      </w:r>
    </w:p>
    <w:p>
      <w:pPr>
        <w:ind w:left="173"/>
      </w:pPr>
      <w:r>
        <w:rPr>
          <w:b/>
          <w:color w:val="2778A5"/>
        </w:rPr>
        <w:t xml:space="preserve">SEC-003 [Must] </w:t>
      </w:r>
      <w:r>
        <w:t>Apply server-side authorization on every request and verify ownership, organization membership and resource assignment.</w:t>
      </w:r>
    </w:p>
    <w:p>
      <w:pPr>
        <w:ind w:left="173"/>
      </w:pPr>
      <w:r>
        <w:rPr>
          <w:b/>
          <w:color w:val="2778A5"/>
        </w:rPr>
        <w:t xml:space="preserve">SEC-004 [Must] </w:t>
      </w:r>
      <w:r>
        <w:t>Protect against common web/API risks including injection, XSS, CSRF where relevant, broken object-level authorization, brute force and file-upload abuse.</w:t>
      </w:r>
    </w:p>
    <w:p>
      <w:pPr>
        <w:ind w:left="173"/>
      </w:pPr>
      <w:r>
        <w:rPr>
          <w:b/>
          <w:color w:val="2778A5"/>
        </w:rPr>
        <w:t xml:space="preserve">SEC-005 [Must] </w:t>
      </w:r>
      <w:r>
        <w:t>Use secure password/token/session storage, secret rotation, OTP throttling and session revocation.</w:t>
      </w:r>
    </w:p>
    <w:p>
      <w:pPr>
        <w:ind w:left="173"/>
      </w:pPr>
      <w:r>
        <w:rPr>
          <w:b/>
          <w:color w:val="2778A5"/>
        </w:rPr>
        <w:t xml:space="preserve">SEC-006 [Must] </w:t>
      </w:r>
      <w:r>
        <w:t>Log sensitive administrative actions and data-sharing events, but do not put OTPs, tokens, full identity documents or unnecessary personal data in logs.</w:t>
      </w:r>
    </w:p>
    <w:p>
      <w:pPr>
        <w:ind w:left="173"/>
      </w:pPr>
      <w:r>
        <w:rPr>
          <w:b/>
          <w:color w:val="2778A5"/>
        </w:rPr>
        <w:t xml:space="preserve">SEC-007 [Must] </w:t>
      </w:r>
      <w:r>
        <w:t>Set documented data-retention periods for identity documents, leases, chat, payment records, Rental Passport records and provider application data.</w:t>
      </w:r>
    </w:p>
    <w:p>
      <w:pPr>
        <w:ind w:left="173"/>
      </w:pPr>
      <w:r>
        <w:rPr>
          <w:b/>
          <w:color w:val="2778A5"/>
        </w:rPr>
        <w:t xml:space="preserve">SEC-008 [Must] </w:t>
      </w:r>
      <w:r>
        <w:t>Obtain explicit, purpose-specific consent where required for screening, data sharing, optional integrations and Finance Connect disclosures.</w:t>
      </w:r>
    </w:p>
    <w:p>
      <w:pPr>
        <w:ind w:left="173"/>
      </w:pPr>
      <w:r>
        <w:rPr>
          <w:b/>
          <w:color w:val="2778A5"/>
        </w:rPr>
        <w:t xml:space="preserve">SEC-009 [Must] </w:t>
      </w:r>
      <w:r>
        <w:t>Provide mechanisms for users to access, correct, dispute and where applicable delete personal data, subject to applicable retention duties.</w:t>
      </w:r>
    </w:p>
    <w:p>
      <w:pPr>
        <w:ind w:left="173"/>
      </w:pPr>
      <w:r>
        <w:rPr>
          <w:b/>
          <w:color w:val="2778A5"/>
        </w:rPr>
        <w:t xml:space="preserve">SEC-010 [Must] </w:t>
      </w:r>
      <w:r>
        <w:t>Provide a privacy notice explaining purposes, recipients, retention, user rights, complaints and cross-border processing where relevant.</w:t>
      </w:r>
    </w:p>
    <w:p>
      <w:pPr>
        <w:ind w:left="173"/>
      </w:pPr>
      <w:r>
        <w:rPr>
          <w:b/>
          <w:color w:val="2778A5"/>
        </w:rPr>
        <w:t xml:space="preserve">SEC-011 [Must] </w:t>
      </w:r>
      <w:r>
        <w:t>Conduct legal/privacy review before enabling tenant screening, financing referrals, payment custody, savings transfers, investment offers or public exposure of housing records.</w:t>
      </w:r>
    </w:p>
    <w:p>
      <w:pPr>
        <w:ind w:left="173"/>
      </w:pPr>
      <w:r>
        <w:rPr>
          <w:b/>
          <w:color w:val="2778A5"/>
        </w:rPr>
        <w:t xml:space="preserve">SEC-012 [Must] </w:t>
      </w:r>
      <w:r>
        <w:t>Separate private Rental Passport notes from verified records and never share the full passport by default.</w:t>
      </w:r>
    </w:p>
    <w:p>
      <w:pPr>
        <w:ind w:left="173"/>
      </w:pPr>
      <w:r>
        <w:rPr>
          <w:b/>
          <w:color w:val="2778A5"/>
        </w:rPr>
        <w:t xml:space="preserve">SEC-013 [Must] </w:t>
      </w:r>
      <w:r>
        <w:t>Use audit logs and monitoring for staff access to private documents and high-risk account actions.</w:t>
      </w:r>
    </w:p>
    <w:p>
      <w:pPr>
        <w:ind w:left="173"/>
      </w:pPr>
      <w:r>
        <w:rPr>
          <w:b/>
          <w:color w:val="2778A5"/>
        </w:rPr>
        <w:t xml:space="preserve">SEC-014 [Must] </w:t>
      </w:r>
      <w:r>
        <w:t>Implement backups, restore tests, incident response, vulnerability management and dependency updates.</w:t>
      </w:r>
    </w:p>
    <w:p>
      <w:r>
        <w:t>Tanzania legal/compliance note: the Bank of Tanzania publishes the Microfinance Act 2018 and related microfinance regulations, and the Attorney General's Office publishes the Act and its revised version. The intended platform model is partner-mediated matching, but the actual activities performed (including referrals, fees, handling documents, payment flows or investment features) must be reviewed by qualified Tanzanian counsel and the relevant regulator before launch. A disclaimer alone cannot remove duties imposed by law. Sources: https://oagmis.oag.go.tz/portal/acts/57 and https://www.bot.go.tz/BankSupervision/Regulations?lang=en</w:t>
      </w:r>
    </w:p>
    <w:p>
      <w:pPr>
        <w:pStyle w:val="Heading1"/>
      </w:pPr>
      <w:r>
        <w:t>10.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1296"/>
            <w:vAlign w:val="center"/>
            <w:shd w:fill="174A6E"/>
          </w:tcPr>
          <w:p>
            <w:pPr>
              <w:spacing w:after="0"/>
            </w:pPr>
            <w:r/>
            <w:r>
              <w:rPr>
                <w:rFonts w:ascii="Aptos" w:hAnsi="Aptos"/>
                <w:b/>
                <w:color w:val="FFFFFF"/>
                <w:sz w:val="17"/>
              </w:rPr>
              <w:t>ID</w:t>
            </w:r>
          </w:p>
        </w:tc>
        <w:tc>
          <w:tcPr>
            <w:tcW w:type="dxa" w:w="2160"/>
            <w:vAlign w:val="center"/>
            <w:shd w:fill="174A6E"/>
          </w:tcPr>
          <w:p>
            <w:pPr>
              <w:spacing w:after="0"/>
            </w:pPr>
            <w:r/>
            <w:r>
              <w:rPr>
                <w:rFonts w:ascii="Aptos" w:hAnsi="Aptos"/>
                <w:b/>
                <w:color w:val="FFFFFF"/>
                <w:sz w:val="17"/>
              </w:rPr>
              <w:t>Requirement</w:t>
            </w:r>
          </w:p>
        </w:tc>
        <w:tc>
          <w:tcPr>
            <w:tcW w:type="dxa" w:w="6912"/>
            <w:vAlign w:val="center"/>
            <w:shd w:fill="174A6E"/>
          </w:tcPr>
          <w:p>
            <w:pPr>
              <w:spacing w:after="0"/>
            </w:pPr>
            <w:r/>
            <w:r>
              <w:rPr>
                <w:rFonts w:ascii="Aptos" w:hAnsi="Aptos"/>
                <w:b/>
                <w:color w:val="FFFFFF"/>
                <w:sz w:val="17"/>
              </w:rPr>
              <w:t>Target / verification</w:t>
            </w:r>
          </w:p>
        </w:tc>
      </w:tr>
      <w:tr>
        <w:tc>
          <w:tcPr>
            <w:tcW w:type="dxa" w:w="1296"/>
            <w:vAlign w:val="center"/>
          </w:tcPr>
          <w:p>
            <w:pPr>
              <w:spacing w:after="0"/>
            </w:pPr>
            <w:r/>
            <w:r>
              <w:rPr>
                <w:rFonts w:ascii="Aptos" w:hAnsi="Aptos"/>
                <w:b w:val="0"/>
                <w:sz w:val="16"/>
              </w:rPr>
              <w:t>NFR-001</w:t>
            </w:r>
          </w:p>
        </w:tc>
        <w:tc>
          <w:tcPr>
            <w:tcW w:type="dxa" w:w="2160"/>
            <w:vAlign w:val="center"/>
          </w:tcPr>
          <w:p>
            <w:pPr>
              <w:spacing w:after="0"/>
            </w:pPr>
            <w:r/>
            <w:r>
              <w:rPr>
                <w:rFonts w:ascii="Aptos" w:hAnsi="Aptos"/>
                <w:b w:val="0"/>
                <w:sz w:val="16"/>
              </w:rPr>
              <w:t>Performance</w:t>
            </w:r>
          </w:p>
        </w:tc>
        <w:tc>
          <w:tcPr>
            <w:tcW w:type="dxa" w:w="6912"/>
            <w:vAlign w:val="center"/>
          </w:tcPr>
          <w:p>
            <w:pPr>
              <w:spacing w:after="0"/>
            </w:pPr>
            <w:r/>
            <w:r>
              <w:rPr>
                <w:rFonts w:ascii="Aptos" w:hAnsi="Aptos"/>
                <w:b w:val="0"/>
                <w:sz w:val="16"/>
              </w:rPr>
              <w:t>Common listing/search pages should render useful results quickly; target &lt;2 seconds for 90% of normal page loads under the agreed test profile.</w:t>
            </w:r>
          </w:p>
        </w:tc>
      </w:tr>
      <w:tr>
        <w:tc>
          <w:tcPr>
            <w:tcW w:type="dxa" w:w="1296"/>
            <w:vAlign w:val="center"/>
            <w:shd w:fill="F1F6F9"/>
          </w:tcPr>
          <w:p>
            <w:pPr>
              <w:spacing w:after="0"/>
            </w:pPr>
            <w:r/>
            <w:r>
              <w:rPr>
                <w:rFonts w:ascii="Aptos" w:hAnsi="Aptos"/>
                <w:b w:val="0"/>
                <w:sz w:val="16"/>
              </w:rPr>
              <w:t>NFR-002</w:t>
            </w:r>
          </w:p>
        </w:tc>
        <w:tc>
          <w:tcPr>
            <w:tcW w:type="dxa" w:w="2160"/>
            <w:vAlign w:val="center"/>
            <w:shd w:fill="F1F6F9"/>
          </w:tcPr>
          <w:p>
            <w:pPr>
              <w:spacing w:after="0"/>
            </w:pPr>
            <w:r/>
            <w:r>
              <w:rPr>
                <w:rFonts w:ascii="Aptos" w:hAnsi="Aptos"/>
                <w:b w:val="0"/>
                <w:sz w:val="16"/>
              </w:rPr>
              <w:t>Availability</w:t>
            </w:r>
          </w:p>
        </w:tc>
        <w:tc>
          <w:tcPr>
            <w:tcW w:type="dxa" w:w="6912"/>
            <w:vAlign w:val="center"/>
            <w:shd w:fill="F1F6F9"/>
          </w:tcPr>
          <w:p>
            <w:pPr>
              <w:spacing w:after="0"/>
            </w:pPr>
            <w:r/>
            <w:r>
              <w:rPr>
                <w:rFonts w:ascii="Aptos" w:hAnsi="Aptos"/>
                <w:b w:val="0"/>
                <w:sz w:val="16"/>
              </w:rPr>
              <w:t>Target 99.9% monthly availability for production core services after launch readiness and infrastructure budget are approved.</w:t>
            </w:r>
          </w:p>
        </w:tc>
      </w:tr>
      <w:tr>
        <w:tc>
          <w:tcPr>
            <w:tcW w:type="dxa" w:w="1296"/>
            <w:vAlign w:val="center"/>
          </w:tcPr>
          <w:p>
            <w:pPr>
              <w:spacing w:after="0"/>
            </w:pPr>
            <w:r/>
            <w:r>
              <w:rPr>
                <w:rFonts w:ascii="Aptos" w:hAnsi="Aptos"/>
                <w:b w:val="0"/>
                <w:sz w:val="16"/>
              </w:rPr>
              <w:t>NFR-003</w:t>
            </w:r>
          </w:p>
        </w:tc>
        <w:tc>
          <w:tcPr>
            <w:tcW w:type="dxa" w:w="2160"/>
            <w:vAlign w:val="center"/>
          </w:tcPr>
          <w:p>
            <w:pPr>
              <w:spacing w:after="0"/>
            </w:pPr>
            <w:r/>
            <w:r>
              <w:rPr>
                <w:rFonts w:ascii="Aptos" w:hAnsi="Aptos"/>
                <w:b w:val="0"/>
                <w:sz w:val="16"/>
              </w:rPr>
              <w:t>Scalability</w:t>
            </w:r>
          </w:p>
        </w:tc>
        <w:tc>
          <w:tcPr>
            <w:tcW w:type="dxa" w:w="6912"/>
            <w:vAlign w:val="center"/>
          </w:tcPr>
          <w:p>
            <w:pPr>
              <w:spacing w:after="0"/>
            </w:pPr>
            <w:r/>
            <w:r>
              <w:rPr>
                <w:rFonts w:ascii="Aptos" w:hAnsi="Aptos"/>
                <w:b w:val="0"/>
                <w:sz w:val="16"/>
              </w:rPr>
              <w:t>Architecture shall support horizontal scaling of stateless API and workers; load test against agreed traffic and listing volumes.</w:t>
            </w:r>
          </w:p>
        </w:tc>
      </w:tr>
      <w:tr>
        <w:tc>
          <w:tcPr>
            <w:tcW w:type="dxa" w:w="1296"/>
            <w:vAlign w:val="center"/>
            <w:shd w:fill="F1F6F9"/>
          </w:tcPr>
          <w:p>
            <w:pPr>
              <w:spacing w:after="0"/>
            </w:pPr>
            <w:r/>
            <w:r>
              <w:rPr>
                <w:rFonts w:ascii="Aptos" w:hAnsi="Aptos"/>
                <w:b w:val="0"/>
                <w:sz w:val="16"/>
              </w:rPr>
              <w:t>NFR-004</w:t>
            </w:r>
          </w:p>
        </w:tc>
        <w:tc>
          <w:tcPr>
            <w:tcW w:type="dxa" w:w="2160"/>
            <w:vAlign w:val="center"/>
            <w:shd w:fill="F1F6F9"/>
          </w:tcPr>
          <w:p>
            <w:pPr>
              <w:spacing w:after="0"/>
            </w:pPr>
            <w:r/>
            <w:r>
              <w:rPr>
                <w:rFonts w:ascii="Aptos" w:hAnsi="Aptos"/>
                <w:b w:val="0"/>
                <w:sz w:val="16"/>
              </w:rPr>
              <w:t>Reliability</w:t>
            </w:r>
          </w:p>
        </w:tc>
        <w:tc>
          <w:tcPr>
            <w:tcW w:type="dxa" w:w="6912"/>
            <w:vAlign w:val="center"/>
            <w:shd w:fill="F1F6F9"/>
          </w:tcPr>
          <w:p>
            <w:pPr>
              <w:spacing w:after="0"/>
            </w:pPr>
            <w:r/>
            <w:r>
              <w:rPr>
                <w:rFonts w:ascii="Aptos" w:hAnsi="Aptos"/>
                <w:b w:val="0"/>
                <w:sz w:val="16"/>
              </w:rPr>
              <w:t>Critical writes must be transactional; background jobs must be retryable and idempotent.</w:t>
            </w:r>
          </w:p>
        </w:tc>
      </w:tr>
      <w:tr>
        <w:tc>
          <w:tcPr>
            <w:tcW w:type="dxa" w:w="1296"/>
            <w:vAlign w:val="center"/>
          </w:tcPr>
          <w:p>
            <w:pPr>
              <w:spacing w:after="0"/>
            </w:pPr>
            <w:r/>
            <w:r>
              <w:rPr>
                <w:rFonts w:ascii="Aptos" w:hAnsi="Aptos"/>
                <w:b w:val="0"/>
                <w:sz w:val="16"/>
              </w:rPr>
              <w:t>NFR-005</w:t>
            </w:r>
          </w:p>
        </w:tc>
        <w:tc>
          <w:tcPr>
            <w:tcW w:type="dxa" w:w="2160"/>
            <w:vAlign w:val="center"/>
          </w:tcPr>
          <w:p>
            <w:pPr>
              <w:spacing w:after="0"/>
            </w:pPr>
            <w:r/>
            <w:r>
              <w:rPr>
                <w:rFonts w:ascii="Aptos" w:hAnsi="Aptos"/>
                <w:b w:val="0"/>
                <w:sz w:val="16"/>
              </w:rPr>
              <w:t>Recovery</w:t>
            </w:r>
          </w:p>
        </w:tc>
        <w:tc>
          <w:tcPr>
            <w:tcW w:type="dxa" w:w="6912"/>
            <w:vAlign w:val="center"/>
          </w:tcPr>
          <w:p>
            <w:pPr>
              <w:spacing w:after="0"/>
            </w:pPr>
            <w:r/>
            <w:r>
              <w:rPr>
                <w:rFonts w:ascii="Aptos" w:hAnsi="Aptos"/>
                <w:b w:val="0"/>
                <w:sz w:val="16"/>
              </w:rPr>
              <w:t>Automated backups and documented restore drills; RPO/RTO targets to be agreed before production.</w:t>
            </w:r>
          </w:p>
        </w:tc>
      </w:tr>
      <w:tr>
        <w:tc>
          <w:tcPr>
            <w:tcW w:type="dxa" w:w="1296"/>
            <w:vAlign w:val="center"/>
            <w:shd w:fill="F1F6F9"/>
          </w:tcPr>
          <w:p>
            <w:pPr>
              <w:spacing w:after="0"/>
            </w:pPr>
            <w:r/>
            <w:r>
              <w:rPr>
                <w:rFonts w:ascii="Aptos" w:hAnsi="Aptos"/>
                <w:b w:val="0"/>
                <w:sz w:val="16"/>
              </w:rPr>
              <w:t>NFR-006</w:t>
            </w:r>
          </w:p>
        </w:tc>
        <w:tc>
          <w:tcPr>
            <w:tcW w:type="dxa" w:w="2160"/>
            <w:vAlign w:val="center"/>
            <w:shd w:fill="F1F6F9"/>
          </w:tcPr>
          <w:p>
            <w:pPr>
              <w:spacing w:after="0"/>
            </w:pPr>
            <w:r/>
            <w:r>
              <w:rPr>
                <w:rFonts w:ascii="Aptos" w:hAnsi="Aptos"/>
                <w:b w:val="0"/>
                <w:sz w:val="16"/>
              </w:rPr>
              <w:t>Accessibility</w:t>
            </w:r>
          </w:p>
        </w:tc>
        <w:tc>
          <w:tcPr>
            <w:tcW w:type="dxa" w:w="6912"/>
            <w:vAlign w:val="center"/>
            <w:shd w:fill="F1F6F9"/>
          </w:tcPr>
          <w:p>
            <w:pPr>
              <w:spacing w:after="0"/>
            </w:pPr>
            <w:r/>
            <w:r>
              <w:rPr>
                <w:rFonts w:ascii="Aptos" w:hAnsi="Aptos"/>
                <w:b w:val="0"/>
                <w:sz w:val="16"/>
              </w:rPr>
              <w:t>Responsive layout, keyboard support, accessible form labels, readable contrast and screen-reader-aware controls.</w:t>
            </w:r>
          </w:p>
        </w:tc>
      </w:tr>
      <w:tr>
        <w:tc>
          <w:tcPr>
            <w:tcW w:type="dxa" w:w="1296"/>
            <w:vAlign w:val="center"/>
          </w:tcPr>
          <w:p>
            <w:pPr>
              <w:spacing w:after="0"/>
            </w:pPr>
            <w:r/>
            <w:r>
              <w:rPr>
                <w:rFonts w:ascii="Aptos" w:hAnsi="Aptos"/>
                <w:b w:val="0"/>
                <w:sz w:val="16"/>
              </w:rPr>
              <w:t>NFR-007</w:t>
            </w:r>
          </w:p>
        </w:tc>
        <w:tc>
          <w:tcPr>
            <w:tcW w:type="dxa" w:w="2160"/>
            <w:vAlign w:val="center"/>
          </w:tcPr>
          <w:p>
            <w:pPr>
              <w:spacing w:after="0"/>
            </w:pPr>
            <w:r/>
            <w:r>
              <w:rPr>
                <w:rFonts w:ascii="Aptos" w:hAnsi="Aptos"/>
                <w:b w:val="0"/>
                <w:sz w:val="16"/>
              </w:rPr>
              <w:t>Localization</w:t>
            </w:r>
          </w:p>
        </w:tc>
        <w:tc>
          <w:tcPr>
            <w:tcW w:type="dxa" w:w="6912"/>
            <w:vAlign w:val="center"/>
          </w:tcPr>
          <w:p>
            <w:pPr>
              <w:spacing w:after="0"/>
            </w:pPr>
            <w:r/>
            <w:r>
              <w:rPr>
                <w:rFonts w:ascii="Aptos" w:hAnsi="Aptos"/>
                <w:b w:val="0"/>
                <w:sz w:val="16"/>
              </w:rPr>
              <w:t>Design for English and Kiswahili localization, timezone-safe timestamps and TZS formatting.</w:t>
            </w:r>
          </w:p>
        </w:tc>
      </w:tr>
      <w:tr>
        <w:tc>
          <w:tcPr>
            <w:tcW w:type="dxa" w:w="1296"/>
            <w:vAlign w:val="center"/>
            <w:shd w:fill="F1F6F9"/>
          </w:tcPr>
          <w:p>
            <w:pPr>
              <w:spacing w:after="0"/>
            </w:pPr>
            <w:r/>
            <w:r>
              <w:rPr>
                <w:rFonts w:ascii="Aptos" w:hAnsi="Aptos"/>
                <w:b w:val="0"/>
                <w:sz w:val="16"/>
              </w:rPr>
              <w:t>NFR-008</w:t>
            </w:r>
          </w:p>
        </w:tc>
        <w:tc>
          <w:tcPr>
            <w:tcW w:type="dxa" w:w="2160"/>
            <w:vAlign w:val="center"/>
            <w:shd w:fill="F1F6F9"/>
          </w:tcPr>
          <w:p>
            <w:pPr>
              <w:spacing w:after="0"/>
            </w:pPr>
            <w:r/>
            <w:r>
              <w:rPr>
                <w:rFonts w:ascii="Aptos" w:hAnsi="Aptos"/>
                <w:b w:val="0"/>
                <w:sz w:val="16"/>
              </w:rPr>
              <w:t>Compatibility</w:t>
            </w:r>
          </w:p>
        </w:tc>
        <w:tc>
          <w:tcPr>
            <w:tcW w:type="dxa" w:w="6912"/>
            <w:vAlign w:val="center"/>
            <w:shd w:fill="F1F6F9"/>
          </w:tcPr>
          <w:p>
            <w:pPr>
              <w:spacing w:after="0"/>
            </w:pPr>
            <w:r/>
            <w:r>
              <w:rPr>
                <w:rFonts w:ascii="Aptos" w:hAnsi="Aptos"/>
                <w:b w:val="0"/>
                <w:sz w:val="16"/>
              </w:rPr>
              <w:t>Support current major browsers and defined minimum Android/iOS versions.</w:t>
            </w:r>
          </w:p>
        </w:tc>
      </w:tr>
      <w:tr>
        <w:tc>
          <w:tcPr>
            <w:tcW w:type="dxa" w:w="1296"/>
            <w:vAlign w:val="center"/>
          </w:tcPr>
          <w:p>
            <w:pPr>
              <w:spacing w:after="0"/>
            </w:pPr>
            <w:r/>
            <w:r>
              <w:rPr>
                <w:rFonts w:ascii="Aptos" w:hAnsi="Aptos"/>
                <w:b w:val="0"/>
                <w:sz w:val="16"/>
              </w:rPr>
              <w:t>NFR-009</w:t>
            </w:r>
          </w:p>
        </w:tc>
        <w:tc>
          <w:tcPr>
            <w:tcW w:type="dxa" w:w="2160"/>
            <w:vAlign w:val="center"/>
          </w:tcPr>
          <w:p>
            <w:pPr>
              <w:spacing w:after="0"/>
            </w:pPr>
            <w:r/>
            <w:r>
              <w:rPr>
                <w:rFonts w:ascii="Aptos" w:hAnsi="Aptos"/>
                <w:b w:val="0"/>
                <w:sz w:val="16"/>
              </w:rPr>
              <w:t>Observability</w:t>
            </w:r>
          </w:p>
        </w:tc>
        <w:tc>
          <w:tcPr>
            <w:tcW w:type="dxa" w:w="6912"/>
            <w:vAlign w:val="center"/>
          </w:tcPr>
          <w:p>
            <w:pPr>
              <w:spacing w:after="0"/>
            </w:pPr>
            <w:r/>
            <w:r>
              <w:rPr>
                <w:rFonts w:ascii="Aptos" w:hAnsi="Aptos"/>
                <w:b w:val="0"/>
                <w:sz w:val="16"/>
              </w:rPr>
              <w:t>Structured logs, metrics, traces/correlation IDs, error reporting, service health checks and actionable alerts.</w:t>
            </w:r>
          </w:p>
        </w:tc>
      </w:tr>
      <w:tr>
        <w:tc>
          <w:tcPr>
            <w:tcW w:type="dxa" w:w="1296"/>
            <w:vAlign w:val="center"/>
            <w:shd w:fill="F1F6F9"/>
          </w:tcPr>
          <w:p>
            <w:pPr>
              <w:spacing w:after="0"/>
            </w:pPr>
            <w:r/>
            <w:r>
              <w:rPr>
                <w:rFonts w:ascii="Aptos" w:hAnsi="Aptos"/>
                <w:b w:val="0"/>
                <w:sz w:val="16"/>
              </w:rPr>
              <w:t>NFR-010</w:t>
            </w:r>
          </w:p>
        </w:tc>
        <w:tc>
          <w:tcPr>
            <w:tcW w:type="dxa" w:w="2160"/>
            <w:vAlign w:val="center"/>
            <w:shd w:fill="F1F6F9"/>
          </w:tcPr>
          <w:p>
            <w:pPr>
              <w:spacing w:after="0"/>
            </w:pPr>
            <w:r/>
            <w:r>
              <w:rPr>
                <w:rFonts w:ascii="Aptos" w:hAnsi="Aptos"/>
                <w:b w:val="0"/>
                <w:sz w:val="16"/>
              </w:rPr>
              <w:t>Maintainability</w:t>
            </w:r>
          </w:p>
        </w:tc>
        <w:tc>
          <w:tcPr>
            <w:tcW w:type="dxa" w:w="6912"/>
            <w:vAlign w:val="center"/>
            <w:shd w:fill="F1F6F9"/>
          </w:tcPr>
          <w:p>
            <w:pPr>
              <w:spacing w:after="0"/>
            </w:pPr>
            <w:r/>
            <w:r>
              <w:rPr>
                <w:rFonts w:ascii="Aptos" w:hAnsi="Aptos"/>
                <w:b w:val="0"/>
                <w:sz w:val="16"/>
              </w:rPr>
              <w:t>Automated tests, code review, linting, migrations, API contracts and architecture documentation.</w:t>
            </w:r>
          </w:p>
        </w:tc>
      </w:tr>
      <w:tr>
        <w:tc>
          <w:tcPr>
            <w:tcW w:type="dxa" w:w="1296"/>
            <w:vAlign w:val="center"/>
          </w:tcPr>
          <w:p>
            <w:pPr>
              <w:spacing w:after="0"/>
            </w:pPr>
            <w:r/>
            <w:r>
              <w:rPr>
                <w:rFonts w:ascii="Aptos" w:hAnsi="Aptos"/>
                <w:b w:val="0"/>
                <w:sz w:val="16"/>
              </w:rPr>
              <w:t>NFR-011</w:t>
            </w:r>
          </w:p>
        </w:tc>
        <w:tc>
          <w:tcPr>
            <w:tcW w:type="dxa" w:w="2160"/>
            <w:vAlign w:val="center"/>
          </w:tcPr>
          <w:p>
            <w:pPr>
              <w:spacing w:after="0"/>
            </w:pPr>
            <w:r/>
            <w:r>
              <w:rPr>
                <w:rFonts w:ascii="Aptos" w:hAnsi="Aptos"/>
                <w:b w:val="0"/>
                <w:sz w:val="16"/>
              </w:rPr>
              <w:t>Privacy</w:t>
            </w:r>
          </w:p>
        </w:tc>
        <w:tc>
          <w:tcPr>
            <w:tcW w:type="dxa" w:w="6912"/>
            <w:vAlign w:val="center"/>
          </w:tcPr>
          <w:p>
            <w:pPr>
              <w:spacing w:after="0"/>
            </w:pPr>
            <w:r/>
            <w:r>
              <w:rPr>
                <w:rFonts w:ascii="Aptos" w:hAnsi="Aptos"/>
                <w:b w:val="0"/>
                <w:sz w:val="16"/>
              </w:rPr>
              <w:t>Least-privilege access, purpose limitation, export/correction workflows and audited sharing.</w:t>
            </w:r>
          </w:p>
        </w:tc>
      </w:tr>
      <w:tr>
        <w:tc>
          <w:tcPr>
            <w:tcW w:type="dxa" w:w="1296"/>
            <w:vAlign w:val="center"/>
            <w:shd w:fill="F1F6F9"/>
          </w:tcPr>
          <w:p>
            <w:pPr>
              <w:spacing w:after="0"/>
            </w:pPr>
            <w:r/>
            <w:r>
              <w:rPr>
                <w:rFonts w:ascii="Aptos" w:hAnsi="Aptos"/>
                <w:b w:val="0"/>
                <w:sz w:val="16"/>
              </w:rPr>
              <w:t>NFR-012</w:t>
            </w:r>
          </w:p>
        </w:tc>
        <w:tc>
          <w:tcPr>
            <w:tcW w:type="dxa" w:w="2160"/>
            <w:vAlign w:val="center"/>
            <w:shd w:fill="F1F6F9"/>
          </w:tcPr>
          <w:p>
            <w:pPr>
              <w:spacing w:after="0"/>
            </w:pPr>
            <w:r/>
            <w:r>
              <w:rPr>
                <w:rFonts w:ascii="Aptos" w:hAnsi="Aptos"/>
                <w:b w:val="0"/>
                <w:sz w:val="16"/>
              </w:rPr>
              <w:t>Capacity</w:t>
            </w:r>
          </w:p>
        </w:tc>
        <w:tc>
          <w:tcPr>
            <w:tcW w:type="dxa" w:w="6912"/>
            <w:vAlign w:val="center"/>
            <w:shd w:fill="F1F6F9"/>
          </w:tcPr>
          <w:p>
            <w:pPr>
              <w:spacing w:after="0"/>
            </w:pPr>
            <w:r/>
            <w:r>
              <w:rPr>
                <w:rFonts w:ascii="Aptos" w:hAnsi="Aptos"/>
                <w:b w:val="0"/>
                <w:sz w:val="16"/>
              </w:rPr>
              <w:t>Do not claim a specific maximum concurrency or listing count until load tests and deployment sizing validate it.</w:t>
            </w:r>
          </w:p>
        </w:tc>
      </w:tr>
    </w:tbl>
    <w:p/>
    <w:p>
      <w:pPr>
        <w:pStyle w:val="Heading1"/>
      </w:pPr>
      <w:r>
        <w:t>11. Quality assurance and acceptance criteria</w:t>
      </w:r>
    </w:p>
    <w:p>
      <w:pPr>
        <w:pStyle w:val="Heading2"/>
      </w:pPr>
      <w:r>
        <w:t>11.1 Required test layers</w:t>
      </w:r>
    </w:p>
    <w:p>
      <w:pPr>
        <w:pStyle w:val="ListBullet"/>
        <w:spacing w:after="40"/>
      </w:pPr>
      <w:r>
        <w:t>Unit tests for policies, state transitions, money calculations, matching logic, consent rules and data provenance.</w:t>
      </w:r>
    </w:p>
    <w:p>
      <w:pPr>
        <w:pStyle w:val="ListBullet"/>
        <w:spacing w:after="40"/>
      </w:pPr>
      <w:r>
        <w:t>Integration tests for database constraints, payment-provider callbacks, OTP/SMS adapters, object storage and chat authentication.</w:t>
      </w:r>
    </w:p>
    <w:p>
      <w:pPr>
        <w:pStyle w:val="ListBullet"/>
        <w:spacing w:after="40"/>
      </w:pPr>
      <w:r>
        <w:t>API tests for role/capability access, resource ownership, invalid states, idempotency and pagination.</w:t>
      </w:r>
    </w:p>
    <w:p>
      <w:pPr>
        <w:pStyle w:val="ListBullet"/>
        <w:spacing w:after="40"/>
      </w:pPr>
      <w:r>
        <w:t>End-to-end tests for owner listing, tenant viewing/application, tenancy creation, rent ledger, maintenance, savings goals and Rental Passport sharing.</w:t>
      </w:r>
    </w:p>
    <w:p>
      <w:pPr>
        <w:pStyle w:val="ListBullet"/>
        <w:spacing w:after="40"/>
      </w:pPr>
      <w:r>
        <w:t>Security tests for IDOR/BOLA, role escalation, cross-tenant access, unauthorized file URLs, OTP abuse, webhook replay and chat room access.</w:t>
      </w:r>
    </w:p>
    <w:p>
      <w:pPr>
        <w:pStyle w:val="ListBullet"/>
        <w:spacing w:after="40"/>
      </w:pPr>
      <w:r>
        <w:t>Load tests for search, listing reads, month-start reminders/payment events, notification queues and realtime chat.</w:t>
      </w:r>
    </w:p>
    <w:p>
      <w:pPr>
        <w:pStyle w:val="ListBullet"/>
        <w:spacing w:after="40"/>
      </w:pPr>
      <w:r>
        <w:t>Recovery tests for database restore, queue retry, provider outage and duplicate webhook delivery.</w:t>
      </w:r>
    </w:p>
    <w:p>
      <w:pPr>
        <w:pStyle w:val="ListBullet"/>
        <w:spacing w:after="40"/>
      </w:pPr>
      <w:r>
        <w:t>Manual product tests for accessibility, mobile layouts, English/Kiswahili content and understandable consent/disclosure screens.</w:t>
      </w:r>
    </w:p>
    <w:p>
      <w:pPr>
        <w:pStyle w:val="Heading2"/>
      </w:pPr>
      <w:r>
        <w:t>11.2 Minimum acceptance criteria</w:t>
      </w:r>
    </w:p>
    <w:p>
      <w:pPr>
        <w:pStyle w:val="ListBullet"/>
        <w:spacing w:after="40"/>
      </w:pPr>
      <w:r>
        <w:t>A single user can activate Tenant and Owner capabilities without creating a second account; each workspace shows only permitted records.</w:t>
      </w:r>
    </w:p>
    <w:p>
      <w:pPr>
        <w:pStyle w:val="ListBullet"/>
        <w:spacing w:after="40"/>
      </w:pPr>
      <w:r>
        <w:t>A property manager cannot edit a property unless an active owner authorization grants the necessary scope.</w:t>
      </w:r>
    </w:p>
    <w:p>
      <w:pPr>
        <w:pStyle w:val="ListBullet"/>
        <w:spacing w:after="40"/>
      </w:pPr>
      <w:r>
        <w:t>A public listing displays its verification state accurately and does not expose private proof-of-ownership documents.</w:t>
      </w:r>
    </w:p>
    <w:p>
      <w:pPr>
        <w:pStyle w:val="ListBullet"/>
        <w:spacing w:after="40"/>
      </w:pPr>
      <w:r>
        <w:t>A tenant can request a viewing and see status changes; the owner/authorized manager receives the corresponding notification.</w:t>
      </w:r>
    </w:p>
    <w:p>
      <w:pPr>
        <w:pStyle w:val="ListBullet"/>
        <w:spacing w:after="40"/>
      </w:pPr>
      <w:r>
        <w:t>A rent payment is not shown as provider-confirmed until the payment adapter's verified event or reconciliation confirms it.</w:t>
      </w:r>
    </w:p>
    <w:p>
      <w:pPr>
        <w:pStyle w:val="ListBullet"/>
        <w:spacing w:after="40"/>
      </w:pPr>
      <w:r>
        <w:t>A tenant can record a private housing expense without the system implying landlord approval or reimbursement liability.</w:t>
      </w:r>
    </w:p>
    <w:p>
      <w:pPr>
        <w:pStyle w:val="ListBullet"/>
        <w:spacing w:after="40"/>
      </w:pPr>
      <w:r>
        <w:t>A tenant can share selected verified rental-history records with a specific recipient and can inspect the consent/access record.</w:t>
      </w:r>
    </w:p>
    <w:p>
      <w:pPr>
        <w:pStyle w:val="ListBullet"/>
        <w:spacing w:after="40"/>
      </w:pPr>
      <w:r>
        <w:t>A Finance Connect provider cannot receive a tenant's information until the tenant has approved the relevant data categories and recipient.</w:t>
      </w:r>
    </w:p>
    <w:p>
      <w:pPr>
        <w:pStyle w:val="ListBullet"/>
        <w:spacing w:after="40"/>
      </w:pPr>
      <w:r>
        <w:t>A provider account cannot become an active financing provider until the required review status is approved.</w:t>
      </w:r>
    </w:p>
    <w:p>
      <w:pPr>
        <w:pStyle w:val="ListBullet"/>
        <w:spacing w:after="40"/>
      </w:pPr>
      <w:r>
        <w:t>No loan repayment is collected by Panga na Kupangisha in the initial Finance Connect model.</w:t>
      </w:r>
    </w:p>
    <w:p>
      <w:pPr>
        <w:pStyle w:val="ListBullet"/>
        <w:spacing w:after="40"/>
      </w:pPr>
      <w:r>
        <w:t>Unauthorized users cannot read private files, conversations, applications, leases, or another user's Rental Passport.</w:t>
      </w:r>
    </w:p>
    <w:p>
      <w:pPr>
        <w:pStyle w:val="Heading1"/>
      </w:pPr>
      <w:r>
        <w:t>12. Delivery roadmap</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shd w:fill="174A6E"/>
          </w:tcPr>
          <w:p>
            <w:pPr>
              <w:spacing w:after="0"/>
            </w:pPr>
            <w:r/>
            <w:r>
              <w:rPr>
                <w:rFonts w:ascii="Aptos" w:hAnsi="Aptos"/>
                <w:b/>
                <w:color w:val="FFFFFF"/>
                <w:sz w:val="17"/>
              </w:rPr>
              <w:t>Phase</w:t>
            </w:r>
          </w:p>
        </w:tc>
        <w:tc>
          <w:tcPr>
            <w:tcW w:type="dxa" w:w="5040"/>
            <w:vAlign w:val="center"/>
            <w:shd w:fill="174A6E"/>
          </w:tcPr>
          <w:p>
            <w:pPr>
              <w:spacing w:after="0"/>
            </w:pPr>
            <w:r/>
            <w:r>
              <w:rPr>
                <w:rFonts w:ascii="Aptos" w:hAnsi="Aptos"/>
                <w:b/>
                <w:color w:val="FFFFFF"/>
                <w:sz w:val="17"/>
              </w:rPr>
              <w:t>Scope</w:t>
            </w:r>
          </w:p>
        </w:tc>
        <w:tc>
          <w:tcPr>
            <w:tcW w:type="dxa" w:w="3024"/>
            <w:vAlign w:val="center"/>
            <w:shd w:fill="174A6E"/>
          </w:tcPr>
          <w:p>
            <w:pPr>
              <w:spacing w:after="0"/>
            </w:pPr>
            <w:r/>
            <w:r>
              <w:rPr>
                <w:rFonts w:ascii="Aptos" w:hAnsi="Aptos"/>
                <w:b/>
                <w:color w:val="FFFFFF"/>
                <w:sz w:val="17"/>
              </w:rPr>
              <w:t>Exit criteria</w:t>
            </w:r>
          </w:p>
        </w:tc>
      </w:tr>
      <w:tr>
        <w:tc>
          <w:tcPr>
            <w:tcW w:type="dxa" w:w="2304"/>
            <w:vAlign w:val="center"/>
          </w:tcPr>
          <w:p>
            <w:pPr>
              <w:spacing w:after="0"/>
            </w:pPr>
            <w:r/>
            <w:r>
              <w:rPr>
                <w:rFonts w:ascii="Aptos" w:hAnsi="Aptos"/>
                <w:b w:val="0"/>
                <w:sz w:val="16"/>
              </w:rPr>
              <w:t>Phase 0 — Foundation</w:t>
            </w:r>
          </w:p>
        </w:tc>
        <w:tc>
          <w:tcPr>
            <w:tcW w:type="dxa" w:w="5040"/>
            <w:vAlign w:val="center"/>
          </w:tcPr>
          <w:p>
            <w:pPr>
              <w:spacing w:after="0"/>
            </w:pPr>
            <w:r/>
            <w:r>
              <w:rPr>
                <w:rFonts w:ascii="Aptos" w:hAnsi="Aptos"/>
                <w:b w:val="0"/>
                <w:sz w:val="16"/>
              </w:rPr>
              <w:t>Architecture decisions, design system, identity/capability model, security baseline, CI/CD, environments and API contracts.</w:t>
            </w:r>
          </w:p>
        </w:tc>
        <w:tc>
          <w:tcPr>
            <w:tcW w:type="dxa" w:w="3024"/>
            <w:vAlign w:val="center"/>
          </w:tcPr>
          <w:p>
            <w:pPr>
              <w:spacing w:after="0"/>
            </w:pPr>
            <w:r/>
            <w:r>
              <w:rPr>
                <w:rFonts w:ascii="Aptos" w:hAnsi="Aptos"/>
                <w:b w:val="0"/>
                <w:sz w:val="16"/>
              </w:rPr>
              <w:t>Threat model, migrations, tests and deployment pipeline approved.</w:t>
            </w:r>
          </w:p>
        </w:tc>
      </w:tr>
      <w:tr>
        <w:tc>
          <w:tcPr>
            <w:tcW w:type="dxa" w:w="2304"/>
            <w:vAlign w:val="center"/>
            <w:shd w:fill="F1F6F9"/>
          </w:tcPr>
          <w:p>
            <w:pPr>
              <w:spacing w:after="0"/>
            </w:pPr>
            <w:r/>
            <w:r>
              <w:rPr>
                <w:rFonts w:ascii="Aptos" w:hAnsi="Aptos"/>
                <w:b w:val="0"/>
                <w:sz w:val="16"/>
              </w:rPr>
              <w:t>Phase 1 — Marketplace MVP</w:t>
            </w:r>
          </w:p>
        </w:tc>
        <w:tc>
          <w:tcPr>
            <w:tcW w:type="dxa" w:w="5040"/>
            <w:vAlign w:val="center"/>
            <w:shd w:fill="F1F6F9"/>
          </w:tcPr>
          <w:p>
            <w:pPr>
              <w:spacing w:after="0"/>
            </w:pPr>
            <w:r/>
            <w:r>
              <w:rPr>
                <w:rFonts w:ascii="Aptos" w:hAnsi="Aptos"/>
                <w:b w:val="0"/>
                <w:sz w:val="16"/>
              </w:rPr>
              <w:t>Authentication, multi-role foundation, owner/representative verification, listings, search/map, favorites, direct inquiry/chat, viewing requests, reporting/moderation.</w:t>
            </w:r>
          </w:p>
        </w:tc>
        <w:tc>
          <w:tcPr>
            <w:tcW w:type="dxa" w:w="3024"/>
            <w:vAlign w:val="center"/>
            <w:shd w:fill="F1F6F9"/>
          </w:tcPr>
          <w:p>
            <w:pPr>
              <w:spacing w:after="0"/>
            </w:pPr>
            <w:r/>
            <w:r>
              <w:rPr>
                <w:rFonts w:ascii="Aptos" w:hAnsi="Aptos"/>
                <w:b w:val="0"/>
                <w:sz w:val="16"/>
              </w:rPr>
              <w:t>Users can find and contact owners; role isolation and listing moderation pass acceptance tests.</w:t>
            </w:r>
          </w:p>
        </w:tc>
      </w:tr>
      <w:tr>
        <w:tc>
          <w:tcPr>
            <w:tcW w:type="dxa" w:w="2304"/>
            <w:vAlign w:val="center"/>
          </w:tcPr>
          <w:p>
            <w:pPr>
              <w:spacing w:after="0"/>
            </w:pPr>
            <w:r/>
            <w:r>
              <w:rPr>
                <w:rFonts w:ascii="Aptos" w:hAnsi="Aptos"/>
                <w:b w:val="0"/>
                <w:sz w:val="16"/>
              </w:rPr>
              <w:t>Phase 2 — Rental lifecycle</w:t>
            </w:r>
          </w:p>
        </w:tc>
        <w:tc>
          <w:tcPr>
            <w:tcW w:type="dxa" w:w="5040"/>
            <w:vAlign w:val="center"/>
          </w:tcPr>
          <w:p>
            <w:pPr>
              <w:spacing w:after="0"/>
            </w:pPr>
            <w:r/>
            <w:r>
              <w:rPr>
                <w:rFonts w:ascii="Aptos" w:hAnsi="Aptos"/>
                <w:b w:val="0"/>
                <w:sz w:val="16"/>
              </w:rPr>
              <w:t>Applications, tenancy records, lease storage/renewals, rent ledger, receipts/reminders, maintenance/vendor workflow, basic owner/tenant dashboards.</w:t>
            </w:r>
          </w:p>
        </w:tc>
        <w:tc>
          <w:tcPr>
            <w:tcW w:type="dxa" w:w="3024"/>
            <w:vAlign w:val="center"/>
          </w:tcPr>
          <w:p>
            <w:pPr>
              <w:spacing w:after="0"/>
            </w:pPr>
            <w:r/>
            <w:r>
              <w:rPr>
                <w:rFonts w:ascii="Aptos" w:hAnsi="Aptos"/>
                <w:b w:val="0"/>
                <w:sz w:val="16"/>
              </w:rPr>
              <w:t>End-to-end rental lifecycle and audit trail pass acceptance tests.</w:t>
            </w:r>
          </w:p>
        </w:tc>
      </w:tr>
      <w:tr>
        <w:tc>
          <w:tcPr>
            <w:tcW w:type="dxa" w:w="2304"/>
            <w:vAlign w:val="center"/>
            <w:shd w:fill="F1F6F9"/>
          </w:tcPr>
          <w:p>
            <w:pPr>
              <w:spacing w:after="0"/>
            </w:pPr>
            <w:r/>
            <w:r>
              <w:rPr>
                <w:rFonts w:ascii="Aptos" w:hAnsi="Aptos"/>
                <w:b w:val="0"/>
                <w:sz w:val="16"/>
              </w:rPr>
              <w:t>Phase 3 — Tenant records and savings</w:t>
            </w:r>
          </w:p>
        </w:tc>
        <w:tc>
          <w:tcPr>
            <w:tcW w:type="dxa" w:w="5040"/>
            <w:vAlign w:val="center"/>
            <w:shd w:fill="F1F6F9"/>
          </w:tcPr>
          <w:p>
            <w:pPr>
              <w:spacing w:after="0"/>
            </w:pPr>
            <w:r/>
            <w:r>
              <w:rPr>
                <w:rFonts w:ascii="Aptos" w:hAnsi="Aptos"/>
                <w:b w:val="0"/>
                <w:sz w:val="16"/>
              </w:rPr>
              <w:t>Rental Passport private timeline, evidence uploads, selected verified sharing, Panga Akiba goals/progress, downloadable reports.</w:t>
            </w:r>
          </w:p>
        </w:tc>
        <w:tc>
          <w:tcPr>
            <w:tcW w:type="dxa" w:w="3024"/>
            <w:vAlign w:val="center"/>
            <w:shd w:fill="F1F6F9"/>
          </w:tcPr>
          <w:p>
            <w:pPr>
              <w:spacing w:after="0"/>
            </w:pPr>
            <w:r/>
            <w:r>
              <w:rPr>
                <w:rFonts w:ascii="Aptos" w:hAnsi="Aptos"/>
                <w:b w:val="0"/>
                <w:sz w:val="16"/>
              </w:rPr>
              <w:t>Consent, provenance, dispute and privacy tests pass.</w:t>
            </w:r>
          </w:p>
        </w:tc>
      </w:tr>
      <w:tr>
        <w:tc>
          <w:tcPr>
            <w:tcW w:type="dxa" w:w="2304"/>
            <w:vAlign w:val="center"/>
          </w:tcPr>
          <w:p>
            <w:pPr>
              <w:spacing w:after="0"/>
            </w:pPr>
            <w:r/>
            <w:r>
              <w:rPr>
                <w:rFonts w:ascii="Aptos" w:hAnsi="Aptos"/>
                <w:b w:val="0"/>
                <w:sz w:val="16"/>
              </w:rPr>
              <w:t>Phase 4 — Finance Connect pilot</w:t>
            </w:r>
          </w:p>
        </w:tc>
        <w:tc>
          <w:tcPr>
            <w:tcW w:type="dxa" w:w="5040"/>
            <w:vAlign w:val="center"/>
          </w:tcPr>
          <w:p>
            <w:pPr>
              <w:spacing w:after="0"/>
            </w:pPr>
            <w:r/>
            <w:r>
              <w:rPr>
                <w:rFonts w:ascii="Aptos" w:hAnsi="Aptos"/>
                <w:b w:val="0"/>
                <w:sz w:val="16"/>
              </w:rPr>
              <w:t>Provider onboarding/eligibility review, consent-based data sharing, matching and direct provider/tenant workflow.</w:t>
            </w:r>
          </w:p>
        </w:tc>
        <w:tc>
          <w:tcPr>
            <w:tcW w:type="dxa" w:w="3024"/>
            <w:vAlign w:val="center"/>
          </w:tcPr>
          <w:p>
            <w:pPr>
              <w:spacing w:after="0"/>
            </w:pPr>
            <w:r/>
            <w:r>
              <w:rPr>
                <w:rFonts w:ascii="Aptos" w:hAnsi="Aptos"/>
                <w:b w:val="0"/>
                <w:sz w:val="16"/>
              </w:rPr>
              <w:t>Written legal/compliance approval, approved provider onboarding and data-sharing safeguards.</w:t>
            </w:r>
          </w:p>
        </w:tc>
      </w:tr>
      <w:tr>
        <w:tc>
          <w:tcPr>
            <w:tcW w:type="dxa" w:w="2304"/>
            <w:vAlign w:val="center"/>
            <w:shd w:fill="F1F6F9"/>
          </w:tcPr>
          <w:p>
            <w:pPr>
              <w:spacing w:after="0"/>
            </w:pPr>
            <w:r/>
            <w:r>
              <w:rPr>
                <w:rFonts w:ascii="Aptos" w:hAnsi="Aptos"/>
                <w:b w:val="0"/>
                <w:sz w:val="16"/>
              </w:rPr>
              <w:t>Phase 5 — Investment/project participation</w:t>
            </w:r>
          </w:p>
        </w:tc>
        <w:tc>
          <w:tcPr>
            <w:tcW w:type="dxa" w:w="5040"/>
            <w:vAlign w:val="center"/>
            <w:shd w:fill="F1F6F9"/>
          </w:tcPr>
          <w:p>
            <w:pPr>
              <w:spacing w:after="0"/>
            </w:pPr>
            <w:r/>
            <w:r>
              <w:rPr>
                <w:rFonts w:ascii="Aptos" w:hAnsi="Aptos"/>
                <w:b w:val="0"/>
                <w:sz w:val="16"/>
              </w:rPr>
              <w:t>Project profiles, due-diligence documents, interest/participation tracking and reporting.</w:t>
            </w:r>
          </w:p>
        </w:tc>
        <w:tc>
          <w:tcPr>
            <w:tcW w:type="dxa" w:w="3024"/>
            <w:vAlign w:val="center"/>
            <w:shd w:fill="F1F6F9"/>
          </w:tcPr>
          <w:p>
            <w:pPr>
              <w:spacing w:after="0"/>
            </w:pPr>
            <w:r/>
            <w:r>
              <w:rPr>
                <w:rFonts w:ascii="Aptos" w:hAnsi="Aptos"/>
                <w:b w:val="0"/>
                <w:sz w:val="16"/>
              </w:rPr>
              <w:t>Legal review of any investment solicitation, custody or return-related functionality.</w:t>
            </w:r>
          </w:p>
        </w:tc>
      </w:tr>
      <w:tr>
        <w:tc>
          <w:tcPr>
            <w:tcW w:type="dxa" w:w="2304"/>
            <w:vAlign w:val="center"/>
          </w:tcPr>
          <w:p>
            <w:pPr>
              <w:spacing w:after="0"/>
            </w:pPr>
            <w:r/>
            <w:r>
              <w:rPr>
                <w:rFonts w:ascii="Aptos" w:hAnsi="Aptos"/>
                <w:b w:val="0"/>
                <w:sz w:val="16"/>
              </w:rPr>
              <w:t>Phase 6 — Scale and expansion</w:t>
            </w:r>
          </w:p>
        </w:tc>
        <w:tc>
          <w:tcPr>
            <w:tcW w:type="dxa" w:w="5040"/>
            <w:vAlign w:val="center"/>
          </w:tcPr>
          <w:p>
            <w:pPr>
              <w:spacing w:after="0"/>
            </w:pPr>
            <w:r/>
            <w:r>
              <w:rPr>
                <w:rFonts w:ascii="Aptos" w:hAnsi="Aptos"/>
                <w:b w:val="0"/>
                <w:sz w:val="16"/>
              </w:rPr>
              <w:t>Advanced analytics, richer mobile features, optional virtual tours, integrations and operational scaling.</w:t>
            </w:r>
          </w:p>
        </w:tc>
        <w:tc>
          <w:tcPr>
            <w:tcW w:type="dxa" w:w="3024"/>
            <w:vAlign w:val="center"/>
          </w:tcPr>
          <w:p>
            <w:pPr>
              <w:spacing w:after="0"/>
            </w:pPr>
            <w:r/>
            <w:r>
              <w:rPr>
                <w:rFonts w:ascii="Aptos" w:hAnsi="Aptos"/>
                <w:b w:val="0"/>
                <w:sz w:val="16"/>
              </w:rPr>
              <w:t>Load tests, reliability objectives and support processes meet agreed targets.</w:t>
            </w:r>
          </w:p>
        </w:tc>
      </w:tr>
    </w:tbl>
    <w:p/>
    <w:p>
      <w:pPr>
        <w:pStyle w:val="Heading1"/>
      </w:pPr>
      <w:r>
        <w:t>13. Operational requirements</w:t>
      </w:r>
    </w:p>
    <w:p>
      <w:pPr>
        <w:pStyle w:val="ListBullet"/>
        <w:spacing w:after="40"/>
      </w:pPr>
      <w:r>
        <w:t>Separate development, staging and production environments with separate credentials and data policies.</w:t>
      </w:r>
    </w:p>
    <w:p>
      <w:pPr>
        <w:pStyle w:val="ListBullet"/>
        <w:spacing w:after="40"/>
      </w:pPr>
      <w:r>
        <w:t>Automated CI checks: formatting/linting, unit tests, API tests, dependency scanning and build verification.</w:t>
      </w:r>
    </w:p>
    <w:p>
      <w:pPr>
        <w:pStyle w:val="ListBullet"/>
        <w:spacing w:after="40"/>
      </w:pPr>
      <w:r>
        <w:t>Use reviewed database migrations with rollback/forward-recovery plans; do not make ad-hoc production schema edits.</w:t>
      </w:r>
    </w:p>
    <w:p>
      <w:pPr>
        <w:pStyle w:val="ListBullet"/>
        <w:spacing w:after="40"/>
      </w:pPr>
      <w:r>
        <w:t>Maintain runbooks for deployment, backup/restore, provider outages, abuse incidents, payment reconciliation and account compromise.</w:t>
      </w:r>
    </w:p>
    <w:p>
      <w:pPr>
        <w:pStyle w:val="ListBullet"/>
        <w:spacing w:after="40"/>
      </w:pPr>
      <w:r>
        <w:t>Define support procedures for listing disputes, tenant-record corrections, verification appeals, data requests and provider complaints.</w:t>
      </w:r>
    </w:p>
    <w:p>
      <w:pPr>
        <w:pStyle w:val="ListBullet"/>
        <w:spacing w:after="40"/>
      </w:pPr>
      <w:r>
        <w:t>Establish monitoring for API latency/error rate, queue backlog, webhook failures, storage usage, chat connection health and suspicious access patterns.</w:t>
      </w:r>
    </w:p>
    <w:p>
      <w:pPr>
        <w:pStyle w:val="ListBullet"/>
        <w:spacing w:after="40"/>
      </w:pPr>
      <w:r>
        <w:t>Use feature flags to release higher-risk functions gradually and disable them safely if a provider or compliance issue occurs.</w:t>
      </w:r>
    </w:p>
    <w:p>
      <w:pPr>
        <w:pStyle w:val="Heading1"/>
      </w:pPr>
      <w:r>
        <w:t>14. Open decisions requiring product/legal confirmation</w:t>
      </w:r>
    </w:p>
    <w:p>
      <w:pPr>
        <w:pStyle w:val="ListNumber"/>
        <w:spacing w:after="40"/>
      </w:pPr>
      <w:r>
        <w:t>Confirm initial client stack and hosting/deployment provider; the logical architecture above does not force a particular frontend framework.</w:t>
      </w:r>
    </w:p>
    <w:p>
      <w:pPr>
        <w:pStyle w:val="ListNumber"/>
        <w:spacing w:after="40"/>
      </w:pPr>
      <w:r>
        <w:t>Confirm whether MVP login is phone OTP only or includes email/password/social login.</w:t>
      </w:r>
    </w:p>
    <w:p>
      <w:pPr>
        <w:pStyle w:val="ListNumber"/>
        <w:spacing w:after="40"/>
      </w:pPr>
      <w:r>
        <w:t>Confirm initial launch geography: Mainland Tanzania only, Zanzibar as a separate legal/regulatory context, or both.</w:t>
      </w:r>
    </w:p>
    <w:p>
      <w:pPr>
        <w:pStyle w:val="ListNumber"/>
        <w:spacing w:after="40"/>
      </w:pPr>
      <w:r>
        <w:t>Confirm whether property managers/agents can publish listings at MVP or only owners and owner-authorized representatives.</w:t>
      </w:r>
    </w:p>
    <w:p>
      <w:pPr>
        <w:pStyle w:val="ListNumber"/>
        <w:spacing w:after="40"/>
      </w:pPr>
      <w:r>
        <w:t>Confirm exact property verification evidence and public badge language with legal and operations teams.</w:t>
      </w:r>
    </w:p>
    <w:p>
      <w:pPr>
        <w:pStyle w:val="ListNumber"/>
        <w:spacing w:after="40"/>
      </w:pPr>
      <w:r>
        <w:t>Confirm payment provider(s), whether rent payment is in scope for MVP, and who legally receives/holds money.</w:t>
      </w:r>
    </w:p>
    <w:p>
      <w:pPr>
        <w:pStyle w:val="ListNumber"/>
        <w:spacing w:after="40"/>
      </w:pPr>
      <w:r>
        <w:t>Confirm whether Panga Akiba launches as tracking-only; any custody or transfers require partner/legal review.</w:t>
      </w:r>
    </w:p>
    <w:p>
      <w:pPr>
        <w:pStyle w:val="ListNumber"/>
        <w:spacing w:after="40"/>
      </w:pPr>
      <w:r>
        <w:t>Confirm retention periods and export/delete policies for leases, chat, payment records, IDs, Rental Passport and provider application data.</w:t>
      </w:r>
    </w:p>
    <w:p>
      <w:pPr>
        <w:pStyle w:val="ListNumber"/>
        <w:spacing w:after="40"/>
      </w:pPr>
      <w:r>
        <w:t>Confirm what evidence qualifies a Rental Passport record as verified and how disputes affect shared records.</w:t>
      </w:r>
    </w:p>
    <w:p>
      <w:pPr>
        <w:pStyle w:val="ListNumber"/>
        <w:spacing w:after="40"/>
      </w:pPr>
      <w:r>
        <w:t>Confirm provider eligibility and licensing requirements for Finance Connect; whether only organizations or also individuals may register interest, subject to legal review.</w:t>
      </w:r>
    </w:p>
    <w:p>
      <w:pPr>
        <w:pStyle w:val="ListNumber"/>
        <w:spacing w:after="40"/>
      </w:pPr>
      <w:r>
        <w:t>Confirm any referral fee or commercial arrangement with financing providers only after counsel reviews the platform's actual activities.</w:t>
      </w:r>
    </w:p>
    <w:p>
      <w:pPr>
        <w:pStyle w:val="ListNumber"/>
        <w:spacing w:after="40"/>
      </w:pPr>
      <w:r>
        <w:t>Confirm whether investment project pages are informational only at first; do not enable investment money collection without separate approval.</w:t>
      </w:r>
    </w:p>
    <w:p>
      <w:pPr>
        <w:pStyle w:val="ListNumber"/>
        <w:spacing w:after="40"/>
      </w:pPr>
      <w:r>
        <w:t>Confirm service-level objectives, expected traffic, budget and disaster-recovery targets.</w:t>
      </w:r>
    </w:p>
    <w:p>
      <w:pPr>
        <w:pStyle w:val="Heading1"/>
      </w:pPr>
      <w:r>
        <w:t>15. Glossary</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174A6E"/>
          </w:tcPr>
          <w:p>
            <w:pPr>
              <w:spacing w:after="0"/>
            </w:pPr>
            <w:r/>
            <w:r>
              <w:rPr>
                <w:rFonts w:ascii="Aptos" w:hAnsi="Aptos"/>
                <w:b/>
                <w:color w:val="FFFFFF"/>
                <w:sz w:val="17"/>
              </w:rPr>
              <w:t>Term</w:t>
            </w:r>
          </w:p>
        </w:tc>
        <w:tc>
          <w:tcPr>
            <w:tcW w:type="dxa" w:w="7920"/>
            <w:vAlign w:val="center"/>
            <w:shd w:fill="174A6E"/>
          </w:tcPr>
          <w:p>
            <w:pPr>
              <w:spacing w:after="0"/>
            </w:pPr>
            <w:r/>
            <w:r>
              <w:rPr>
                <w:rFonts w:ascii="Aptos" w:hAnsi="Aptos"/>
                <w:b/>
                <w:color w:val="FFFFFF"/>
                <w:sz w:val="17"/>
              </w:rPr>
              <w:t>Definition</w:t>
            </w:r>
          </w:p>
        </w:tc>
      </w:tr>
      <w:tr>
        <w:tc>
          <w:tcPr>
            <w:tcW w:type="dxa" w:w="2448"/>
            <w:vAlign w:val="center"/>
          </w:tcPr>
          <w:p>
            <w:pPr>
              <w:spacing w:after="0"/>
            </w:pPr>
            <w:r/>
            <w:r>
              <w:rPr>
                <w:rFonts w:ascii="Aptos" w:hAnsi="Aptos"/>
                <w:b w:val="0"/>
                <w:sz w:val="16"/>
              </w:rPr>
              <w:t>Capability</w:t>
            </w:r>
          </w:p>
        </w:tc>
        <w:tc>
          <w:tcPr>
            <w:tcW w:type="dxa" w:w="7920"/>
            <w:vAlign w:val="center"/>
          </w:tcPr>
          <w:p>
            <w:pPr>
              <w:spacing w:after="0"/>
            </w:pPr>
            <w:r/>
            <w:r>
              <w:rPr>
                <w:rFonts w:ascii="Aptos" w:hAnsi="Aptos"/>
                <w:b w:val="0"/>
                <w:sz w:val="16"/>
              </w:rPr>
              <w:t>A role-specific set of permitted features and actions attached to one account.</w:t>
            </w:r>
          </w:p>
        </w:tc>
      </w:tr>
      <w:tr>
        <w:tc>
          <w:tcPr>
            <w:tcW w:type="dxa" w:w="2448"/>
            <w:vAlign w:val="center"/>
            <w:shd w:fill="F1F6F9"/>
          </w:tcPr>
          <w:p>
            <w:pPr>
              <w:spacing w:after="0"/>
            </w:pPr>
            <w:r/>
            <w:r>
              <w:rPr>
                <w:rFonts w:ascii="Aptos" w:hAnsi="Aptos"/>
                <w:b w:val="0"/>
                <w:sz w:val="16"/>
              </w:rPr>
              <w:t>Service profile</w:t>
            </w:r>
          </w:p>
        </w:tc>
        <w:tc>
          <w:tcPr>
            <w:tcW w:type="dxa" w:w="7920"/>
            <w:vAlign w:val="center"/>
            <w:shd w:fill="F1F6F9"/>
          </w:tcPr>
          <w:p>
            <w:pPr>
              <w:spacing w:after="0"/>
            </w:pPr>
            <w:r/>
            <w:r>
              <w:rPr>
                <w:rFonts w:ascii="Aptos" w:hAnsi="Aptos"/>
                <w:b w:val="0"/>
                <w:sz w:val="16"/>
              </w:rPr>
              <w:t>The data and onboarding status for a capability or organization.</w:t>
            </w:r>
          </w:p>
        </w:tc>
      </w:tr>
      <w:tr>
        <w:tc>
          <w:tcPr>
            <w:tcW w:type="dxa" w:w="2448"/>
            <w:vAlign w:val="center"/>
          </w:tcPr>
          <w:p>
            <w:pPr>
              <w:spacing w:after="0"/>
            </w:pPr>
            <w:r/>
            <w:r>
              <w:rPr>
                <w:rFonts w:ascii="Aptos" w:hAnsi="Aptos"/>
                <w:b w:val="0"/>
                <w:sz w:val="16"/>
              </w:rPr>
              <w:t>Owner-direct</w:t>
            </w:r>
          </w:p>
        </w:tc>
        <w:tc>
          <w:tcPr>
            <w:tcW w:type="dxa" w:w="7920"/>
            <w:vAlign w:val="center"/>
          </w:tcPr>
          <w:p>
            <w:pPr>
              <w:spacing w:after="0"/>
            </w:pPr>
            <w:r/>
            <w:r>
              <w:rPr>
                <w:rFonts w:ascii="Aptos" w:hAnsi="Aptos"/>
                <w:b w:val="0"/>
                <w:sz w:val="16"/>
              </w:rPr>
              <w:t>The default workflow connects tenant and verified owner directly; a manager/representative must disclose and prove authority.</w:t>
            </w:r>
          </w:p>
        </w:tc>
      </w:tr>
      <w:tr>
        <w:tc>
          <w:tcPr>
            <w:tcW w:type="dxa" w:w="2448"/>
            <w:vAlign w:val="center"/>
            <w:shd w:fill="F1F6F9"/>
          </w:tcPr>
          <w:p>
            <w:pPr>
              <w:spacing w:after="0"/>
            </w:pPr>
            <w:r/>
            <w:r>
              <w:rPr>
                <w:rFonts w:ascii="Aptos" w:hAnsi="Aptos"/>
                <w:b w:val="0"/>
                <w:sz w:val="16"/>
              </w:rPr>
              <w:t>Rental Passport</w:t>
            </w:r>
          </w:p>
        </w:tc>
        <w:tc>
          <w:tcPr>
            <w:tcW w:type="dxa" w:w="7920"/>
            <w:vAlign w:val="center"/>
            <w:shd w:fill="F1F6F9"/>
          </w:tcPr>
          <w:p>
            <w:pPr>
              <w:spacing w:after="0"/>
            </w:pPr>
            <w:r/>
            <w:r>
              <w:rPr>
                <w:rFonts w:ascii="Aptos" w:hAnsi="Aptos"/>
                <w:b w:val="0"/>
                <w:sz w:val="16"/>
              </w:rPr>
              <w:t>A tenant-controlled history of housing events, expenses, documents and selected verified tenancy records.</w:t>
            </w:r>
          </w:p>
        </w:tc>
      </w:tr>
      <w:tr>
        <w:tc>
          <w:tcPr>
            <w:tcW w:type="dxa" w:w="2448"/>
            <w:vAlign w:val="center"/>
          </w:tcPr>
          <w:p>
            <w:pPr>
              <w:spacing w:after="0"/>
            </w:pPr>
            <w:r/>
            <w:r>
              <w:rPr>
                <w:rFonts w:ascii="Aptos" w:hAnsi="Aptos"/>
                <w:b w:val="0"/>
                <w:sz w:val="16"/>
              </w:rPr>
              <w:t>Panga Akiba</w:t>
            </w:r>
          </w:p>
        </w:tc>
        <w:tc>
          <w:tcPr>
            <w:tcW w:type="dxa" w:w="7920"/>
            <w:vAlign w:val="center"/>
          </w:tcPr>
          <w:p>
            <w:pPr>
              <w:spacing w:after="0"/>
            </w:pPr>
            <w:r/>
            <w:r>
              <w:rPr>
                <w:rFonts w:ascii="Aptos" w:hAnsi="Aptos"/>
                <w:b w:val="0"/>
                <w:sz w:val="16"/>
              </w:rPr>
              <w:t>A rent/housing savings goal and progress feature; tracking is distinct from holding or transferring money.</w:t>
            </w:r>
          </w:p>
        </w:tc>
      </w:tr>
      <w:tr>
        <w:tc>
          <w:tcPr>
            <w:tcW w:type="dxa" w:w="2448"/>
            <w:vAlign w:val="center"/>
            <w:shd w:fill="F1F6F9"/>
          </w:tcPr>
          <w:p>
            <w:pPr>
              <w:spacing w:after="0"/>
            </w:pPr>
            <w:r/>
            <w:r>
              <w:rPr>
                <w:rFonts w:ascii="Aptos" w:hAnsi="Aptos"/>
                <w:b w:val="0"/>
                <w:sz w:val="16"/>
              </w:rPr>
              <w:t>Panga Finance Connect</w:t>
            </w:r>
          </w:p>
        </w:tc>
        <w:tc>
          <w:tcPr>
            <w:tcW w:type="dxa" w:w="7920"/>
            <w:vAlign w:val="center"/>
            <w:shd w:fill="F1F6F9"/>
          </w:tcPr>
          <w:p>
            <w:pPr>
              <w:spacing w:after="0"/>
            </w:pPr>
            <w:r/>
            <w:r>
              <w:rPr>
                <w:rFonts w:ascii="Aptos" w:hAnsi="Aptos"/>
                <w:b w:val="0"/>
                <w:sz w:val="16"/>
              </w:rPr>
              <w:t>A matching and consent-based information-sharing service connecting tenants to independent financing providers.</w:t>
            </w:r>
          </w:p>
        </w:tc>
      </w:tr>
      <w:tr>
        <w:tc>
          <w:tcPr>
            <w:tcW w:type="dxa" w:w="2448"/>
            <w:vAlign w:val="center"/>
          </w:tcPr>
          <w:p>
            <w:pPr>
              <w:spacing w:after="0"/>
            </w:pPr>
            <w:r/>
            <w:r>
              <w:rPr>
                <w:rFonts w:ascii="Aptos" w:hAnsi="Aptos"/>
                <w:b w:val="0"/>
                <w:sz w:val="16"/>
              </w:rPr>
              <w:t>Provider-confirmed</w:t>
            </w:r>
          </w:p>
        </w:tc>
        <w:tc>
          <w:tcPr>
            <w:tcW w:type="dxa" w:w="7920"/>
            <w:vAlign w:val="center"/>
          </w:tcPr>
          <w:p>
            <w:pPr>
              <w:spacing w:after="0"/>
            </w:pPr>
            <w:r/>
            <w:r>
              <w:rPr>
                <w:rFonts w:ascii="Aptos" w:hAnsi="Aptos"/>
                <w:b w:val="0"/>
                <w:sz w:val="16"/>
              </w:rPr>
              <w:t>A status supported by a trusted payment or external provider event, not only a user claim.</w:t>
            </w:r>
          </w:p>
        </w:tc>
      </w:tr>
      <w:tr>
        <w:tc>
          <w:tcPr>
            <w:tcW w:type="dxa" w:w="2448"/>
            <w:vAlign w:val="center"/>
            <w:shd w:fill="F1F6F9"/>
          </w:tcPr>
          <w:p>
            <w:pPr>
              <w:spacing w:after="0"/>
            </w:pPr>
            <w:r/>
            <w:r>
              <w:rPr>
                <w:rFonts w:ascii="Aptos" w:hAnsi="Aptos"/>
                <w:b w:val="0"/>
                <w:sz w:val="16"/>
              </w:rPr>
              <w:t>Verified record</w:t>
            </w:r>
          </w:p>
        </w:tc>
        <w:tc>
          <w:tcPr>
            <w:tcW w:type="dxa" w:w="7920"/>
            <w:vAlign w:val="center"/>
            <w:shd w:fill="F1F6F9"/>
          </w:tcPr>
          <w:p>
            <w:pPr>
              <w:spacing w:after="0"/>
            </w:pPr>
            <w:r/>
            <w:r>
              <w:rPr>
                <w:rFonts w:ascii="Aptos" w:hAnsi="Aptos"/>
                <w:b w:val="0"/>
                <w:sz w:val="16"/>
              </w:rPr>
              <w:t>A record whose provenance and verification method are defined and recorded.</w:t>
            </w:r>
          </w:p>
        </w:tc>
      </w:tr>
      <w:tr>
        <w:tc>
          <w:tcPr>
            <w:tcW w:type="dxa" w:w="2448"/>
            <w:vAlign w:val="center"/>
          </w:tcPr>
          <w:p>
            <w:pPr>
              <w:spacing w:after="0"/>
            </w:pPr>
            <w:r/>
            <w:r>
              <w:rPr>
                <w:rFonts w:ascii="Aptos" w:hAnsi="Aptos"/>
                <w:b w:val="0"/>
                <w:sz w:val="16"/>
              </w:rPr>
              <w:t>Resource-scoped permission</w:t>
            </w:r>
          </w:p>
        </w:tc>
        <w:tc>
          <w:tcPr>
            <w:tcW w:type="dxa" w:w="7920"/>
            <w:vAlign w:val="center"/>
          </w:tcPr>
          <w:p>
            <w:pPr>
              <w:spacing w:after="0"/>
            </w:pPr>
            <w:r/>
            <w:r>
              <w:rPr>
                <w:rFonts w:ascii="Aptos" w:hAnsi="Aptos"/>
                <w:b w:val="0"/>
                <w:sz w:val="16"/>
              </w:rPr>
              <w:t>Access limited to a particular property, tenancy, project, organization or assigned task.</w:t>
            </w:r>
          </w:p>
        </w:tc>
      </w:tr>
    </w:tbl>
    <w:p/>
    <w:p>
      <w:pPr>
        <w:pStyle w:val="Heading1"/>
      </w:pPr>
      <w:r>
        <w:t>Appendix A — Suggested initial role/capability states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4A6E"/>
          </w:tcPr>
          <w:p>
            <w:pPr>
              <w:spacing w:after="0"/>
            </w:pPr>
            <w:r/>
            <w:r>
              <w:rPr>
                <w:rFonts w:ascii="Aptos" w:hAnsi="Aptos"/>
                <w:b/>
                <w:color w:val="FFFFFF"/>
                <w:sz w:val="17"/>
              </w:rPr>
              <w:t>State</w:t>
            </w:r>
          </w:p>
        </w:tc>
        <w:tc>
          <w:tcPr>
            <w:tcW w:type="dxa" w:w="4032"/>
            <w:vAlign w:val="center"/>
            <w:shd w:fill="174A6E"/>
          </w:tcPr>
          <w:p>
            <w:pPr>
              <w:spacing w:after="0"/>
            </w:pPr>
            <w:r/>
            <w:r>
              <w:rPr>
                <w:rFonts w:ascii="Aptos" w:hAnsi="Aptos"/>
                <w:b/>
                <w:color w:val="FFFFFF"/>
                <w:sz w:val="17"/>
              </w:rPr>
              <w:t>Meaning</w:t>
            </w:r>
          </w:p>
        </w:tc>
        <w:tc>
          <w:tcPr>
            <w:tcW w:type="dxa" w:w="4176"/>
            <w:vAlign w:val="center"/>
            <w:shd w:fill="174A6E"/>
          </w:tcPr>
          <w:p>
            <w:pPr>
              <w:spacing w:after="0"/>
            </w:pPr>
            <w:r/>
            <w:r>
              <w:rPr>
                <w:rFonts w:ascii="Aptos" w:hAnsi="Aptos"/>
                <w:b/>
                <w:color w:val="FFFFFF"/>
                <w:sz w:val="17"/>
              </w:rPr>
              <w:t>Allowed behavior</w:t>
            </w:r>
          </w:p>
        </w:tc>
      </w:tr>
      <w:tr>
        <w:tc>
          <w:tcPr>
            <w:tcW w:type="dxa" w:w="2160"/>
            <w:vAlign w:val="center"/>
          </w:tcPr>
          <w:p>
            <w:pPr>
              <w:spacing w:after="0"/>
            </w:pPr>
            <w:r/>
            <w:r>
              <w:rPr>
                <w:rFonts w:ascii="Aptos" w:hAnsi="Aptos"/>
                <w:b w:val="0"/>
                <w:sz w:val="16"/>
              </w:rPr>
              <w:t>Not activated</w:t>
            </w:r>
          </w:p>
        </w:tc>
        <w:tc>
          <w:tcPr>
            <w:tcW w:type="dxa" w:w="4032"/>
            <w:vAlign w:val="center"/>
          </w:tcPr>
          <w:p>
            <w:pPr>
              <w:spacing w:after="0"/>
            </w:pPr>
            <w:r/>
            <w:r>
              <w:rPr>
                <w:rFonts w:ascii="Aptos" w:hAnsi="Aptos"/>
                <w:b w:val="0"/>
                <w:sz w:val="16"/>
              </w:rPr>
              <w:t>User has not requested this capability.</w:t>
            </w:r>
          </w:p>
        </w:tc>
        <w:tc>
          <w:tcPr>
            <w:tcW w:type="dxa" w:w="4176"/>
            <w:vAlign w:val="center"/>
          </w:tcPr>
          <w:p>
            <w:pPr>
              <w:spacing w:after="0"/>
            </w:pPr>
            <w:r/>
            <w:r>
              <w:rPr>
                <w:rFonts w:ascii="Aptos" w:hAnsi="Aptos"/>
                <w:b w:val="0"/>
                <w:sz w:val="16"/>
              </w:rPr>
              <w:t>No capability-specific actions.</w:t>
            </w:r>
          </w:p>
        </w:tc>
      </w:tr>
      <w:tr>
        <w:tc>
          <w:tcPr>
            <w:tcW w:type="dxa" w:w="2160"/>
            <w:vAlign w:val="center"/>
            <w:shd w:fill="F1F6F9"/>
          </w:tcPr>
          <w:p>
            <w:pPr>
              <w:spacing w:after="0"/>
            </w:pPr>
            <w:r/>
            <w:r>
              <w:rPr>
                <w:rFonts w:ascii="Aptos" w:hAnsi="Aptos"/>
                <w:b w:val="0"/>
                <w:sz w:val="16"/>
              </w:rPr>
              <w:t>Draft</w:t>
            </w:r>
          </w:p>
        </w:tc>
        <w:tc>
          <w:tcPr>
            <w:tcW w:type="dxa" w:w="4032"/>
            <w:vAlign w:val="center"/>
            <w:shd w:fill="F1F6F9"/>
          </w:tcPr>
          <w:p>
            <w:pPr>
              <w:spacing w:after="0"/>
            </w:pPr>
            <w:r/>
            <w:r>
              <w:rPr>
                <w:rFonts w:ascii="Aptos" w:hAnsi="Aptos"/>
                <w:b w:val="0"/>
                <w:sz w:val="16"/>
              </w:rPr>
              <w:t>Onboarding started but incomplete.</w:t>
            </w:r>
          </w:p>
        </w:tc>
        <w:tc>
          <w:tcPr>
            <w:tcW w:type="dxa" w:w="4176"/>
            <w:vAlign w:val="center"/>
            <w:shd w:fill="F1F6F9"/>
          </w:tcPr>
          <w:p>
            <w:pPr>
              <w:spacing w:after="0"/>
            </w:pPr>
            <w:r/>
            <w:r>
              <w:rPr>
                <w:rFonts w:ascii="Aptos" w:hAnsi="Aptos"/>
                <w:b w:val="0"/>
                <w:sz w:val="16"/>
              </w:rPr>
              <w:t>Edit onboarding fields only.</w:t>
            </w:r>
          </w:p>
        </w:tc>
      </w:tr>
      <w:tr>
        <w:tc>
          <w:tcPr>
            <w:tcW w:type="dxa" w:w="2160"/>
            <w:vAlign w:val="center"/>
          </w:tcPr>
          <w:p>
            <w:pPr>
              <w:spacing w:after="0"/>
            </w:pPr>
            <w:r/>
            <w:r>
              <w:rPr>
                <w:rFonts w:ascii="Aptos" w:hAnsi="Aptos"/>
                <w:b w:val="0"/>
                <w:sz w:val="16"/>
              </w:rPr>
              <w:t>Pending verification</w:t>
            </w:r>
          </w:p>
        </w:tc>
        <w:tc>
          <w:tcPr>
            <w:tcW w:type="dxa" w:w="4032"/>
            <w:vAlign w:val="center"/>
          </w:tcPr>
          <w:p>
            <w:pPr>
              <w:spacing w:after="0"/>
            </w:pPr>
            <w:r/>
            <w:r>
              <w:rPr>
                <w:rFonts w:ascii="Aptos" w:hAnsi="Aptos"/>
                <w:b w:val="0"/>
                <w:sz w:val="16"/>
              </w:rPr>
              <w:t>Required evidence submitted and awaiting review.</w:t>
            </w:r>
          </w:p>
        </w:tc>
        <w:tc>
          <w:tcPr>
            <w:tcW w:type="dxa" w:w="4176"/>
            <w:vAlign w:val="center"/>
          </w:tcPr>
          <w:p>
            <w:pPr>
              <w:spacing w:after="0"/>
            </w:pPr>
            <w:r/>
            <w:r>
              <w:rPr>
                <w:rFonts w:ascii="Aptos" w:hAnsi="Aptos"/>
                <w:b w:val="0"/>
                <w:sz w:val="16"/>
              </w:rPr>
              <w:t>Limited actions defined by policy.</w:t>
            </w:r>
          </w:p>
        </w:tc>
      </w:tr>
      <w:tr>
        <w:tc>
          <w:tcPr>
            <w:tcW w:type="dxa" w:w="2160"/>
            <w:vAlign w:val="center"/>
            <w:shd w:fill="F1F6F9"/>
          </w:tcPr>
          <w:p>
            <w:pPr>
              <w:spacing w:after="0"/>
            </w:pPr>
            <w:r/>
            <w:r>
              <w:rPr>
                <w:rFonts w:ascii="Aptos" w:hAnsi="Aptos"/>
                <w:b w:val="0"/>
                <w:sz w:val="16"/>
              </w:rPr>
              <w:t>Active</w:t>
            </w:r>
          </w:p>
        </w:tc>
        <w:tc>
          <w:tcPr>
            <w:tcW w:type="dxa" w:w="4032"/>
            <w:vAlign w:val="center"/>
            <w:shd w:fill="F1F6F9"/>
          </w:tcPr>
          <w:p>
            <w:pPr>
              <w:spacing w:after="0"/>
            </w:pPr>
            <w:r/>
            <w:r>
              <w:rPr>
                <w:rFonts w:ascii="Aptos" w:hAnsi="Aptos"/>
                <w:b w:val="0"/>
                <w:sz w:val="16"/>
              </w:rPr>
              <w:t>Required onboarding and checks approved.</w:t>
            </w:r>
          </w:p>
        </w:tc>
        <w:tc>
          <w:tcPr>
            <w:tcW w:type="dxa" w:w="4176"/>
            <w:vAlign w:val="center"/>
            <w:shd w:fill="F1F6F9"/>
          </w:tcPr>
          <w:p>
            <w:pPr>
              <w:spacing w:after="0"/>
            </w:pPr>
            <w:r/>
            <w:r>
              <w:rPr>
                <w:rFonts w:ascii="Aptos" w:hAnsi="Aptos"/>
                <w:b w:val="0"/>
                <w:sz w:val="16"/>
              </w:rPr>
              <w:t>Permitted actions within capability and resource scope.</w:t>
            </w:r>
          </w:p>
        </w:tc>
      </w:tr>
      <w:tr>
        <w:tc>
          <w:tcPr>
            <w:tcW w:type="dxa" w:w="2160"/>
            <w:vAlign w:val="center"/>
          </w:tcPr>
          <w:p>
            <w:pPr>
              <w:spacing w:after="0"/>
            </w:pPr>
            <w:r/>
            <w:r>
              <w:rPr>
                <w:rFonts w:ascii="Aptos" w:hAnsi="Aptos"/>
                <w:b w:val="0"/>
                <w:sz w:val="16"/>
              </w:rPr>
              <w:t>Restricted</w:t>
            </w:r>
          </w:p>
        </w:tc>
        <w:tc>
          <w:tcPr>
            <w:tcW w:type="dxa" w:w="4032"/>
            <w:vAlign w:val="center"/>
          </w:tcPr>
          <w:p>
            <w:pPr>
              <w:spacing w:after="0"/>
            </w:pPr>
            <w:r/>
            <w:r>
              <w:rPr>
                <w:rFonts w:ascii="Aptos" w:hAnsi="Aptos"/>
                <w:b w:val="0"/>
                <w:sz w:val="16"/>
              </w:rPr>
              <w:t>Some actions temporarily disabled.</w:t>
            </w:r>
          </w:p>
        </w:tc>
        <w:tc>
          <w:tcPr>
            <w:tcW w:type="dxa" w:w="4176"/>
            <w:vAlign w:val="center"/>
          </w:tcPr>
          <w:p>
            <w:pPr>
              <w:spacing w:after="0"/>
            </w:pPr>
            <w:r/>
            <w:r>
              <w:rPr>
                <w:rFonts w:ascii="Aptos" w:hAnsi="Aptos"/>
                <w:b w:val="0"/>
                <w:sz w:val="16"/>
              </w:rPr>
              <w:t>Read-only or narrowly scoped actions according to reason.</w:t>
            </w:r>
          </w:p>
        </w:tc>
      </w:tr>
      <w:tr>
        <w:tc>
          <w:tcPr>
            <w:tcW w:type="dxa" w:w="2160"/>
            <w:vAlign w:val="center"/>
            <w:shd w:fill="F1F6F9"/>
          </w:tcPr>
          <w:p>
            <w:pPr>
              <w:spacing w:after="0"/>
            </w:pPr>
            <w:r/>
            <w:r>
              <w:rPr>
                <w:rFonts w:ascii="Aptos" w:hAnsi="Aptos"/>
                <w:b w:val="0"/>
                <w:sz w:val="16"/>
              </w:rPr>
              <w:t>Suspended</w:t>
            </w:r>
          </w:p>
        </w:tc>
        <w:tc>
          <w:tcPr>
            <w:tcW w:type="dxa" w:w="4032"/>
            <w:vAlign w:val="center"/>
            <w:shd w:fill="F1F6F9"/>
          </w:tcPr>
          <w:p>
            <w:pPr>
              <w:spacing w:after="0"/>
            </w:pPr>
            <w:r/>
            <w:r>
              <w:rPr>
                <w:rFonts w:ascii="Aptos" w:hAnsi="Aptos"/>
                <w:b w:val="0"/>
                <w:sz w:val="16"/>
              </w:rPr>
              <w:t>Capability disabled following review/security/legal trigger.</w:t>
            </w:r>
          </w:p>
        </w:tc>
        <w:tc>
          <w:tcPr>
            <w:tcW w:type="dxa" w:w="4176"/>
            <w:vAlign w:val="center"/>
            <w:shd w:fill="F1F6F9"/>
          </w:tcPr>
          <w:p>
            <w:pPr>
              <w:spacing w:after="0"/>
            </w:pPr>
            <w:r/>
            <w:r>
              <w:rPr>
                <w:rFonts w:ascii="Aptos" w:hAnsi="Aptos"/>
                <w:b w:val="0"/>
                <w:sz w:val="16"/>
              </w:rPr>
              <w:t>No new actions; access to records only where policy permits.</w:t>
            </w:r>
          </w:p>
        </w:tc>
      </w:tr>
      <w:tr>
        <w:tc>
          <w:tcPr>
            <w:tcW w:type="dxa" w:w="2160"/>
            <w:vAlign w:val="center"/>
          </w:tcPr>
          <w:p>
            <w:pPr>
              <w:spacing w:after="0"/>
            </w:pPr>
            <w:r/>
            <w:r>
              <w:rPr>
                <w:rFonts w:ascii="Aptos" w:hAnsi="Aptos"/>
                <w:b w:val="0"/>
                <w:sz w:val="16"/>
              </w:rPr>
              <w:t>Rejected</w:t>
            </w:r>
          </w:p>
        </w:tc>
        <w:tc>
          <w:tcPr>
            <w:tcW w:type="dxa" w:w="4032"/>
            <w:vAlign w:val="center"/>
          </w:tcPr>
          <w:p>
            <w:pPr>
              <w:spacing w:after="0"/>
            </w:pPr>
            <w:r/>
            <w:r>
              <w:rPr>
                <w:rFonts w:ascii="Aptos" w:hAnsi="Aptos"/>
                <w:b w:val="0"/>
                <w:sz w:val="16"/>
              </w:rPr>
              <w:t>Activation request not approved.</w:t>
            </w:r>
          </w:p>
        </w:tc>
        <w:tc>
          <w:tcPr>
            <w:tcW w:type="dxa" w:w="4176"/>
            <w:vAlign w:val="center"/>
          </w:tcPr>
          <w:p>
            <w:pPr>
              <w:spacing w:after="0"/>
            </w:pPr>
            <w:r/>
            <w:r>
              <w:rPr>
                <w:rFonts w:ascii="Aptos" w:hAnsi="Aptos"/>
                <w:b w:val="0"/>
                <w:sz w:val="16"/>
              </w:rPr>
              <w:t>May view reason and appeal/resubmit where supported.</w:t>
            </w:r>
          </w:p>
        </w:tc>
      </w:tr>
    </w:tbl>
    <w:p/>
    <w:p>
      <w:pPr>
        <w:pStyle w:val="Heading1"/>
      </w:pPr>
      <w:r>
        <w:t>Appendix B — Suggested MVP API groups</w:t>
      </w:r>
    </w:p>
    <w:p>
      <w:pPr>
        <w:pStyle w:val="ListBullet"/>
        <w:spacing w:after="40"/>
      </w:pPr>
      <w:r>
        <w:t>/api/v1/auth/* — OTP, sessions, recovery and device/session management.</w:t>
      </w:r>
    </w:p>
    <w:p>
      <w:pPr>
        <w:pStyle w:val="ListBullet"/>
        <w:spacing w:after="40"/>
      </w:pPr>
      <w:r>
        <w:t>/api/v1/me/* — current identity, capabilities and workspace switching.</w:t>
      </w:r>
    </w:p>
    <w:p>
      <w:pPr>
        <w:pStyle w:val="ListBullet"/>
        <w:spacing w:after="40"/>
      </w:pPr>
      <w:r>
        <w:t>/api/v1/organizations/* — organization profiles and memberships.</w:t>
      </w:r>
    </w:p>
    <w:p>
      <w:pPr>
        <w:pStyle w:val="ListBullet"/>
        <w:spacing w:after="40"/>
      </w:pPr>
      <w:r>
        <w:t>/api/v1/properties/* and /api/v1/units/* — property/unit management.</w:t>
      </w:r>
    </w:p>
    <w:p>
      <w:pPr>
        <w:pStyle w:val="ListBullet"/>
        <w:spacing w:after="40"/>
      </w:pPr>
      <w:r>
        <w:t>/api/v1/listings/* and /api/v1/search/* — public discovery, filters, favorites and reports.</w:t>
      </w:r>
    </w:p>
    <w:p>
      <w:pPr>
        <w:pStyle w:val="ListBullet"/>
        <w:spacing w:after="40"/>
      </w:pPr>
      <w:r>
        <w:t>/api/v1/verifications/* — verification cases, evidence metadata and decisions.</w:t>
      </w:r>
    </w:p>
    <w:p>
      <w:pPr>
        <w:pStyle w:val="ListBullet"/>
        <w:spacing w:after="40"/>
      </w:pPr>
      <w:r>
        <w:t>/api/v1/viewings/* and /api/v1/applications/* — rental lead workflows.</w:t>
      </w:r>
    </w:p>
    <w:p>
      <w:pPr>
        <w:pStyle w:val="ListBullet"/>
        <w:spacing w:after="40"/>
      </w:pPr>
      <w:r>
        <w:t>/api/v1/tenancies/* and /api/v1/leases/* — tenancy and document workflows.</w:t>
      </w:r>
    </w:p>
    <w:p>
      <w:pPr>
        <w:pStyle w:val="ListBullet"/>
        <w:spacing w:after="40"/>
      </w:pPr>
      <w:r>
        <w:t>/api/v1/rent-ledger/* and /api/v1/payments/* — obligations, payment attempts, reconciliation and receipts.</w:t>
      </w:r>
    </w:p>
    <w:p>
      <w:pPr>
        <w:pStyle w:val="ListBullet"/>
        <w:spacing w:after="40"/>
      </w:pPr>
      <w:r>
        <w:t>/api/v1/maintenance/* and /api/v1/vendors/* — requests, jobs and assignments.</w:t>
      </w:r>
    </w:p>
    <w:p>
      <w:pPr>
        <w:pStyle w:val="ListBullet"/>
        <w:spacing w:after="40"/>
      </w:pPr>
      <w:r>
        <w:t>/api/v1/savings-goals/* — Panga Akiba tracking.</w:t>
      </w:r>
    </w:p>
    <w:p>
      <w:pPr>
        <w:pStyle w:val="ListBullet"/>
        <w:spacing w:after="40"/>
      </w:pPr>
      <w:r>
        <w:t>/api/v1/rental-passport/* — private events, expenses, documents and controlled sharing.</w:t>
      </w:r>
    </w:p>
    <w:p>
      <w:pPr>
        <w:pStyle w:val="ListBullet"/>
        <w:spacing w:after="40"/>
      </w:pPr>
      <w:r>
        <w:t>/api/v1/finance-connect/* — requests, provider directory, consent, matching and status only after approved release.</w:t>
      </w:r>
    </w:p>
    <w:p>
      <w:pPr>
        <w:pStyle w:val="ListBullet"/>
        <w:spacing w:after="40"/>
      </w:pPr>
      <w:r>
        <w:t>/api/v1/projects/* — investment/project profiles only after approved release.</w:t>
      </w:r>
    </w:p>
    <w:p>
      <w:pPr>
        <w:pStyle w:val="ListBullet"/>
        <w:spacing w:after="40"/>
      </w:pPr>
      <w:r>
        <w:t>/api/v1/notifications/*, /api/v1/reports/* and /api/v1/admin/* — notification preferences, exports and protected moderation tools.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Panga na Kupangisha — Engineering SRS v1.0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4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78A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A6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