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pPr>
      <w:r>
        <w:rPr>
          <w:rFonts w:ascii="Aptos Display" w:hAnsi="Aptos Display"/>
          <w:b/>
          <w:color w:val="1C4863"/>
          <w:sz w:val="68"/>
        </w:rPr>
        <w:t>PANGA NA</w:t>
        <w:br/>
        <w:t>KUPANGISHA</w:t>
      </w:r>
    </w:p>
    <w:p>
      <w:r>
        <w:rPr>
          <w:b/>
          <w:color w:val="2778A5"/>
          <w:sz w:val="40"/>
        </w:rPr>
        <w:t>Product Requirements Document</w:t>
      </w:r>
    </w:p>
    <w:p>
      <w:r>
        <w:rPr>
          <w:color w:val="596974"/>
          <w:sz w:val="24"/>
        </w:rPr>
        <w:t>An owner-direct property marketplace and end-to-end rental relationship platform for Tanzania.</w:t>
      </w:r>
    </w:p>
    <w:p/>
    <w:tbl>
      <w:tblPr>
        <w:tblStyle w:val="TableGrid"/>
        <w:tblW w:type="auto" w:w="0"/>
        <w:jc w:val="center"/>
        <w:tblLook w:firstColumn="1" w:firstRow="1" w:lastColumn="0" w:lastRow="0" w:noHBand="0" w:noVBand="1" w:val="04A0"/>
      </w:tblPr>
      <w:tblGrid>
        <w:gridCol w:w="4997"/>
        <w:gridCol w:w="4997"/>
      </w:tblGrid>
      <w:tr>
        <w:tc>
          <w:tcPr>
            <w:tcW w:type="dxa" w:w="4997"/>
            <w:shd w:fill="1C4863"/>
          </w:tcPr>
          <w:p>
            <w:r>
              <w:rPr>
                <w:b/>
                <w:color w:val="FFFFFF"/>
                <w:sz w:val="16"/>
              </w:rPr>
              <w:t>Document control</w:t>
            </w:r>
          </w:p>
        </w:tc>
        <w:tc>
          <w:tcPr>
            <w:tcW w:type="dxa" w:w="4997"/>
            <w:shd w:fill="1C4863"/>
          </w:tcPr>
          <w:p>
            <w:r>
              <w:rPr>
                <w:b/>
                <w:color w:val="FFFFFF"/>
                <w:sz w:val="16"/>
              </w:rPr>
              <w:t>Value</w:t>
            </w:r>
          </w:p>
        </w:tc>
      </w:tr>
      <w:tr>
        <w:tc>
          <w:tcPr>
            <w:tcW w:type="dxa" w:w="4997"/>
            <w:vAlign w:val="center"/>
          </w:tcPr>
          <w:p>
            <w:pPr>
              <w:spacing w:after="20"/>
            </w:pPr>
            <w:r>
              <w:rPr>
                <w:sz w:val="16"/>
              </w:rPr>
              <w:t>Version</w:t>
            </w:r>
          </w:p>
        </w:tc>
        <w:tc>
          <w:tcPr>
            <w:tcW w:type="dxa" w:w="4997"/>
            <w:vAlign w:val="center"/>
          </w:tcPr>
          <w:p>
            <w:pPr>
              <w:spacing w:after="20"/>
            </w:pPr>
            <w:r>
              <w:rPr>
                <w:sz w:val="16"/>
              </w:rPr>
              <w:t>1.0</w:t>
            </w:r>
          </w:p>
        </w:tc>
      </w:tr>
      <w:tr>
        <w:tc>
          <w:tcPr>
            <w:tcW w:type="dxa" w:w="4997"/>
            <w:vAlign w:val="center"/>
            <w:shd w:fill="F1F6F8"/>
          </w:tcPr>
          <w:p>
            <w:pPr>
              <w:spacing w:after="20"/>
            </w:pPr>
            <w:r>
              <w:rPr>
                <w:sz w:val="16"/>
              </w:rPr>
              <w:t>Status</w:t>
            </w:r>
          </w:p>
        </w:tc>
        <w:tc>
          <w:tcPr>
            <w:tcW w:type="dxa" w:w="4997"/>
            <w:vAlign w:val="center"/>
            <w:shd w:fill="F1F6F8"/>
          </w:tcPr>
          <w:p>
            <w:pPr>
              <w:spacing w:after="20"/>
            </w:pPr>
            <w:r>
              <w:rPr>
                <w:sz w:val="16"/>
              </w:rPr>
              <w:t>Product baseline for review</w:t>
            </w:r>
          </w:p>
        </w:tc>
      </w:tr>
      <w:tr>
        <w:tc>
          <w:tcPr>
            <w:tcW w:type="dxa" w:w="4997"/>
            <w:vAlign w:val="center"/>
          </w:tcPr>
          <w:p>
            <w:pPr>
              <w:spacing w:after="20"/>
            </w:pPr>
            <w:r>
              <w:rPr>
                <w:sz w:val="16"/>
              </w:rPr>
              <w:t>Date</w:t>
            </w:r>
          </w:p>
        </w:tc>
        <w:tc>
          <w:tcPr>
            <w:tcW w:type="dxa" w:w="4997"/>
            <w:vAlign w:val="center"/>
          </w:tcPr>
          <w:p>
            <w:pPr>
              <w:spacing w:after="20"/>
            </w:pPr>
            <w:r>
              <w:rPr>
                <w:sz w:val="16"/>
              </w:rPr>
              <w:t>12 October 2026</w:t>
            </w:r>
          </w:p>
        </w:tc>
      </w:tr>
      <w:tr>
        <w:tc>
          <w:tcPr>
            <w:tcW w:type="dxa" w:w="4997"/>
            <w:vAlign w:val="center"/>
            <w:shd w:fill="F1F6F8"/>
          </w:tcPr>
          <w:p>
            <w:pPr>
              <w:spacing w:after="20"/>
            </w:pPr>
            <w:r>
              <w:rPr>
                <w:sz w:val="16"/>
              </w:rPr>
              <w:t>Product owner</w:t>
            </w:r>
          </w:p>
        </w:tc>
        <w:tc>
          <w:tcPr>
            <w:tcW w:type="dxa" w:w="4997"/>
            <w:vAlign w:val="center"/>
            <w:shd w:fill="F1F6F8"/>
          </w:tcPr>
          <w:p>
            <w:pPr>
              <w:spacing w:after="20"/>
            </w:pPr>
            <w:r>
              <w:rPr>
                <w:sz w:val="16"/>
              </w:rPr>
              <w:t>Ibrahim Kimaro</w:t>
            </w:r>
          </w:p>
        </w:tc>
      </w:tr>
      <w:tr>
        <w:tc>
          <w:tcPr>
            <w:tcW w:type="dxa" w:w="4997"/>
            <w:vAlign w:val="center"/>
          </w:tcPr>
          <w:p>
            <w:pPr>
              <w:spacing w:after="20"/>
            </w:pPr>
            <w:r>
              <w:rPr>
                <w:sz w:val="16"/>
              </w:rPr>
              <w:t>Market focus</w:t>
            </w:r>
          </w:p>
        </w:tc>
        <w:tc>
          <w:tcPr>
            <w:tcW w:type="dxa" w:w="4997"/>
            <w:vAlign w:val="center"/>
          </w:tcPr>
          <w:p>
            <w:pPr>
              <w:spacing w:after="20"/>
            </w:pPr>
            <w:r>
              <w:rPr>
                <w:sz w:val="16"/>
              </w:rPr>
              <w:t>Tanzania; launch geography to be confirmed</w:t>
            </w:r>
          </w:p>
        </w:tc>
      </w:tr>
      <w:tr>
        <w:tc>
          <w:tcPr>
            <w:tcW w:type="dxa" w:w="4997"/>
            <w:vAlign w:val="center"/>
            <w:shd w:fill="F1F6F8"/>
          </w:tcPr>
          <w:p>
            <w:pPr>
              <w:spacing w:after="20"/>
            </w:pPr>
            <w:r>
              <w:rPr>
                <w:sz w:val="16"/>
              </w:rPr>
              <w:t>Related document</w:t>
            </w:r>
          </w:p>
        </w:tc>
        <w:tc>
          <w:tcPr>
            <w:tcW w:type="dxa" w:w="4997"/>
            <w:vAlign w:val="center"/>
            <w:shd w:fill="F1F6F8"/>
          </w:tcPr>
          <w:p>
            <w:pPr>
              <w:spacing w:after="20"/>
            </w:pPr>
            <w:r>
              <w:rPr>
                <w:sz w:val="16"/>
              </w:rPr>
              <w:t>Panga na Kupangisha Engineering SRS v1.0</w:t>
            </w:r>
          </w:p>
        </w:tc>
      </w:tr>
    </w:tbl>
    <w:p/>
    <w:p>
      <w:r>
        <w:t>Purpose: define who the product serves, which problems it solves, what it should deliver first, how it differs from alternatives, and how success will be measured. Detailed implementation and backend schema belong in the Technical Design Document.</w:t>
      </w:r>
    </w:p>
    <w:p>
      <w:r>
        <w:br w:type="page"/>
      </w:r>
    </w:p>
    <w:p>
      <w:pPr>
        <w:pStyle w:val="Heading1"/>
      </w:pPr>
      <w:r>
        <w:t>1. Executive summary</w:t>
      </w:r>
    </w:p>
    <w:p>
      <w:r>
        <w:t>Panga na Kupangisha is designed to help people find, rent, manage and document housing relationships—not simply publish property adverts. It starts with an owner-direct marketplace: property owners can publish homes, while tenants can identify whether they are speaking to the owner or a clearly labelled, authorized manager. The product then supports the relationship after a viewing through applications, tenancy records, rent tracking, maintenance, documents, communication and a portable tenant-controlled Rental Passport.</w:t>
      </w:r>
    </w:p>
    <w:p>
      <w:r>
        <w:t>The longer-term product includes Panga Akiba for rent-savings goals and Panga Finance Connect to help tenants discover eligible independent financing providers. These capabilities must be introduced only after appropriate Tanzanian legal, regulatory and partner review. The platform should not imply it is a lender, guarantee financing, or hold customer funds under the intended initial model.</w:t>
      </w:r>
    </w:p>
    <w:p>
      <w:r>
        <w:t>Core promise: find housing with more confidence, manage renting with less friction, and keep a useful record of your housing journey.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C4863"/>
          </w:tcPr>
          <w:p>
            <w:r>
              <w:rPr>
                <w:b/>
                <w:color w:val="FFFFFF"/>
                <w:sz w:val="16"/>
              </w:rPr>
              <w:t>Pillar</w:t>
            </w:r>
          </w:p>
        </w:tc>
        <w:tc>
          <w:tcPr>
            <w:tcW w:type="dxa" w:w="3331"/>
            <w:shd w:fill="1C4863"/>
          </w:tcPr>
          <w:p>
            <w:r>
              <w:rPr>
                <w:b/>
                <w:color w:val="FFFFFF"/>
                <w:sz w:val="16"/>
              </w:rPr>
              <w:t>User outcome</w:t>
            </w:r>
          </w:p>
        </w:tc>
        <w:tc>
          <w:tcPr>
            <w:tcW w:type="dxa" w:w="3331"/>
            <w:shd w:fill="1C4863"/>
          </w:tcPr>
          <w:p>
            <w:r>
              <w:rPr>
                <w:b/>
                <w:color w:val="FFFFFF"/>
                <w:sz w:val="16"/>
              </w:rPr>
              <w:t>Initial emphasis</w:t>
            </w:r>
          </w:p>
        </w:tc>
      </w:tr>
      <w:tr>
        <w:tc>
          <w:tcPr>
            <w:tcW w:type="dxa" w:w="3331"/>
            <w:vAlign w:val="center"/>
          </w:tcPr>
          <w:p>
            <w:pPr>
              <w:spacing w:after="20"/>
            </w:pPr>
            <w:r>
              <w:rPr>
                <w:sz w:val="16"/>
              </w:rPr>
              <w:t>Trustworthy discovery</w:t>
            </w:r>
          </w:p>
        </w:tc>
        <w:tc>
          <w:tcPr>
            <w:tcW w:type="dxa" w:w="3331"/>
            <w:vAlign w:val="center"/>
          </w:tcPr>
          <w:p>
            <w:pPr>
              <w:spacing w:after="20"/>
            </w:pPr>
            <w:r>
              <w:rPr>
                <w:sz w:val="16"/>
              </w:rPr>
              <w:t>Find relevant homes and understand who is advertising them.</w:t>
            </w:r>
          </w:p>
        </w:tc>
        <w:tc>
          <w:tcPr>
            <w:tcW w:type="dxa" w:w="3331"/>
            <w:vAlign w:val="center"/>
          </w:tcPr>
          <w:p>
            <w:pPr>
              <w:spacing w:after="20"/>
            </w:pPr>
            <w:r>
              <w:rPr>
                <w:sz w:val="16"/>
              </w:rPr>
              <w:t>Owner/authority verification, fresh availability, search, reporting.</w:t>
            </w:r>
          </w:p>
        </w:tc>
      </w:tr>
      <w:tr>
        <w:tc>
          <w:tcPr>
            <w:tcW w:type="dxa" w:w="3331"/>
            <w:vAlign w:val="center"/>
            <w:shd w:fill="F1F6F8"/>
          </w:tcPr>
          <w:p>
            <w:pPr>
              <w:spacing w:after="20"/>
            </w:pPr>
            <w:r>
              <w:rPr>
                <w:sz w:val="16"/>
              </w:rPr>
              <w:t>Rental workflow</w:t>
            </w:r>
          </w:p>
        </w:tc>
        <w:tc>
          <w:tcPr>
            <w:tcW w:type="dxa" w:w="3331"/>
            <w:vAlign w:val="center"/>
            <w:shd w:fill="F1F6F8"/>
          </w:tcPr>
          <w:p>
            <w:pPr>
              <w:spacing w:after="20"/>
            </w:pPr>
            <w:r>
              <w:rPr>
                <w:sz w:val="16"/>
              </w:rPr>
              <w:t>Move from interest to viewing, application and documented tenancy.</w:t>
            </w:r>
          </w:p>
        </w:tc>
        <w:tc>
          <w:tcPr>
            <w:tcW w:type="dxa" w:w="3331"/>
            <w:vAlign w:val="center"/>
            <w:shd w:fill="F1F6F8"/>
          </w:tcPr>
          <w:p>
            <w:pPr>
              <w:spacing w:after="20"/>
            </w:pPr>
            <w:r>
              <w:rPr>
                <w:sz w:val="16"/>
              </w:rPr>
              <w:t>Inquiries, viewing scheduler, applications, lease/document tracking.</w:t>
            </w:r>
          </w:p>
        </w:tc>
      </w:tr>
      <w:tr>
        <w:tc>
          <w:tcPr>
            <w:tcW w:type="dxa" w:w="3331"/>
            <w:vAlign w:val="center"/>
          </w:tcPr>
          <w:p>
            <w:pPr>
              <w:spacing w:after="20"/>
            </w:pPr>
            <w:r>
              <w:rPr>
                <w:sz w:val="16"/>
              </w:rPr>
              <w:t>Rental operations</w:t>
            </w:r>
          </w:p>
        </w:tc>
        <w:tc>
          <w:tcPr>
            <w:tcW w:type="dxa" w:w="3331"/>
            <w:vAlign w:val="center"/>
          </w:tcPr>
          <w:p>
            <w:pPr>
              <w:spacing w:after="20"/>
            </w:pPr>
            <w:r>
              <w:rPr>
                <w:sz w:val="16"/>
              </w:rPr>
              <w:t>Make rent and maintenance easier to understand.</w:t>
            </w:r>
          </w:p>
        </w:tc>
        <w:tc>
          <w:tcPr>
            <w:tcW w:type="dxa" w:w="3331"/>
            <w:vAlign w:val="center"/>
          </w:tcPr>
          <w:p>
            <w:pPr>
              <w:spacing w:after="20"/>
            </w:pPr>
            <w:r>
              <w:rPr>
                <w:sz w:val="16"/>
              </w:rPr>
              <w:t>Ledger, receipts, reminders, maintenance and work orders.</w:t>
            </w:r>
          </w:p>
        </w:tc>
      </w:tr>
      <w:tr>
        <w:tc>
          <w:tcPr>
            <w:tcW w:type="dxa" w:w="3331"/>
            <w:vAlign w:val="center"/>
            <w:shd w:fill="F1F6F8"/>
          </w:tcPr>
          <w:p>
            <w:pPr>
              <w:spacing w:after="20"/>
            </w:pPr>
            <w:r>
              <w:rPr>
                <w:sz w:val="16"/>
              </w:rPr>
              <w:t>Portable housing history</w:t>
            </w:r>
          </w:p>
        </w:tc>
        <w:tc>
          <w:tcPr>
            <w:tcW w:type="dxa" w:w="3331"/>
            <w:vAlign w:val="center"/>
            <w:shd w:fill="F1F6F8"/>
          </w:tcPr>
          <w:p>
            <w:pPr>
              <w:spacing w:after="20"/>
            </w:pPr>
            <w:r>
              <w:rPr>
                <w:sz w:val="16"/>
              </w:rPr>
              <w:t>Keep a personal, evidence-backed record across homes.</w:t>
            </w:r>
          </w:p>
        </w:tc>
        <w:tc>
          <w:tcPr>
            <w:tcW w:type="dxa" w:w="3331"/>
            <w:vAlign w:val="center"/>
            <w:shd w:fill="F1F6F8"/>
          </w:tcPr>
          <w:p>
            <w:pPr>
              <w:spacing w:after="20"/>
            </w:pPr>
            <w:r>
              <w:rPr>
                <w:sz w:val="16"/>
              </w:rPr>
              <w:t>Rental Passport, privacy controls, corrections/disputes.</w:t>
            </w:r>
          </w:p>
        </w:tc>
      </w:tr>
      <w:tr>
        <w:tc>
          <w:tcPr>
            <w:tcW w:type="dxa" w:w="3331"/>
            <w:vAlign w:val="center"/>
          </w:tcPr>
          <w:p>
            <w:pPr>
              <w:spacing w:after="20"/>
            </w:pPr>
            <w:r>
              <w:rPr>
                <w:sz w:val="16"/>
              </w:rPr>
              <w:t>Financial access</w:t>
            </w:r>
          </w:p>
        </w:tc>
        <w:tc>
          <w:tcPr>
            <w:tcW w:type="dxa" w:w="3331"/>
            <w:vAlign w:val="center"/>
          </w:tcPr>
          <w:p>
            <w:pPr>
              <w:spacing w:after="20"/>
            </w:pPr>
            <w:r>
              <w:rPr>
                <w:sz w:val="16"/>
              </w:rPr>
              <w:t>Plan for rent and explore external options responsibly.</w:t>
            </w:r>
          </w:p>
        </w:tc>
        <w:tc>
          <w:tcPr>
            <w:tcW w:type="dxa" w:w="3331"/>
            <w:vAlign w:val="center"/>
          </w:tcPr>
          <w:p>
            <w:pPr>
              <w:spacing w:after="20"/>
            </w:pPr>
            <w:r>
              <w:rPr>
                <w:sz w:val="16"/>
              </w:rPr>
              <w:t>Savings goals first; finance matching only after legal review.</w:t>
            </w:r>
          </w:p>
        </w:tc>
      </w:tr>
    </w:tbl>
    <w:p/>
    <w:p>
      <w:pPr>
        <w:pStyle w:val="Heading1"/>
      </w:pPr>
      <w:r>
        <w:t>2. Vision, positioning and principles</w:t>
      </w:r>
    </w:p>
    <w:p>
      <w:pPr>
        <w:pStyle w:val="Heading2"/>
      </w:pPr>
      <w:r>
        <w:t>2.1 Vision</w:t>
      </w:r>
    </w:p>
    <w:p>
      <w:r>
        <w:t>Become a trusted digital place where people in Tanzania can discover housing, form clearer rental agreements, manage day-to-day tenancy, and carry their housing history with them when they move.</w:t>
      </w:r>
    </w:p>
    <w:p>
      <w:pPr>
        <w:pStyle w:val="Heading2"/>
      </w:pPr>
      <w:r>
        <w:t>2.2 Positioning</w:t>
      </w:r>
    </w:p>
    <w:p>
      <w:r>
        <w:t>For tenants and property owners who need more than an advert, Panga na Kupangisha combines owner-direct discovery with practical rental management and a tenant-controlled housing record. Unlike a listing-only marketplace or landlord-only management tool, it aims to support the housing journey before, during and after a tenancy.</w:t>
      </w:r>
    </w:p>
    <w:p>
      <w:pPr>
        <w:pStyle w:val="Heading2"/>
      </w:pPr>
      <w:r>
        <w:t>2.3 Product principles</w:t>
      </w:r>
    </w:p>
    <w:p>
      <w:pPr>
        <w:pStyle w:val="ListBullet"/>
        <w:spacing w:after="40"/>
      </w:pPr>
      <w:r>
        <w:t>Owner-direct by default; managers/agents may participate only with transparent labels and appropriate authority.</w:t>
      </w:r>
    </w:p>
    <w:p>
      <w:pPr>
        <w:pStyle w:val="ListBullet"/>
        <w:spacing w:after="40"/>
      </w:pPr>
      <w:r>
        <w:t>Verification must explain what was checked, by whom and when; it must not promise a property is risk-free.</w:t>
      </w:r>
    </w:p>
    <w:p>
      <w:pPr>
        <w:pStyle w:val="ListBullet"/>
        <w:spacing w:after="40"/>
      </w:pPr>
      <w:r>
        <w:t>One account can have multiple capabilities, each with separate onboarding, permissions and dashboard experiences.</w:t>
      </w:r>
    </w:p>
    <w:p>
      <w:pPr>
        <w:pStyle w:val="ListBullet"/>
        <w:spacing w:after="40"/>
      </w:pPr>
      <w:r>
        <w:t>Support the complete relationship: listing → viewing → application → tenancy → rent/maintenance → move-out.</w:t>
      </w:r>
    </w:p>
    <w:p>
      <w:pPr>
        <w:pStyle w:val="ListBullet"/>
        <w:spacing w:after="40"/>
      </w:pPr>
      <w:r>
        <w:t>Tenant privacy by default: private notes and memories are not automatically visible to landlords or providers.</w:t>
      </w:r>
    </w:p>
    <w:p>
      <w:pPr>
        <w:pStyle w:val="ListBullet"/>
        <w:spacing w:after="40"/>
      </w:pPr>
      <w:r>
        <w:t>Clearly distinguish user-entered, evidence-attached, counterparty-confirmed and provider-confirmed records.</w:t>
      </w:r>
    </w:p>
    <w:p>
      <w:pPr>
        <w:pStyle w:val="ListBullet"/>
        <w:spacing w:after="40"/>
      </w:pPr>
      <w:r>
        <w:t>Design for English and Swahili, mobile-first usage, low-bandwidth conditions and Tanzania-relevant integrations.</w:t>
      </w:r>
    </w:p>
    <w:p>
      <w:pPr>
        <w:pStyle w:val="ListBullet"/>
        <w:spacing w:after="40"/>
      </w:pPr>
      <w:r>
        <w:t>Deliver a reliable marketplace and rental workflow before complex finance, investment or unnecessary microservices.</w:t>
      </w:r>
    </w:p>
    <w:p>
      <w:pPr>
        <w:pStyle w:val="Heading1"/>
      </w:pPr>
      <w:r>
        <w:t>3. Problem statement</w:t>
      </w:r>
    </w:p>
    <w:p>
      <w:r>
        <w:t>The following are product hypotheses to validate with Tanzanian users, not claims that every user experiences every problem.</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C4863"/>
          </w:tcPr>
          <w:p>
            <w:r>
              <w:rPr>
                <w:b/>
                <w:color w:val="FFFFFF"/>
                <w:sz w:val="16"/>
              </w:rPr>
              <w:t>Problem hypothesis</w:t>
            </w:r>
          </w:p>
        </w:tc>
        <w:tc>
          <w:tcPr>
            <w:tcW w:type="dxa" w:w="3331"/>
            <w:shd w:fill="1C4863"/>
          </w:tcPr>
          <w:p>
            <w:r>
              <w:rPr>
                <w:b/>
                <w:color w:val="FFFFFF"/>
                <w:sz w:val="16"/>
              </w:rPr>
              <w:t>Who is affected</w:t>
            </w:r>
          </w:p>
        </w:tc>
        <w:tc>
          <w:tcPr>
            <w:tcW w:type="dxa" w:w="3331"/>
            <w:shd w:fill="1C4863"/>
          </w:tcPr>
          <w:p>
            <w:r>
              <w:rPr>
                <w:b/>
                <w:color w:val="FFFFFF"/>
                <w:sz w:val="16"/>
              </w:rPr>
              <w:t>Product response</w:t>
            </w:r>
          </w:p>
        </w:tc>
      </w:tr>
      <w:tr>
        <w:tc>
          <w:tcPr>
            <w:tcW w:type="dxa" w:w="3331"/>
            <w:vAlign w:val="center"/>
          </w:tcPr>
          <w:p>
            <w:pPr>
              <w:spacing w:after="20"/>
            </w:pPr>
            <w:r>
              <w:rPr>
                <w:sz w:val="16"/>
              </w:rPr>
              <w:t>It can be difficult to distinguish genuine owners, authorized representatives, stale listings and misleading adverts.</w:t>
            </w:r>
          </w:p>
        </w:tc>
        <w:tc>
          <w:tcPr>
            <w:tcW w:type="dxa" w:w="3331"/>
            <w:vAlign w:val="center"/>
          </w:tcPr>
          <w:p>
            <w:pPr>
              <w:spacing w:after="20"/>
            </w:pPr>
            <w:r>
              <w:rPr>
                <w:sz w:val="16"/>
              </w:rPr>
              <w:t>Tenants and responsible owners</w:t>
            </w:r>
          </w:p>
        </w:tc>
        <w:tc>
          <w:tcPr>
            <w:tcW w:type="dxa" w:w="3331"/>
            <w:vAlign w:val="center"/>
          </w:tcPr>
          <w:p>
            <w:pPr>
              <w:spacing w:after="20"/>
            </w:pPr>
            <w:r>
              <w:rPr>
                <w:sz w:val="16"/>
              </w:rPr>
              <w:t>Verification workflow, visible role labels, availability freshness and reporting.</w:t>
            </w:r>
          </w:p>
        </w:tc>
      </w:tr>
      <w:tr>
        <w:tc>
          <w:tcPr>
            <w:tcW w:type="dxa" w:w="3331"/>
            <w:vAlign w:val="center"/>
            <w:shd w:fill="F1F6F8"/>
          </w:tcPr>
          <w:p>
            <w:pPr>
              <w:spacing w:after="20"/>
            </w:pPr>
            <w:r>
              <w:rPr>
                <w:sz w:val="16"/>
              </w:rPr>
              <w:t>Searching, negotiation and visits can be scattered across calls, chats and paper notes.</w:t>
            </w:r>
          </w:p>
        </w:tc>
        <w:tc>
          <w:tcPr>
            <w:tcW w:type="dxa" w:w="3331"/>
            <w:vAlign w:val="center"/>
            <w:shd w:fill="F1F6F8"/>
          </w:tcPr>
          <w:p>
            <w:pPr>
              <w:spacing w:after="20"/>
            </w:pPr>
            <w:r>
              <w:rPr>
                <w:sz w:val="16"/>
              </w:rPr>
              <w:t>Tenants, owners, managers</w:t>
            </w:r>
          </w:p>
        </w:tc>
        <w:tc>
          <w:tcPr>
            <w:tcW w:type="dxa" w:w="3331"/>
            <w:vAlign w:val="center"/>
            <w:shd w:fill="F1F6F8"/>
          </w:tcPr>
          <w:p>
            <w:pPr>
              <w:spacing w:after="20"/>
            </w:pPr>
            <w:r>
              <w:rPr>
                <w:sz w:val="16"/>
              </w:rPr>
              <w:t>Inquiries, viewing scheduling, application status and contextual conversation history.</w:t>
            </w:r>
          </w:p>
        </w:tc>
      </w:tr>
      <w:tr>
        <w:tc>
          <w:tcPr>
            <w:tcW w:type="dxa" w:w="3331"/>
            <w:vAlign w:val="center"/>
          </w:tcPr>
          <w:p>
            <w:pPr>
              <w:spacing w:after="20"/>
            </w:pPr>
            <w:r>
              <w:rPr>
                <w:sz w:val="16"/>
              </w:rPr>
              <w:t>Agreements, receipts and maintenance history may be scattered or lost after moving.</w:t>
            </w:r>
          </w:p>
        </w:tc>
        <w:tc>
          <w:tcPr>
            <w:tcW w:type="dxa" w:w="3331"/>
            <w:vAlign w:val="center"/>
          </w:tcPr>
          <w:p>
            <w:pPr>
              <w:spacing w:after="20"/>
            </w:pPr>
            <w:r>
              <w:rPr>
                <w:sz w:val="16"/>
              </w:rPr>
              <w:t>Tenants and owners</w:t>
            </w:r>
          </w:p>
        </w:tc>
        <w:tc>
          <w:tcPr>
            <w:tcW w:type="dxa" w:w="3331"/>
            <w:vAlign w:val="center"/>
          </w:tcPr>
          <w:p>
            <w:pPr>
              <w:spacing w:after="20"/>
            </w:pPr>
            <w:r>
              <w:rPr>
                <w:sz w:val="16"/>
              </w:rPr>
              <w:t>Tenancy timeline, documents, evidence and portable Rental Passport.</w:t>
            </w:r>
          </w:p>
        </w:tc>
      </w:tr>
      <w:tr>
        <w:tc>
          <w:tcPr>
            <w:tcW w:type="dxa" w:w="3331"/>
            <w:vAlign w:val="center"/>
            <w:shd w:fill="F1F6F8"/>
          </w:tcPr>
          <w:p>
            <w:pPr>
              <w:spacing w:after="20"/>
            </w:pPr>
            <w:r>
              <w:rPr>
                <w:sz w:val="16"/>
              </w:rPr>
              <w:t>Small landlords may lack a simple view of units, rent due, arrears and repairs.</w:t>
            </w:r>
          </w:p>
        </w:tc>
        <w:tc>
          <w:tcPr>
            <w:tcW w:type="dxa" w:w="3331"/>
            <w:vAlign w:val="center"/>
            <w:shd w:fill="F1F6F8"/>
          </w:tcPr>
          <w:p>
            <w:pPr>
              <w:spacing w:after="20"/>
            </w:pPr>
            <w:r>
              <w:rPr>
                <w:sz w:val="16"/>
              </w:rPr>
              <w:t>Owners and managers</w:t>
            </w:r>
          </w:p>
        </w:tc>
        <w:tc>
          <w:tcPr>
            <w:tcW w:type="dxa" w:w="3331"/>
            <w:vAlign w:val="center"/>
            <w:shd w:fill="F1F6F8"/>
          </w:tcPr>
          <w:p>
            <w:pPr>
              <w:spacing w:after="20"/>
            </w:pPr>
            <w:r>
              <w:rPr>
                <w:sz w:val="16"/>
              </w:rPr>
              <w:t>Multi-property/unit management, ledger, reminders, work orders and dashboards.</w:t>
            </w:r>
          </w:p>
        </w:tc>
      </w:tr>
      <w:tr>
        <w:tc>
          <w:tcPr>
            <w:tcW w:type="dxa" w:w="3331"/>
            <w:vAlign w:val="center"/>
          </w:tcPr>
          <w:p>
            <w:pPr>
              <w:spacing w:after="20"/>
            </w:pPr>
            <w:r>
              <w:rPr>
                <w:sz w:val="16"/>
              </w:rPr>
              <w:t>Tenants may need help planning rent costs or finding legitimate external finance.</w:t>
            </w:r>
          </w:p>
        </w:tc>
        <w:tc>
          <w:tcPr>
            <w:tcW w:type="dxa" w:w="3331"/>
            <w:vAlign w:val="center"/>
          </w:tcPr>
          <w:p>
            <w:pPr>
              <w:spacing w:after="20"/>
            </w:pPr>
            <w:r>
              <w:rPr>
                <w:sz w:val="16"/>
              </w:rPr>
              <w:t>Tenants and eligible providers</w:t>
            </w:r>
          </w:p>
        </w:tc>
        <w:tc>
          <w:tcPr>
            <w:tcW w:type="dxa" w:w="3331"/>
            <w:vAlign w:val="center"/>
          </w:tcPr>
          <w:p>
            <w:pPr>
              <w:spacing w:after="20"/>
            </w:pPr>
            <w:r>
              <w:rPr>
                <w:sz w:val="16"/>
              </w:rPr>
              <w:t>Savings goals, then consent-based provider matching after legal review.</w:t>
            </w:r>
          </w:p>
        </w:tc>
      </w:tr>
      <w:tr>
        <w:tc>
          <w:tcPr>
            <w:tcW w:type="dxa" w:w="3331"/>
            <w:vAlign w:val="center"/>
            <w:shd w:fill="F1F6F8"/>
          </w:tcPr>
          <w:p>
            <w:pPr>
              <w:spacing w:after="20"/>
            </w:pPr>
            <w:r>
              <w:rPr>
                <w:sz w:val="16"/>
              </w:rPr>
              <w:t>Many listing services focus on the lead, not the relationship that follows.</w:t>
            </w:r>
          </w:p>
        </w:tc>
        <w:tc>
          <w:tcPr>
            <w:tcW w:type="dxa" w:w="3331"/>
            <w:vAlign w:val="center"/>
            <w:shd w:fill="F1F6F8"/>
          </w:tcPr>
          <w:p>
            <w:pPr>
              <w:spacing w:after="20"/>
            </w:pPr>
            <w:r>
              <w:rPr>
                <w:sz w:val="16"/>
              </w:rPr>
              <w:t>All rental participants</w:t>
            </w:r>
          </w:p>
        </w:tc>
        <w:tc>
          <w:tcPr>
            <w:tcW w:type="dxa" w:w="3331"/>
            <w:vAlign w:val="center"/>
            <w:shd w:fill="F1F6F8"/>
          </w:tcPr>
          <w:p>
            <w:pPr>
              <w:spacing w:after="20"/>
            </w:pPr>
            <w:r>
              <w:rPr>
                <w:sz w:val="16"/>
              </w:rPr>
              <w:t>Lifecycle support from discovery to move-out.</w:t>
            </w:r>
          </w:p>
        </w:tc>
      </w:tr>
    </w:tbl>
    <w:p/>
    <w:p>
      <w:pPr>
        <w:pStyle w:val="Heading1"/>
      </w:pPr>
      <w:r>
        <w:t>4. Target users and jobs to be done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C4863"/>
          </w:tcPr>
          <w:p>
            <w:r>
              <w:rPr>
                <w:b/>
                <w:color w:val="FFFFFF"/>
                <w:sz w:val="16"/>
              </w:rPr>
              <w:t>User / capability</w:t>
            </w:r>
          </w:p>
        </w:tc>
        <w:tc>
          <w:tcPr>
            <w:tcW w:type="dxa" w:w="3331"/>
            <w:shd w:fill="1C4863"/>
          </w:tcPr>
          <w:p>
            <w:r>
              <w:rPr>
                <w:b/>
                <w:color w:val="FFFFFF"/>
                <w:sz w:val="16"/>
              </w:rPr>
              <w:t>Primary job</w:t>
            </w:r>
          </w:p>
        </w:tc>
        <w:tc>
          <w:tcPr>
            <w:tcW w:type="dxa" w:w="3331"/>
            <w:shd w:fill="1C4863"/>
          </w:tcPr>
          <w:p>
            <w:r>
              <w:rPr>
                <w:b/>
                <w:color w:val="FFFFFF"/>
                <w:sz w:val="16"/>
              </w:rPr>
              <w:t>Success looks like</w:t>
            </w:r>
          </w:p>
        </w:tc>
      </w:tr>
      <w:tr>
        <w:tc>
          <w:tcPr>
            <w:tcW w:type="dxa" w:w="3331"/>
            <w:vAlign w:val="center"/>
          </w:tcPr>
          <w:p>
            <w:pPr>
              <w:spacing w:after="20"/>
            </w:pPr>
            <w:r>
              <w:rPr>
                <w:sz w:val="16"/>
              </w:rPr>
              <w:t>Tenant / housing seeker</w:t>
            </w:r>
          </w:p>
        </w:tc>
        <w:tc>
          <w:tcPr>
            <w:tcW w:type="dxa" w:w="3331"/>
            <w:vAlign w:val="center"/>
          </w:tcPr>
          <w:p>
            <w:pPr>
              <w:spacing w:after="20"/>
            </w:pPr>
            <w:r>
              <w:rPr>
                <w:sz w:val="16"/>
              </w:rPr>
              <w:t>Find a suitable home and make an informed decision.</w:t>
            </w:r>
          </w:p>
        </w:tc>
        <w:tc>
          <w:tcPr>
            <w:tcW w:type="dxa" w:w="3331"/>
            <w:vAlign w:val="center"/>
          </w:tcPr>
          <w:p>
            <w:pPr>
              <w:spacing w:after="20"/>
            </w:pPr>
            <w:r>
              <w:rPr>
                <w:sz w:val="16"/>
              </w:rPr>
              <w:t>Relevant results, clear advertiser identity and a scheduled viewing.</w:t>
            </w:r>
          </w:p>
        </w:tc>
      </w:tr>
      <w:tr>
        <w:tc>
          <w:tcPr>
            <w:tcW w:type="dxa" w:w="3331"/>
            <w:vAlign w:val="center"/>
            <w:shd w:fill="F1F6F8"/>
          </w:tcPr>
          <w:p>
            <w:pPr>
              <w:spacing w:after="20"/>
            </w:pPr>
            <w:r>
              <w:rPr>
                <w:sz w:val="16"/>
              </w:rPr>
              <w:t>Tenant / current renter</w:t>
            </w:r>
          </w:p>
        </w:tc>
        <w:tc>
          <w:tcPr>
            <w:tcW w:type="dxa" w:w="3331"/>
            <w:vAlign w:val="center"/>
            <w:shd w:fill="F1F6F8"/>
          </w:tcPr>
          <w:p>
            <w:pPr>
              <w:spacing w:after="20"/>
            </w:pPr>
            <w:r>
              <w:rPr>
                <w:sz w:val="16"/>
              </w:rPr>
              <w:t>Manage rent, documents, maintenance and housing history.</w:t>
            </w:r>
          </w:p>
        </w:tc>
        <w:tc>
          <w:tcPr>
            <w:tcW w:type="dxa" w:w="3331"/>
            <w:vAlign w:val="center"/>
            <w:shd w:fill="F1F6F8"/>
          </w:tcPr>
          <w:p>
            <w:pPr>
              <w:spacing w:after="20"/>
            </w:pPr>
            <w:r>
              <w:rPr>
                <w:sz w:val="16"/>
              </w:rPr>
              <w:t>Know what is due, keep evidence, raise issues and export selected records.</w:t>
            </w:r>
          </w:p>
        </w:tc>
      </w:tr>
      <w:tr>
        <w:tc>
          <w:tcPr>
            <w:tcW w:type="dxa" w:w="3331"/>
            <w:vAlign w:val="center"/>
          </w:tcPr>
          <w:p>
            <w:pPr>
              <w:spacing w:after="20"/>
            </w:pPr>
            <w:r>
              <w:rPr>
                <w:sz w:val="16"/>
              </w:rPr>
              <w:t>Owner / landlord</w:t>
            </w:r>
          </w:p>
        </w:tc>
        <w:tc>
          <w:tcPr>
            <w:tcW w:type="dxa" w:w="3331"/>
            <w:vAlign w:val="center"/>
          </w:tcPr>
          <w:p>
            <w:pPr>
              <w:spacing w:after="20"/>
            </w:pPr>
            <w:r>
              <w:rPr>
                <w:sz w:val="16"/>
              </w:rPr>
              <w:t>Advertise vacancies and manage rental relationships.</w:t>
            </w:r>
          </w:p>
        </w:tc>
        <w:tc>
          <w:tcPr>
            <w:tcW w:type="dxa" w:w="3331"/>
            <w:vAlign w:val="center"/>
          </w:tcPr>
          <w:p>
            <w:pPr>
              <w:spacing w:after="20"/>
            </w:pPr>
            <w:r>
              <w:rPr>
                <w:sz w:val="16"/>
              </w:rPr>
              <w:t>Qualified inquiries and clear rent/maintenance records.</w:t>
            </w:r>
          </w:p>
        </w:tc>
      </w:tr>
      <w:tr>
        <w:tc>
          <w:tcPr>
            <w:tcW w:type="dxa" w:w="3331"/>
            <w:vAlign w:val="center"/>
            <w:shd w:fill="F1F6F8"/>
          </w:tcPr>
          <w:p>
            <w:pPr>
              <w:spacing w:after="20"/>
            </w:pPr>
            <w:r>
              <w:rPr>
                <w:sz w:val="16"/>
              </w:rPr>
              <w:t>Authorized property manager</w:t>
            </w:r>
          </w:p>
        </w:tc>
        <w:tc>
          <w:tcPr>
            <w:tcW w:type="dxa" w:w="3331"/>
            <w:vAlign w:val="center"/>
            <w:shd w:fill="F1F6F8"/>
          </w:tcPr>
          <w:p>
            <w:pPr>
              <w:spacing w:after="20"/>
            </w:pPr>
            <w:r>
              <w:rPr>
                <w:sz w:val="16"/>
              </w:rPr>
              <w:t>Act on behalf of an owner within a defined authority.</w:t>
            </w:r>
          </w:p>
        </w:tc>
        <w:tc>
          <w:tcPr>
            <w:tcW w:type="dxa" w:w="3331"/>
            <w:vAlign w:val="center"/>
            <w:shd w:fill="F1F6F8"/>
          </w:tcPr>
          <w:p>
            <w:pPr>
              <w:spacing w:after="20"/>
            </w:pPr>
            <w:r>
              <w:rPr>
                <w:sz w:val="16"/>
              </w:rPr>
              <w:t>Transparent delegation, permitted actions and auditability.</w:t>
            </w:r>
          </w:p>
        </w:tc>
      </w:tr>
      <w:tr>
        <w:tc>
          <w:tcPr>
            <w:tcW w:type="dxa" w:w="3331"/>
            <w:vAlign w:val="center"/>
          </w:tcPr>
          <w:p>
            <w:pPr>
              <w:spacing w:after="20"/>
            </w:pPr>
            <w:r>
              <w:rPr>
                <w:sz w:val="16"/>
              </w:rPr>
              <w:t>Vendor / contractor</w:t>
            </w:r>
          </w:p>
        </w:tc>
        <w:tc>
          <w:tcPr>
            <w:tcW w:type="dxa" w:w="3331"/>
            <w:vAlign w:val="center"/>
          </w:tcPr>
          <w:p>
            <w:pPr>
              <w:spacing w:after="20"/>
            </w:pPr>
            <w:r>
              <w:rPr>
                <w:sz w:val="16"/>
              </w:rPr>
              <w:t>Receive and complete authorized maintenance work.</w:t>
            </w:r>
          </w:p>
        </w:tc>
        <w:tc>
          <w:tcPr>
            <w:tcW w:type="dxa" w:w="3331"/>
            <w:vAlign w:val="center"/>
          </w:tcPr>
          <w:p>
            <w:pPr>
              <w:spacing w:after="20"/>
            </w:pPr>
            <w:r>
              <w:rPr>
                <w:sz w:val="16"/>
              </w:rPr>
              <w:t>Clear work order, schedule, evidence and status.</w:t>
            </w:r>
          </w:p>
        </w:tc>
      </w:tr>
      <w:tr>
        <w:tc>
          <w:tcPr>
            <w:tcW w:type="dxa" w:w="3331"/>
            <w:vAlign w:val="center"/>
            <w:shd w:fill="F1F6F8"/>
          </w:tcPr>
          <w:p>
            <w:pPr>
              <w:spacing w:after="20"/>
            </w:pPr>
            <w:r>
              <w:rPr>
                <w:sz w:val="16"/>
              </w:rPr>
              <w:t>Eligible financing provider</w:t>
            </w:r>
          </w:p>
        </w:tc>
        <w:tc>
          <w:tcPr>
            <w:tcW w:type="dxa" w:w="3331"/>
            <w:vAlign w:val="center"/>
            <w:shd w:fill="F1F6F8"/>
          </w:tcPr>
          <w:p>
            <w:pPr>
              <w:spacing w:after="20"/>
            </w:pPr>
            <w:r>
              <w:rPr>
                <w:sz w:val="16"/>
              </w:rPr>
              <w:t>Assess a tenant request with permission.</w:t>
            </w:r>
          </w:p>
        </w:tc>
        <w:tc>
          <w:tcPr>
            <w:tcW w:type="dxa" w:w="3331"/>
            <w:vAlign w:val="center"/>
            <w:shd w:fill="F1F6F8"/>
          </w:tcPr>
          <w:p>
            <w:pPr>
              <w:spacing w:after="20"/>
            </w:pPr>
            <w:r>
              <w:rPr>
                <w:sz w:val="16"/>
              </w:rPr>
              <w:t>Explicit consent, minimum necessary data and independent decision-making.</w:t>
            </w:r>
          </w:p>
        </w:tc>
      </w:tr>
      <w:tr>
        <w:tc>
          <w:tcPr>
            <w:tcW w:type="dxa" w:w="3331"/>
            <w:vAlign w:val="center"/>
          </w:tcPr>
          <w:p>
            <w:pPr>
              <w:spacing w:after="20"/>
            </w:pPr>
            <w:r>
              <w:rPr>
                <w:sz w:val="16"/>
              </w:rPr>
              <w:t>Investor / project participant</w:t>
            </w:r>
          </w:p>
        </w:tc>
        <w:tc>
          <w:tcPr>
            <w:tcW w:type="dxa" w:w="3331"/>
            <w:vAlign w:val="center"/>
          </w:tcPr>
          <w:p>
            <w:pPr>
              <w:spacing w:after="20"/>
            </w:pPr>
            <w:r>
              <w:rPr>
                <w:sz w:val="16"/>
              </w:rPr>
              <w:t>Explore property/project opportunities transparently.</w:t>
            </w:r>
          </w:p>
        </w:tc>
        <w:tc>
          <w:tcPr>
            <w:tcW w:type="dxa" w:w="3331"/>
            <w:vAlign w:val="center"/>
          </w:tcPr>
          <w:p>
            <w:pPr>
              <w:spacing w:after="20"/>
            </w:pPr>
            <w:r>
              <w:rPr>
                <w:sz w:val="16"/>
              </w:rPr>
              <w:t>Clear project status and disclosed risks, without implied guaranteed returns.</w:t>
            </w:r>
          </w:p>
        </w:tc>
      </w:tr>
      <w:tr>
        <w:tc>
          <w:tcPr>
            <w:tcW w:type="dxa" w:w="3331"/>
            <w:vAlign w:val="center"/>
            <w:shd w:fill="F1F6F8"/>
          </w:tcPr>
          <w:p>
            <w:pPr>
              <w:spacing w:after="20"/>
            </w:pPr>
            <w:r>
              <w:rPr>
                <w:sz w:val="16"/>
              </w:rPr>
              <w:t>Platform moderator</w:t>
            </w:r>
          </w:p>
        </w:tc>
        <w:tc>
          <w:tcPr>
            <w:tcW w:type="dxa" w:w="3331"/>
            <w:vAlign w:val="center"/>
            <w:shd w:fill="F1F6F8"/>
          </w:tcPr>
          <w:p>
            <w:pPr>
              <w:spacing w:after="20"/>
            </w:pPr>
            <w:r>
              <w:rPr>
                <w:sz w:val="16"/>
              </w:rPr>
              <w:t>Protect marketplace integrity and resolve reports.</w:t>
            </w:r>
          </w:p>
        </w:tc>
        <w:tc>
          <w:tcPr>
            <w:tcW w:type="dxa" w:w="3331"/>
            <w:vAlign w:val="center"/>
            <w:shd w:fill="F1F6F8"/>
          </w:tcPr>
          <w:p>
            <w:pPr>
              <w:spacing w:after="20"/>
            </w:pPr>
            <w:r>
              <w:rPr>
                <w:sz w:val="16"/>
              </w:rPr>
              <w:t>Review queue, evidence, reasoned decisions and appeal path.</w:t>
            </w:r>
          </w:p>
        </w:tc>
      </w:tr>
    </w:tbl>
    <w:p/>
    <w:p>
      <w:pPr>
        <w:pStyle w:val="Heading2"/>
      </w:pPr>
      <w:r>
        <w:t>4.1 Multi-role identity</w:t>
      </w:r>
    </w:p>
    <w:p>
      <w:r>
        <w:t>A person should have one account and may activate several capabilities. For example, one account may be used to search as a tenant and manage a separate property as an owner. Each capability has its own onboarding and permissions; property-level access is enforced on the server. Being a landlord does not automatically qualify a person to be a financing provider. Provider activation requires eligibility review.</w:t>
      </w:r>
    </w:p>
    <w:p>
      <w:pPr>
        <w:pStyle w:val="Heading1"/>
      </w:pPr>
      <w:r>
        <w:t>5. Core user journeys</w:t>
      </w:r>
    </w:p>
    <w:p>
      <w:pPr>
        <w:pStyle w:val="Heading2"/>
      </w:pPr>
      <w:r>
        <w:t>5.1 Tenant finds and rents a home</w:t>
      </w:r>
    </w:p>
    <w:p>
      <w:pPr>
        <w:pStyle w:val="ListNumber"/>
        <w:spacing w:after="40"/>
      </w:pPr>
      <w:r>
        <w:t>Browse/search by location, budget, property type, rooms, amenities and availability.</w:t>
      </w:r>
    </w:p>
    <w:p>
      <w:pPr>
        <w:pStyle w:val="ListNumber"/>
        <w:spacing w:after="40"/>
      </w:pPr>
      <w:r>
        <w:t>Review listing details, rent/deposit terms, availability freshness and advertiser role/verification status.</w:t>
      </w:r>
    </w:p>
    <w:p>
      <w:pPr>
        <w:pStyle w:val="ListNumber"/>
        <w:spacing w:after="40"/>
      </w:pPr>
      <w:r>
        <w:t>Send an inquiry and arrange a viewing; receive status updates.</w:t>
      </w:r>
    </w:p>
    <w:p>
      <w:pPr>
        <w:pStyle w:val="ListNumber"/>
        <w:spacing w:after="40"/>
      </w:pPr>
      <w:r>
        <w:t>Submit an application and requested documents with clear consent and access rules.</w:t>
      </w:r>
    </w:p>
    <w:p>
      <w:pPr>
        <w:pStyle w:val="ListNumber"/>
        <w:spacing w:after="40"/>
      </w:pPr>
      <w:r>
        <w:t>If accepted, review tenancy/lease details and record move-in condition and obligations.</w:t>
      </w:r>
    </w:p>
    <w:p>
      <w:pPr>
        <w:pStyle w:val="ListNumber"/>
        <w:spacing w:after="40"/>
      </w:pPr>
      <w:r>
        <w:t>Use the tenancy workspace for rent records, receipts, reminders, maintenance and messages.</w:t>
      </w:r>
    </w:p>
    <w:p>
      <w:pPr>
        <w:pStyle w:val="ListNumber"/>
        <w:spacing w:after="40"/>
      </w:pPr>
      <w:r>
        <w:t>At move-out, record inspection/final balances and retain or export appropriate Rental Passport records.</w:t>
      </w:r>
    </w:p>
    <w:p>
      <w:pPr>
        <w:pStyle w:val="Heading2"/>
      </w:pPr>
      <w:r>
        <w:t>5.2 Owner manages a property</w:t>
      </w:r>
    </w:p>
    <w:p>
      <w:pPr>
        <w:pStyle w:val="ListNumber"/>
        <w:spacing w:after="40"/>
      </w:pPr>
      <w:r>
        <w:t>Complete relevant owner/authority verification.</w:t>
      </w:r>
    </w:p>
    <w:p>
      <w:pPr>
        <w:pStyle w:val="ListNumber"/>
        <w:spacing w:after="40"/>
      </w:pPr>
      <w:r>
        <w:t>Create property and units; publish truthful details and current availability.</w:t>
      </w:r>
    </w:p>
    <w:p>
      <w:pPr>
        <w:pStyle w:val="ListNumber"/>
        <w:spacing w:after="40"/>
      </w:pPr>
      <w:r>
        <w:t>Respond to inquiries, schedule viewings and manage applications.</w:t>
      </w:r>
    </w:p>
    <w:p>
      <w:pPr>
        <w:pStyle w:val="ListNumber"/>
        <w:spacing w:after="40"/>
      </w:pPr>
      <w:r>
        <w:t>Record tenancy, lease terms, rent schedule, deposit and payments.</w:t>
      </w:r>
    </w:p>
    <w:p>
      <w:pPr>
        <w:pStyle w:val="ListNumber"/>
        <w:spacing w:after="40"/>
      </w:pPr>
      <w:r>
        <w:t>Track overdue items, maintenance, vendors and communication.</w:t>
      </w:r>
    </w:p>
    <w:p>
      <w:pPr>
        <w:pStyle w:val="ListNumber"/>
        <w:spacing w:after="40"/>
      </w:pPr>
      <w:r>
        <w:t>Close tenancy with move-out records and update availability.</w:t>
      </w:r>
    </w:p>
    <w:p>
      <w:pPr>
        <w:pStyle w:val="Heading2"/>
      </w:pPr>
      <w:r>
        <w:t>5.3 Tenant controls a Rental Passport</w:t>
      </w:r>
    </w:p>
    <w:p>
      <w:pPr>
        <w:pStyle w:val="ListNumber"/>
        <w:spacing w:after="40"/>
      </w:pPr>
      <w:r>
        <w:t>Keep private memories/notes separate from shareable rental records.</w:t>
      </w:r>
    </w:p>
    <w:p>
      <w:pPr>
        <w:pStyle w:val="ListNumber"/>
        <w:spacing w:after="40"/>
      </w:pPr>
      <w:r>
        <w:t>Attach receipts, photos, agreements or other evidence.</w:t>
      </w:r>
    </w:p>
    <w:p>
      <w:pPr>
        <w:pStyle w:val="ListNumber"/>
        <w:spacing w:after="40"/>
      </w:pPr>
      <w:r>
        <w:t>See each record's source/status: self-reported, evidence-attached, confirmed or disputed.</w:t>
      </w:r>
    </w:p>
    <w:p>
      <w:pPr>
        <w:pStyle w:val="ListNumber"/>
        <w:spacing w:after="40"/>
      </w:pPr>
      <w:r>
        <w:t>Choose which records to share, with whom and for what purpose.</w:t>
      </w:r>
    </w:p>
    <w:p>
      <w:pPr>
        <w:pStyle w:val="ListNumber"/>
        <w:spacing w:after="40"/>
      </w:pPr>
      <w:r>
        <w:t>Request corrections, dispute a record, revoke future access where supported, and export a copy.</w:t>
      </w:r>
    </w:p>
    <w:p>
      <w:pPr>
        <w:pStyle w:val="Heading1"/>
      </w:pPr>
      <w:r>
        <w:t>6. Product modules and priority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C4863"/>
          </w:tcPr>
          <w:p>
            <w:r>
              <w:rPr>
                <w:b/>
                <w:color w:val="FFFFFF"/>
                <w:sz w:val="16"/>
              </w:rPr>
              <w:t>Module</w:t>
            </w:r>
          </w:p>
        </w:tc>
        <w:tc>
          <w:tcPr>
            <w:tcW w:type="dxa" w:w="3331"/>
            <w:shd w:fill="1C4863"/>
          </w:tcPr>
          <w:p>
            <w:r>
              <w:rPr>
                <w:b/>
                <w:color w:val="FFFFFF"/>
                <w:sz w:val="16"/>
              </w:rPr>
              <w:t>Priority</w:t>
            </w:r>
          </w:p>
        </w:tc>
        <w:tc>
          <w:tcPr>
            <w:tcW w:type="dxa" w:w="3331"/>
            <w:shd w:fill="1C4863"/>
          </w:tcPr>
          <w:p>
            <w:r>
              <w:rPr>
                <w:b/>
                <w:color w:val="FFFFFF"/>
                <w:sz w:val="16"/>
              </w:rPr>
              <w:t>Requirements summary</w:t>
            </w:r>
          </w:p>
        </w:tc>
      </w:tr>
      <w:tr>
        <w:tc>
          <w:tcPr>
            <w:tcW w:type="dxa" w:w="3331"/>
            <w:vAlign w:val="center"/>
          </w:tcPr>
          <w:p>
            <w:pPr>
              <w:spacing w:after="20"/>
            </w:pPr>
            <w:r>
              <w:rPr>
                <w:sz w:val="16"/>
              </w:rPr>
              <w:t>Identity and capabilities</w:t>
            </w:r>
          </w:p>
        </w:tc>
        <w:tc>
          <w:tcPr>
            <w:tcW w:type="dxa" w:w="3331"/>
            <w:vAlign w:val="center"/>
          </w:tcPr>
          <w:p>
            <w:pPr>
              <w:spacing w:after="20"/>
            </w:pPr>
            <w:r>
              <w:rPr>
                <w:sz w:val="16"/>
              </w:rPr>
              <w:t>MVP</w:t>
            </w:r>
          </w:p>
        </w:tc>
        <w:tc>
          <w:tcPr>
            <w:tcW w:type="dxa" w:w="3331"/>
            <w:vAlign w:val="center"/>
          </w:tcPr>
          <w:p>
            <w:pPr>
              <w:spacing w:after="20"/>
            </w:pPr>
            <w:r>
              <w:rPr>
                <w:sz w:val="16"/>
              </w:rPr>
              <w:t>Sign-in/recovery, profiles, capability activation, onboarding and permissions.</w:t>
            </w:r>
          </w:p>
        </w:tc>
      </w:tr>
      <w:tr>
        <w:tc>
          <w:tcPr>
            <w:tcW w:type="dxa" w:w="3331"/>
            <w:vAlign w:val="center"/>
            <w:shd w:fill="F1F6F8"/>
          </w:tcPr>
          <w:p>
            <w:pPr>
              <w:spacing w:after="20"/>
            </w:pPr>
            <w:r>
              <w:rPr>
                <w:sz w:val="16"/>
              </w:rPr>
              <w:t>Owner-direct marketplace</w:t>
            </w:r>
          </w:p>
        </w:tc>
        <w:tc>
          <w:tcPr>
            <w:tcW w:type="dxa" w:w="3331"/>
            <w:vAlign w:val="center"/>
            <w:shd w:fill="F1F6F8"/>
          </w:tcPr>
          <w:p>
            <w:pPr>
              <w:spacing w:after="20"/>
            </w:pPr>
            <w:r>
              <w:rPr>
                <w:sz w:val="16"/>
              </w:rPr>
              <w:t>MVP</w:t>
            </w:r>
          </w:p>
        </w:tc>
        <w:tc>
          <w:tcPr>
            <w:tcW w:type="dxa" w:w="3331"/>
            <w:vAlign w:val="center"/>
            <w:shd w:fill="F1F6F8"/>
          </w:tcPr>
          <w:p>
            <w:pPr>
              <w:spacing w:after="20"/>
            </w:pPr>
            <w:r>
              <w:rPr>
                <w:sz w:val="16"/>
              </w:rPr>
              <w:t>Listings, search/filter/sort, details, availability freshness, favorites, inquiries and viewings.</w:t>
            </w:r>
          </w:p>
        </w:tc>
      </w:tr>
      <w:tr>
        <w:tc>
          <w:tcPr>
            <w:tcW w:type="dxa" w:w="3331"/>
            <w:vAlign w:val="center"/>
          </w:tcPr>
          <w:p>
            <w:pPr>
              <w:spacing w:after="20"/>
            </w:pPr>
            <w:r>
              <w:rPr>
                <w:sz w:val="16"/>
              </w:rPr>
              <w:t>Verification/moderation</w:t>
            </w:r>
          </w:p>
        </w:tc>
        <w:tc>
          <w:tcPr>
            <w:tcW w:type="dxa" w:w="3331"/>
            <w:vAlign w:val="center"/>
          </w:tcPr>
          <w:p>
            <w:pPr>
              <w:spacing w:after="20"/>
            </w:pPr>
            <w:r>
              <w:rPr>
                <w:sz w:val="16"/>
              </w:rPr>
              <w:t>MVP</w:t>
            </w:r>
          </w:p>
        </w:tc>
        <w:tc>
          <w:tcPr>
            <w:tcW w:type="dxa" w:w="3331"/>
            <w:vAlign w:val="center"/>
          </w:tcPr>
          <w:p>
            <w:pPr>
              <w:spacing w:after="20"/>
            </w:pPr>
            <w:r>
              <w:rPr>
                <w:sz w:val="16"/>
              </w:rPr>
              <w:t>Owner/authority evidence review, labels, reports, moderation queue and audit trail.</w:t>
            </w:r>
          </w:p>
        </w:tc>
      </w:tr>
      <w:tr>
        <w:tc>
          <w:tcPr>
            <w:tcW w:type="dxa" w:w="3331"/>
            <w:vAlign w:val="center"/>
            <w:shd w:fill="F1F6F8"/>
          </w:tcPr>
          <w:p>
            <w:pPr>
              <w:spacing w:after="20"/>
            </w:pPr>
            <w:r>
              <w:rPr>
                <w:sz w:val="16"/>
              </w:rPr>
              <w:t>Applications</w:t>
            </w:r>
          </w:p>
        </w:tc>
        <w:tc>
          <w:tcPr>
            <w:tcW w:type="dxa" w:w="3331"/>
            <w:vAlign w:val="center"/>
            <w:shd w:fill="F1F6F8"/>
          </w:tcPr>
          <w:p>
            <w:pPr>
              <w:spacing w:after="20"/>
            </w:pPr>
            <w:r>
              <w:rPr>
                <w:sz w:val="16"/>
              </w:rPr>
              <w:t>MVP / early release</w:t>
            </w:r>
          </w:p>
        </w:tc>
        <w:tc>
          <w:tcPr>
            <w:tcW w:type="dxa" w:w="3331"/>
            <w:vAlign w:val="center"/>
            <w:shd w:fill="F1F6F8"/>
          </w:tcPr>
          <w:p>
            <w:pPr>
              <w:spacing w:after="20"/>
            </w:pPr>
            <w:r>
              <w:rPr>
                <w:sz w:val="16"/>
              </w:rPr>
              <w:t>Application status, requested documents, consent, review, decision and notifications.</w:t>
            </w:r>
          </w:p>
        </w:tc>
      </w:tr>
      <w:tr>
        <w:tc>
          <w:tcPr>
            <w:tcW w:type="dxa" w:w="3331"/>
            <w:vAlign w:val="center"/>
          </w:tcPr>
          <w:p>
            <w:pPr>
              <w:spacing w:after="20"/>
            </w:pPr>
            <w:r>
              <w:rPr>
                <w:sz w:val="16"/>
              </w:rPr>
              <w:t>Tenancy/documents</w:t>
            </w:r>
          </w:p>
        </w:tc>
        <w:tc>
          <w:tcPr>
            <w:tcW w:type="dxa" w:w="3331"/>
            <w:vAlign w:val="center"/>
          </w:tcPr>
          <w:p>
            <w:pPr>
              <w:spacing w:after="20"/>
            </w:pPr>
            <w:r>
              <w:rPr>
                <w:sz w:val="16"/>
              </w:rPr>
              <w:t>Early release</w:t>
            </w:r>
          </w:p>
        </w:tc>
        <w:tc>
          <w:tcPr>
            <w:tcW w:type="dxa" w:w="3331"/>
            <w:vAlign w:val="center"/>
          </w:tcPr>
          <w:p>
            <w:pPr>
              <w:spacing w:after="20"/>
            </w:pPr>
            <w:r>
              <w:rPr>
                <w:sz w:val="16"/>
              </w:rPr>
              <w:t>Tenancy, lease storage, key dates, renewal reminders and move-in/out checklist.</w:t>
            </w:r>
          </w:p>
        </w:tc>
      </w:tr>
      <w:tr>
        <w:tc>
          <w:tcPr>
            <w:tcW w:type="dxa" w:w="3331"/>
            <w:vAlign w:val="center"/>
            <w:shd w:fill="F1F6F8"/>
          </w:tcPr>
          <w:p>
            <w:pPr>
              <w:spacing w:after="20"/>
            </w:pPr>
            <w:r>
              <w:rPr>
                <w:sz w:val="16"/>
              </w:rPr>
              <w:t>Rent ledger/receipts</w:t>
            </w:r>
          </w:p>
        </w:tc>
        <w:tc>
          <w:tcPr>
            <w:tcW w:type="dxa" w:w="3331"/>
            <w:vAlign w:val="center"/>
            <w:shd w:fill="F1F6F8"/>
          </w:tcPr>
          <w:p>
            <w:pPr>
              <w:spacing w:after="20"/>
            </w:pPr>
            <w:r>
              <w:rPr>
                <w:sz w:val="16"/>
              </w:rPr>
              <w:t>Early release</w:t>
            </w:r>
          </w:p>
        </w:tc>
        <w:tc>
          <w:tcPr>
            <w:tcW w:type="dxa" w:w="3331"/>
            <w:vAlign w:val="center"/>
            <w:shd w:fill="F1F6F8"/>
          </w:tcPr>
          <w:p>
            <w:pPr>
              <w:spacing w:after="20"/>
            </w:pPr>
            <w:r>
              <w:rPr>
                <w:sz w:val="16"/>
              </w:rPr>
              <w:t>Rent obligations, initially manual records, receipts/evidence, balance history and reminders.</w:t>
            </w:r>
          </w:p>
        </w:tc>
      </w:tr>
      <w:tr>
        <w:tc>
          <w:tcPr>
            <w:tcW w:type="dxa" w:w="3331"/>
            <w:vAlign w:val="center"/>
          </w:tcPr>
          <w:p>
            <w:pPr>
              <w:spacing w:after="20"/>
            </w:pPr>
            <w:r>
              <w:rPr>
                <w:sz w:val="16"/>
              </w:rPr>
              <w:t>Maintenance/vendors</w:t>
            </w:r>
          </w:p>
        </w:tc>
        <w:tc>
          <w:tcPr>
            <w:tcW w:type="dxa" w:w="3331"/>
            <w:vAlign w:val="center"/>
          </w:tcPr>
          <w:p>
            <w:pPr>
              <w:spacing w:after="20"/>
            </w:pPr>
            <w:r>
              <w:rPr>
                <w:sz w:val="16"/>
              </w:rPr>
              <w:t>Early release</w:t>
            </w:r>
          </w:p>
        </w:tc>
        <w:tc>
          <w:tcPr>
            <w:tcW w:type="dxa" w:w="3331"/>
            <w:vAlign w:val="center"/>
          </w:tcPr>
          <w:p>
            <w:pPr>
              <w:spacing w:after="20"/>
            </w:pPr>
            <w:r>
              <w:rPr>
                <w:sz w:val="16"/>
              </w:rPr>
              <w:t>Request, triage, work order, vendor assignment, status, evidence and completion confirmation.</w:t>
            </w:r>
          </w:p>
        </w:tc>
      </w:tr>
      <w:tr>
        <w:tc>
          <w:tcPr>
            <w:tcW w:type="dxa" w:w="3331"/>
            <w:vAlign w:val="center"/>
            <w:shd w:fill="F1F6F8"/>
          </w:tcPr>
          <w:p>
            <w:pPr>
              <w:spacing w:after="20"/>
            </w:pPr>
            <w:r>
              <w:rPr>
                <w:sz w:val="16"/>
              </w:rPr>
              <w:t>Messaging/notifications</w:t>
            </w:r>
          </w:p>
        </w:tc>
        <w:tc>
          <w:tcPr>
            <w:tcW w:type="dxa" w:w="3331"/>
            <w:vAlign w:val="center"/>
            <w:shd w:fill="F1F6F8"/>
          </w:tcPr>
          <w:p>
            <w:pPr>
              <w:spacing w:after="20"/>
            </w:pPr>
            <w:r>
              <w:rPr>
                <w:sz w:val="16"/>
              </w:rPr>
              <w:t>MVP</w:t>
            </w:r>
          </w:p>
        </w:tc>
        <w:tc>
          <w:tcPr>
            <w:tcW w:type="dxa" w:w="3331"/>
            <w:vAlign w:val="center"/>
            <w:shd w:fill="F1F6F8"/>
          </w:tcPr>
          <w:p>
            <w:pPr>
              <w:spacing w:after="20"/>
            </w:pPr>
            <w:r>
              <w:rPr>
                <w:sz w:val="16"/>
              </w:rPr>
              <w:t>Conversation tied to listing/application/tenancy, membership validation and preferences.</w:t>
            </w:r>
          </w:p>
        </w:tc>
      </w:tr>
      <w:tr>
        <w:tc>
          <w:tcPr>
            <w:tcW w:type="dxa" w:w="3331"/>
            <w:vAlign w:val="center"/>
          </w:tcPr>
          <w:p>
            <w:pPr>
              <w:spacing w:after="20"/>
            </w:pPr>
            <w:r>
              <w:rPr>
                <w:sz w:val="16"/>
              </w:rPr>
              <w:t>Panga Life Records / Rental Passport</w:t>
            </w:r>
          </w:p>
        </w:tc>
        <w:tc>
          <w:tcPr>
            <w:tcW w:type="dxa" w:w="3331"/>
            <w:vAlign w:val="center"/>
          </w:tcPr>
          <w:p>
            <w:pPr>
              <w:spacing w:after="20"/>
            </w:pPr>
            <w:r>
              <w:rPr>
                <w:sz w:val="16"/>
              </w:rPr>
              <w:t>Later</w:t>
            </w:r>
          </w:p>
        </w:tc>
        <w:tc>
          <w:tcPr>
            <w:tcW w:type="dxa" w:w="3331"/>
            <w:vAlign w:val="center"/>
          </w:tcPr>
          <w:p>
            <w:pPr>
              <w:spacing w:after="20"/>
            </w:pPr>
            <w:r>
              <w:rPr>
                <w:sz w:val="16"/>
              </w:rPr>
              <w:t>Tenant housing timeline, private/shareable separation, provenance, dispute and export.</w:t>
            </w:r>
          </w:p>
        </w:tc>
      </w:tr>
      <w:tr>
        <w:tc>
          <w:tcPr>
            <w:tcW w:type="dxa" w:w="3331"/>
            <w:vAlign w:val="center"/>
            <w:shd w:fill="F1F6F8"/>
          </w:tcPr>
          <w:p>
            <w:pPr>
              <w:spacing w:after="20"/>
            </w:pPr>
            <w:r>
              <w:rPr>
                <w:sz w:val="16"/>
              </w:rPr>
              <w:t>Panga Akiba</w:t>
            </w:r>
          </w:p>
        </w:tc>
        <w:tc>
          <w:tcPr>
            <w:tcW w:type="dxa" w:w="3331"/>
            <w:vAlign w:val="center"/>
            <w:shd w:fill="F1F6F8"/>
          </w:tcPr>
          <w:p>
            <w:pPr>
              <w:spacing w:after="20"/>
            </w:pPr>
            <w:r>
              <w:rPr>
                <w:sz w:val="16"/>
              </w:rPr>
              <w:t>Later</w:t>
            </w:r>
          </w:p>
        </w:tc>
        <w:tc>
          <w:tcPr>
            <w:tcW w:type="dxa" w:w="3331"/>
            <w:vAlign w:val="center"/>
            <w:shd w:fill="F1F6F8"/>
          </w:tcPr>
          <w:p>
            <w:pPr>
              <w:spacing w:after="20"/>
            </w:pPr>
            <w:r>
              <w:rPr>
                <w:sz w:val="16"/>
              </w:rPr>
              <w:t>Savings goals/progress; distinguish reported goals from funds held by a partner.</w:t>
            </w:r>
          </w:p>
        </w:tc>
      </w:tr>
      <w:tr>
        <w:tc>
          <w:tcPr>
            <w:tcW w:type="dxa" w:w="3331"/>
            <w:vAlign w:val="center"/>
          </w:tcPr>
          <w:p>
            <w:pPr>
              <w:spacing w:after="20"/>
            </w:pPr>
            <w:r>
              <w:rPr>
                <w:sz w:val="16"/>
              </w:rPr>
              <w:t>Panga Finance Connect</w:t>
            </w:r>
          </w:p>
        </w:tc>
        <w:tc>
          <w:tcPr>
            <w:tcW w:type="dxa" w:w="3331"/>
            <w:vAlign w:val="center"/>
          </w:tcPr>
          <w:p>
            <w:pPr>
              <w:spacing w:after="20"/>
            </w:pPr>
            <w:r>
              <w:rPr>
                <w:sz w:val="16"/>
              </w:rPr>
              <w:t>Later; legal gate</w:t>
            </w:r>
          </w:p>
        </w:tc>
        <w:tc>
          <w:tcPr>
            <w:tcW w:type="dxa" w:w="3331"/>
            <w:vAlign w:val="center"/>
          </w:tcPr>
          <w:p>
            <w:pPr>
              <w:spacing w:after="20"/>
            </w:pPr>
            <w:r>
              <w:rPr>
                <w:sz w:val="16"/>
              </w:rPr>
              <w:t>Consent-based matching with eligible independent providers; provider makes its own decision.</w:t>
            </w:r>
          </w:p>
        </w:tc>
      </w:tr>
      <w:tr>
        <w:tc>
          <w:tcPr>
            <w:tcW w:type="dxa" w:w="3331"/>
            <w:vAlign w:val="center"/>
            <w:shd w:fill="F1F6F8"/>
          </w:tcPr>
          <w:p>
            <w:pPr>
              <w:spacing w:after="20"/>
            </w:pPr>
            <w:r>
              <w:rPr>
                <w:sz w:val="16"/>
              </w:rPr>
              <w:t>Investment/project participation</w:t>
            </w:r>
          </w:p>
        </w:tc>
        <w:tc>
          <w:tcPr>
            <w:tcW w:type="dxa" w:w="3331"/>
            <w:vAlign w:val="center"/>
            <w:shd w:fill="F1F6F8"/>
          </w:tcPr>
          <w:p>
            <w:pPr>
              <w:spacing w:after="20"/>
            </w:pPr>
            <w:r>
              <w:rPr>
                <w:sz w:val="16"/>
              </w:rPr>
              <w:t>Later; legal gate</w:t>
            </w:r>
          </w:p>
        </w:tc>
        <w:tc>
          <w:tcPr>
            <w:tcW w:type="dxa" w:w="3331"/>
            <w:vAlign w:val="center"/>
            <w:shd w:fill="F1F6F8"/>
          </w:tcPr>
          <w:p>
            <w:pPr>
              <w:spacing w:after="20"/>
            </w:pPr>
            <w:r>
              <w:rPr>
                <w:sz w:val="16"/>
              </w:rPr>
              <w:t>Project information, due-diligence documents and expressions of interest within approved scope.</w:t>
            </w:r>
          </w:p>
        </w:tc>
      </w:tr>
      <w:tr>
        <w:tc>
          <w:tcPr>
            <w:tcW w:type="dxa" w:w="3331"/>
            <w:vAlign w:val="center"/>
          </w:tcPr>
          <w:p>
            <w:pPr>
              <w:spacing w:after="20"/>
            </w:pPr>
            <w:r>
              <w:rPr>
                <w:sz w:val="16"/>
              </w:rPr>
              <w:t>Portfolio analytics</w:t>
            </w:r>
          </w:p>
        </w:tc>
        <w:tc>
          <w:tcPr>
            <w:tcW w:type="dxa" w:w="3331"/>
            <w:vAlign w:val="center"/>
          </w:tcPr>
          <w:p>
            <w:pPr>
              <w:spacing w:after="20"/>
            </w:pPr>
            <w:r>
              <w:rPr>
                <w:sz w:val="16"/>
              </w:rPr>
              <w:t>Incremental</w:t>
            </w:r>
          </w:p>
        </w:tc>
        <w:tc>
          <w:tcPr>
            <w:tcW w:type="dxa" w:w="3331"/>
            <w:vAlign w:val="center"/>
          </w:tcPr>
          <w:p>
            <w:pPr>
              <w:spacing w:after="20"/>
            </w:pPr>
            <w:r>
              <w:rPr>
                <w:sz w:val="16"/>
              </w:rPr>
              <w:t>Owner occupancy/listing performance, rent status, maintenance and platform metrics.</w:t>
            </w:r>
          </w:p>
        </w:tc>
      </w:tr>
    </w:tbl>
    <w:p/>
    <w:p>
      <w:pPr>
        <w:pStyle w:val="Heading1"/>
      </w:pPr>
      <w:r>
        <w:t>7. Differentiation from systems previously reviewed</w:t>
      </w:r>
    </w:p>
    <w:p>
      <w:r>
        <w:t>The earlier comparison reviewed BE FORWARD Homes, NyumbaNest, Rentapp and Maskani360. The notes below summarize their observed positioning from that review; they are not a guarantee of current competitor capabilities. Revalidate features before making public comparative claims.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C4863"/>
          </w:tcPr>
          <w:p>
            <w:r>
              <w:rPr>
                <w:b/>
                <w:color w:val="FFFFFF"/>
                <w:sz w:val="16"/>
              </w:rPr>
              <w:t>System / pattern</w:t>
            </w:r>
          </w:p>
        </w:tc>
        <w:tc>
          <w:tcPr>
            <w:tcW w:type="dxa" w:w="3331"/>
            <w:shd w:fill="1C4863"/>
          </w:tcPr>
          <w:p>
            <w:r>
              <w:rPr>
                <w:b/>
                <w:color w:val="FFFFFF"/>
                <w:sz w:val="16"/>
              </w:rPr>
              <w:t>Observed positioning in the review</w:t>
            </w:r>
          </w:p>
        </w:tc>
        <w:tc>
          <w:tcPr>
            <w:tcW w:type="dxa" w:w="3331"/>
            <w:shd w:fill="1C4863"/>
          </w:tcPr>
          <w:p>
            <w:r>
              <w:rPr>
                <w:b/>
                <w:color w:val="FFFFFF"/>
                <w:sz w:val="16"/>
              </w:rPr>
              <w:t>Panga na Kupangisha opportunity</w:t>
            </w:r>
          </w:p>
        </w:tc>
      </w:tr>
      <w:tr>
        <w:tc>
          <w:tcPr>
            <w:tcW w:type="dxa" w:w="3331"/>
            <w:vAlign w:val="center"/>
          </w:tcPr>
          <w:p>
            <w:pPr>
              <w:spacing w:after="20"/>
            </w:pPr>
            <w:r>
              <w:rPr>
                <w:sz w:val="16"/>
              </w:rPr>
              <w:t>BE FORWARD Homes</w:t>
            </w:r>
          </w:p>
        </w:tc>
        <w:tc>
          <w:tcPr>
            <w:tcW w:type="dxa" w:w="3331"/>
            <w:vAlign w:val="center"/>
          </w:tcPr>
          <w:p>
            <w:pPr>
              <w:spacing w:after="20"/>
            </w:pPr>
            <w:r>
              <w:rPr>
                <w:sz w:val="16"/>
              </w:rPr>
              <w:t>Property discovery/listings, agents and mobile-oriented access.</w:t>
            </w:r>
          </w:p>
        </w:tc>
        <w:tc>
          <w:tcPr>
            <w:tcW w:type="dxa" w:w="3331"/>
            <w:vAlign w:val="center"/>
          </w:tcPr>
          <w:p>
            <w:pPr>
              <w:spacing w:after="20"/>
            </w:pPr>
            <w:r>
              <w:rPr>
                <w:sz w:val="16"/>
              </w:rPr>
              <w:t>Make owner/authorized-representative identity clear and connect discovery to tenancy operations and records.</w:t>
            </w:r>
          </w:p>
        </w:tc>
      </w:tr>
      <w:tr>
        <w:tc>
          <w:tcPr>
            <w:tcW w:type="dxa" w:w="3331"/>
            <w:vAlign w:val="center"/>
            <w:shd w:fill="F1F6F8"/>
          </w:tcPr>
          <w:p>
            <w:pPr>
              <w:spacing w:after="20"/>
            </w:pPr>
            <w:r>
              <w:rPr>
                <w:sz w:val="16"/>
              </w:rPr>
              <w:t>NyumbaNest</w:t>
            </w:r>
          </w:p>
        </w:tc>
        <w:tc>
          <w:tcPr>
            <w:tcW w:type="dxa" w:w="3331"/>
            <w:vAlign w:val="center"/>
            <w:shd w:fill="F1F6F8"/>
          </w:tcPr>
          <w:p>
            <w:pPr>
              <w:spacing w:after="20"/>
            </w:pPr>
            <w:r>
              <w:rPr>
                <w:sz w:val="16"/>
              </w:rPr>
              <w:t>Owner-verified/direct-contact positioning and reduced-middleman discovery.</w:t>
            </w:r>
          </w:p>
        </w:tc>
        <w:tc>
          <w:tcPr>
            <w:tcW w:type="dxa" w:w="3331"/>
            <w:vAlign w:val="center"/>
            <w:shd w:fill="F1F6F8"/>
          </w:tcPr>
          <w:p>
            <w:pPr>
              <w:spacing w:after="20"/>
            </w:pPr>
            <w:r>
              <w:rPr>
                <w:sz w:val="16"/>
              </w:rPr>
              <w:t>Extend trust-led discovery into applications, lease records, rent ledger, maintenance and tenant-controlled history.</w:t>
            </w:r>
          </w:p>
        </w:tc>
      </w:tr>
      <w:tr>
        <w:tc>
          <w:tcPr>
            <w:tcW w:type="dxa" w:w="3331"/>
            <w:vAlign w:val="center"/>
          </w:tcPr>
          <w:p>
            <w:pPr>
              <w:spacing w:after="20"/>
            </w:pPr>
            <w:r>
              <w:rPr>
                <w:sz w:val="16"/>
              </w:rPr>
              <w:t>Rentapp</w:t>
            </w:r>
          </w:p>
        </w:tc>
        <w:tc>
          <w:tcPr>
            <w:tcW w:type="dxa" w:w="3331"/>
            <w:vAlign w:val="center"/>
          </w:tcPr>
          <w:p>
            <w:pPr>
              <w:spacing w:after="20"/>
            </w:pPr>
            <w:r>
              <w:rPr>
                <w:sz w:val="16"/>
              </w:rPr>
              <w:t>Listings, photos, direct contact, viewings, negotiation, and owner/agent listings.</w:t>
            </w:r>
          </w:p>
        </w:tc>
        <w:tc>
          <w:tcPr>
            <w:tcW w:type="dxa" w:w="3331"/>
            <w:vAlign w:val="center"/>
          </w:tcPr>
          <w:p>
            <w:pPr>
              <w:spacing w:after="20"/>
            </w:pPr>
            <w:r>
              <w:rPr>
                <w:sz w:val="16"/>
              </w:rPr>
              <w:t>Keep the discovery flow while making authority transparency and post-agreement workflows central.</w:t>
            </w:r>
          </w:p>
        </w:tc>
      </w:tr>
      <w:tr>
        <w:tc>
          <w:tcPr>
            <w:tcW w:type="dxa" w:w="3331"/>
            <w:vAlign w:val="center"/>
            <w:shd w:fill="F1F6F8"/>
          </w:tcPr>
          <w:p>
            <w:pPr>
              <w:spacing w:after="20"/>
            </w:pPr>
            <w:r>
              <w:rPr>
                <w:sz w:val="16"/>
              </w:rPr>
              <w:t>Maskani360</w:t>
            </w:r>
          </w:p>
        </w:tc>
        <w:tc>
          <w:tcPr>
            <w:tcW w:type="dxa" w:w="3331"/>
            <w:vAlign w:val="center"/>
            <w:shd w:fill="F1F6F8"/>
          </w:tcPr>
          <w:p>
            <w:pPr>
              <w:spacing w:after="20"/>
            </w:pPr>
            <w:r>
              <w:rPr>
                <w:sz w:val="16"/>
              </w:rPr>
              <w:t>Direct-owner discovery, verification and regional search.</w:t>
            </w:r>
          </w:p>
        </w:tc>
        <w:tc>
          <w:tcPr>
            <w:tcW w:type="dxa" w:w="3331"/>
            <w:vAlign w:val="center"/>
            <w:shd w:fill="F1F6F8"/>
          </w:tcPr>
          <w:p>
            <w:pPr>
              <w:spacing w:after="20"/>
            </w:pPr>
            <w:r>
              <w:rPr>
                <w:sz w:val="16"/>
              </w:rPr>
              <w:t>Differentiate through the complete rental lifecycle, multi-unit management and portable records.</w:t>
            </w:r>
          </w:p>
        </w:tc>
      </w:tr>
      <w:tr>
        <w:tc>
          <w:tcPr>
            <w:tcW w:type="dxa" w:w="3331"/>
            <w:vAlign w:val="center"/>
          </w:tcPr>
          <w:p>
            <w:pPr>
              <w:spacing w:after="20"/>
            </w:pPr>
            <w:r>
              <w:rPr>
                <w:sz w:val="16"/>
              </w:rPr>
              <w:t>Listing-only marketplace pattern</w:t>
            </w:r>
          </w:p>
        </w:tc>
        <w:tc>
          <w:tcPr>
            <w:tcW w:type="dxa" w:w="3331"/>
            <w:vAlign w:val="center"/>
          </w:tcPr>
          <w:p>
            <w:pPr>
              <w:spacing w:after="20"/>
            </w:pPr>
            <w:r>
              <w:rPr>
                <w:sz w:val="16"/>
              </w:rPr>
              <w:t>Optimizes for property exposure, leads and contact.</w:t>
            </w:r>
          </w:p>
        </w:tc>
        <w:tc>
          <w:tcPr>
            <w:tcW w:type="dxa" w:w="3331"/>
            <w:vAlign w:val="center"/>
          </w:tcPr>
          <w:p>
            <w:pPr>
              <w:spacing w:after="20"/>
            </w:pPr>
            <w:r>
              <w:rPr>
                <w:sz w:val="16"/>
              </w:rPr>
              <w:t>Support both sides after contact: application, tenancy, rent, maintenance, move-out and records.</w:t>
            </w:r>
          </w:p>
        </w:tc>
      </w:tr>
      <w:tr>
        <w:tc>
          <w:tcPr>
            <w:tcW w:type="dxa" w:w="3331"/>
            <w:vAlign w:val="center"/>
            <w:shd w:fill="F1F6F8"/>
          </w:tcPr>
          <w:p>
            <w:pPr>
              <w:spacing w:after="20"/>
            </w:pPr>
            <w:r>
              <w:rPr>
                <w:sz w:val="16"/>
              </w:rPr>
              <w:t>Landlord-only management pattern</w:t>
            </w:r>
          </w:p>
        </w:tc>
        <w:tc>
          <w:tcPr>
            <w:tcW w:type="dxa" w:w="3331"/>
            <w:vAlign w:val="center"/>
            <w:shd w:fill="F1F6F8"/>
          </w:tcPr>
          <w:p>
            <w:pPr>
              <w:spacing w:after="20"/>
            </w:pPr>
            <w:r>
              <w:rPr>
                <w:sz w:val="16"/>
              </w:rPr>
              <w:t>Optimizes for landlord portfolio operations.</w:t>
            </w:r>
          </w:p>
        </w:tc>
        <w:tc>
          <w:tcPr>
            <w:tcW w:type="dxa" w:w="3331"/>
            <w:vAlign w:val="center"/>
            <w:shd w:fill="F1F6F8"/>
          </w:tcPr>
          <w:p>
            <w:pPr>
              <w:spacing w:after="20"/>
            </w:pPr>
            <w:r>
              <w:rPr>
                <w:sz w:val="16"/>
              </w:rPr>
              <w:t>Pair landlord tools with tenant-facing records that tenants control and can carry between homes.</w:t>
            </w:r>
          </w:p>
        </w:tc>
      </w:tr>
    </w:tbl>
    <w:p/>
    <w:p>
      <w:pPr>
        <w:pStyle w:val="Heading2"/>
      </w:pPr>
      <w:r>
        <w:t>7.1 Defensible differentiation</w:t>
      </w:r>
    </w:p>
    <w:p>
      <w:pPr>
        <w:pStyle w:val="ListBullet"/>
        <w:spacing w:after="40"/>
      </w:pPr>
      <w:r>
        <w:t>Owner-direct by default, with transparent and auditable authorization for representatives.</w:t>
      </w:r>
    </w:p>
    <w:p>
      <w:pPr>
        <w:pStyle w:val="ListBullet"/>
        <w:spacing w:after="40"/>
      </w:pPr>
      <w:r>
        <w:t>Verification signals that explain scope and freshness rather than a vague badge.</w:t>
      </w:r>
    </w:p>
    <w:p>
      <w:pPr>
        <w:pStyle w:val="ListBullet"/>
        <w:spacing w:after="40"/>
      </w:pPr>
      <w:r>
        <w:t>Lifecycle continuity from discovery through move-out.</w:t>
      </w:r>
    </w:p>
    <w:p>
      <w:pPr>
        <w:pStyle w:val="ListBullet"/>
        <w:spacing w:after="40"/>
      </w:pPr>
      <w:r>
        <w:t>Tenant-controlled Rental Passport with private notes separated from records deliberately shared.</w:t>
      </w:r>
    </w:p>
    <w:p>
      <w:pPr>
        <w:pStyle w:val="ListBullet"/>
        <w:spacing w:after="40"/>
      </w:pPr>
      <w:r>
        <w:t>One identity with multiple capabilities and strict resource-level permissions.</w:t>
      </w:r>
    </w:p>
    <w:p>
      <w:pPr>
        <w:pStyle w:val="ListBullet"/>
        <w:spacing w:after="40"/>
      </w:pPr>
      <w:r>
        <w:t>Local-first English/Swahili, mobile-first and low-bandwidth-aware experience.</w:t>
      </w:r>
    </w:p>
    <w:p>
      <w:pPr>
        <w:pStyle w:val="ListBullet"/>
        <w:spacing w:after="40"/>
      </w:pPr>
      <w:r>
        <w:t>Responsible finance access: savings planning and connection to eligible independent providers without promising approval.</w:t>
      </w:r>
    </w:p>
    <w:p>
      <w:pPr>
        <w:pStyle w:val="Heading1"/>
      </w:pPr>
      <w:r>
        <w:t>8. Why users should choose it</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C4863"/>
          </w:tcPr>
          <w:p>
            <w:r>
              <w:rPr>
                <w:b/>
                <w:color w:val="FFFFFF"/>
                <w:sz w:val="16"/>
              </w:rPr>
              <w:t>User</w:t>
            </w:r>
          </w:p>
        </w:tc>
        <w:tc>
          <w:tcPr>
            <w:tcW w:type="dxa" w:w="3331"/>
            <w:shd w:fill="1C4863"/>
          </w:tcPr>
          <w:p>
            <w:r>
              <w:rPr>
                <w:b/>
                <w:color w:val="FFFFFF"/>
                <w:sz w:val="16"/>
              </w:rPr>
              <w:t>Reason to use it</w:t>
            </w:r>
          </w:p>
        </w:tc>
        <w:tc>
          <w:tcPr>
            <w:tcW w:type="dxa" w:w="3331"/>
            <w:shd w:fill="1C4863"/>
          </w:tcPr>
          <w:p>
            <w:r>
              <w:rPr>
                <w:b/>
                <w:color w:val="FFFFFF"/>
                <w:sz w:val="16"/>
              </w:rPr>
              <w:t>Value proof to measure</w:t>
            </w:r>
          </w:p>
        </w:tc>
      </w:tr>
      <w:tr>
        <w:tc>
          <w:tcPr>
            <w:tcW w:type="dxa" w:w="3331"/>
            <w:vAlign w:val="center"/>
          </w:tcPr>
          <w:p>
            <w:pPr>
              <w:spacing w:after="20"/>
            </w:pPr>
            <w:r>
              <w:rPr>
                <w:sz w:val="16"/>
              </w:rPr>
              <w:t>Tenant searching</w:t>
            </w:r>
          </w:p>
        </w:tc>
        <w:tc>
          <w:tcPr>
            <w:tcW w:type="dxa" w:w="3331"/>
            <w:vAlign w:val="center"/>
          </w:tcPr>
          <w:p>
            <w:pPr>
              <w:spacing w:after="20"/>
            </w:pPr>
            <w:r>
              <w:rPr>
                <w:sz w:val="16"/>
              </w:rPr>
              <w:t>Clearer listing details and advertiser identity; arrange viewings in one place.</w:t>
            </w:r>
          </w:p>
        </w:tc>
        <w:tc>
          <w:tcPr>
            <w:tcW w:type="dxa" w:w="3331"/>
            <w:vAlign w:val="center"/>
          </w:tcPr>
          <w:p>
            <w:pPr>
              <w:spacing w:after="20"/>
            </w:pPr>
            <w:r>
              <w:rPr>
                <w:sz w:val="16"/>
              </w:rPr>
              <w:t>Search-to-inquiry conversion, viewing completion, stale listing and confirmed fraud rates.</w:t>
            </w:r>
          </w:p>
        </w:tc>
      </w:tr>
      <w:tr>
        <w:tc>
          <w:tcPr>
            <w:tcW w:type="dxa" w:w="3331"/>
            <w:vAlign w:val="center"/>
            <w:shd w:fill="F1F6F8"/>
          </w:tcPr>
          <w:p>
            <w:pPr>
              <w:spacing w:after="20"/>
            </w:pPr>
            <w:r>
              <w:rPr>
                <w:sz w:val="16"/>
              </w:rPr>
              <w:t>Tenant renting</w:t>
            </w:r>
          </w:p>
        </w:tc>
        <w:tc>
          <w:tcPr>
            <w:tcW w:type="dxa" w:w="3331"/>
            <w:vAlign w:val="center"/>
            <w:shd w:fill="F1F6F8"/>
          </w:tcPr>
          <w:p>
            <w:pPr>
              <w:spacing w:after="20"/>
            </w:pPr>
            <w:r>
              <w:rPr>
                <w:sz w:val="16"/>
              </w:rPr>
              <w:t>Keep agreements, receipts, rent records, maintenance and selected housing records together.</w:t>
            </w:r>
          </w:p>
        </w:tc>
        <w:tc>
          <w:tcPr>
            <w:tcW w:type="dxa" w:w="3331"/>
            <w:vAlign w:val="center"/>
            <w:shd w:fill="F1F6F8"/>
          </w:tcPr>
          <w:p>
            <w:pPr>
              <w:spacing w:after="20"/>
            </w:pPr>
            <w:r>
              <w:rPr>
                <w:sz w:val="16"/>
              </w:rPr>
              <w:t>Record completeness, issue-resolution time and export/use rate.</w:t>
            </w:r>
          </w:p>
        </w:tc>
      </w:tr>
      <w:tr>
        <w:tc>
          <w:tcPr>
            <w:tcW w:type="dxa" w:w="3331"/>
            <w:vAlign w:val="center"/>
          </w:tcPr>
          <w:p>
            <w:pPr>
              <w:spacing w:after="20"/>
            </w:pPr>
            <w:r>
              <w:rPr>
                <w:sz w:val="16"/>
              </w:rPr>
              <w:t>Owner/landlord</w:t>
            </w:r>
          </w:p>
        </w:tc>
        <w:tc>
          <w:tcPr>
            <w:tcW w:type="dxa" w:w="3331"/>
            <w:vAlign w:val="center"/>
          </w:tcPr>
          <w:p>
            <w:pPr>
              <w:spacing w:after="20"/>
            </w:pPr>
            <w:r>
              <w:rPr>
                <w:sz w:val="16"/>
              </w:rPr>
              <w:t>Reach tenants directly and manage more than adverts.</w:t>
            </w:r>
          </w:p>
        </w:tc>
        <w:tc>
          <w:tcPr>
            <w:tcW w:type="dxa" w:w="3331"/>
            <w:vAlign w:val="center"/>
          </w:tcPr>
          <w:p>
            <w:pPr>
              <w:spacing w:after="20"/>
            </w:pPr>
            <w:r>
              <w:rPr>
                <w:sz w:val="16"/>
              </w:rPr>
              <w:t>Time to first qualified inquiry, vacancy days, rent-record completeness.</w:t>
            </w:r>
          </w:p>
        </w:tc>
      </w:tr>
      <w:tr>
        <w:tc>
          <w:tcPr>
            <w:tcW w:type="dxa" w:w="3331"/>
            <w:vAlign w:val="center"/>
            <w:shd w:fill="F1F6F8"/>
          </w:tcPr>
          <w:p>
            <w:pPr>
              <w:spacing w:after="20"/>
            </w:pPr>
            <w:r>
              <w:rPr>
                <w:sz w:val="16"/>
              </w:rPr>
              <w:t>Authorized manager</w:t>
            </w:r>
          </w:p>
        </w:tc>
        <w:tc>
          <w:tcPr>
            <w:tcW w:type="dxa" w:w="3331"/>
            <w:vAlign w:val="center"/>
            <w:shd w:fill="F1F6F8"/>
          </w:tcPr>
          <w:p>
            <w:pPr>
              <w:spacing w:after="20"/>
            </w:pPr>
            <w:r>
              <w:rPr>
                <w:sz w:val="16"/>
              </w:rPr>
              <w:t>Manage delegated properties with explicit scope and auditable actions.</w:t>
            </w:r>
          </w:p>
        </w:tc>
        <w:tc>
          <w:tcPr>
            <w:tcW w:type="dxa" w:w="3331"/>
            <w:vAlign w:val="center"/>
            <w:shd w:fill="F1F6F8"/>
          </w:tcPr>
          <w:p>
            <w:pPr>
              <w:spacing w:after="20"/>
            </w:pPr>
            <w:r>
              <w:rPr>
                <w:sz w:val="16"/>
              </w:rPr>
              <w:t>Delegation completion, unauthorized-action incidents and owner satisfaction.</w:t>
            </w:r>
          </w:p>
        </w:tc>
      </w:tr>
      <w:tr>
        <w:tc>
          <w:tcPr>
            <w:tcW w:type="dxa" w:w="3331"/>
            <w:vAlign w:val="center"/>
          </w:tcPr>
          <w:p>
            <w:pPr>
              <w:spacing w:after="20"/>
            </w:pPr>
            <w:r>
              <w:rPr>
                <w:sz w:val="16"/>
              </w:rPr>
              <w:t>Vendor</w:t>
            </w:r>
          </w:p>
        </w:tc>
        <w:tc>
          <w:tcPr>
            <w:tcW w:type="dxa" w:w="3331"/>
            <w:vAlign w:val="center"/>
          </w:tcPr>
          <w:p>
            <w:pPr>
              <w:spacing w:after="20"/>
            </w:pPr>
            <w:r>
              <w:rPr>
                <w:sz w:val="16"/>
              </w:rPr>
              <w:t>Receive structured work orders and provide completion evidence.</w:t>
            </w:r>
          </w:p>
        </w:tc>
        <w:tc>
          <w:tcPr>
            <w:tcW w:type="dxa" w:w="3331"/>
            <w:vAlign w:val="center"/>
          </w:tcPr>
          <w:p>
            <w:pPr>
              <w:spacing w:after="20"/>
            </w:pPr>
            <w:r>
              <w:rPr>
                <w:sz w:val="16"/>
              </w:rPr>
              <w:t>Acceptance time, completion rate and dispute/rework rate.</w:t>
            </w:r>
          </w:p>
        </w:tc>
      </w:tr>
      <w:tr>
        <w:tc>
          <w:tcPr>
            <w:tcW w:type="dxa" w:w="3331"/>
            <w:vAlign w:val="center"/>
            <w:shd w:fill="F1F6F8"/>
          </w:tcPr>
          <w:p>
            <w:pPr>
              <w:spacing w:after="20"/>
            </w:pPr>
            <w:r>
              <w:rPr>
                <w:sz w:val="16"/>
              </w:rPr>
              <w:t>Eligible provider</w:t>
            </w:r>
          </w:p>
        </w:tc>
        <w:tc>
          <w:tcPr>
            <w:tcW w:type="dxa" w:w="3331"/>
            <w:vAlign w:val="center"/>
            <w:shd w:fill="F1F6F8"/>
          </w:tcPr>
          <w:p>
            <w:pPr>
              <w:spacing w:after="20"/>
            </w:pPr>
            <w:r>
              <w:rPr>
                <w:sz w:val="16"/>
              </w:rPr>
              <w:t>Receive a tenant-authorized financing request with defined data scope.</w:t>
            </w:r>
          </w:p>
        </w:tc>
        <w:tc>
          <w:tcPr>
            <w:tcW w:type="dxa" w:w="3331"/>
            <w:vAlign w:val="center"/>
            <w:shd w:fill="F1F6F8"/>
          </w:tcPr>
          <w:p>
            <w:pPr>
              <w:spacing w:after="20"/>
            </w:pPr>
            <w:r>
              <w:rPr>
                <w:sz w:val="16"/>
              </w:rPr>
              <w:t>Consent completion, response time, complaints and privacy incidents.</w:t>
            </w:r>
          </w:p>
        </w:tc>
      </w:tr>
    </w:tbl>
    <w:p/>
    <w:p>
      <w:r>
        <w:t>Do not promise '100% safe', guaranteed tenants, guaranteed rent collection, guaranteed loans or returns, or that every property/payment/document is genuine. Show what was checked and what remains unverified.</w:t>
      </w:r>
    </w:p>
    <w:p>
      <w:pPr>
        <w:pStyle w:val="Heading1"/>
      </w:pPr>
      <w:r>
        <w:t>9. Product requirements and acceptance principles</w:t>
      </w:r>
    </w:p>
    <w:p>
      <w:pPr>
        <w:pStyle w:val="Heading2"/>
      </w:pPr>
      <w:r>
        <w:t>9.1 Marketplace</w:t>
      </w:r>
    </w:p>
    <w:p>
      <w:pPr>
        <w:pStyle w:val="ListBullet"/>
        <w:spacing w:after="40"/>
      </w:pPr>
      <w:r>
        <w:t>Every listing identifies advertiser as owner or authorized representative; label is visible before contact.</w:t>
      </w:r>
    </w:p>
    <w:p>
      <w:pPr>
        <w:pStyle w:val="ListBullet"/>
        <w:spacing w:after="40"/>
      </w:pPr>
      <w:r>
        <w:t>Listing availability has a state and a last-confirmed timestamp.</w:t>
      </w:r>
    </w:p>
    <w:p>
      <w:pPr>
        <w:pStyle w:val="ListBullet"/>
        <w:spacing w:after="40"/>
      </w:pPr>
      <w:r>
        <w:t>Search supports location, budget, type, rooms and useful property attributes in combination.</w:t>
      </w:r>
    </w:p>
    <w:p>
      <w:pPr>
        <w:pStyle w:val="ListBullet"/>
        <w:spacing w:after="40"/>
      </w:pPr>
      <w:r>
        <w:t>Users can report suspected fraud/inaccuracy; a report is not itself proof of wrongdoing.</w:t>
      </w:r>
    </w:p>
    <w:p>
      <w:pPr>
        <w:pStyle w:val="ListBullet"/>
        <w:spacing w:after="40"/>
      </w:pPr>
      <w:r>
        <w:t>Only authorized users can edit a property or listing; enforce property/unit access server-side.</w:t>
      </w:r>
    </w:p>
    <w:p>
      <w:pPr>
        <w:pStyle w:val="Heading2"/>
      </w:pPr>
      <w:r>
        <w:t>9.2 Tenancy operations</w:t>
      </w:r>
    </w:p>
    <w:p>
      <w:pPr>
        <w:pStyle w:val="ListBullet"/>
        <w:spacing w:after="40"/>
      </w:pPr>
      <w:r>
        <w:t>A tenancy links tenant, specific unit and owner/authorized manager for a defined period.</w:t>
      </w:r>
    </w:p>
    <w:p>
      <w:pPr>
        <w:pStyle w:val="ListBullet"/>
        <w:spacing w:after="40"/>
      </w:pPr>
      <w:r>
        <w:t>Rent obligations, payment records, adjustments and balances have auditable history; corrections do not silently erase prior records.</w:t>
      </w:r>
    </w:p>
    <w:p>
      <w:pPr>
        <w:pStyle w:val="ListBullet"/>
        <w:spacing w:after="40"/>
      </w:pPr>
      <w:r>
        <w:t>Manual payment entries are labelled recorded/reported unless independently confirmed by a payment provider or defined evidence.</w:t>
      </w:r>
    </w:p>
    <w:p>
      <w:pPr>
        <w:pStyle w:val="ListBullet"/>
        <w:spacing w:after="40"/>
      </w:pPr>
      <w:r>
        <w:t>Maintenance requests include status, priority, timestamps, responsible party and optional evidence; closure can be acknowledged or disputed.</w:t>
      </w:r>
    </w:p>
    <w:p>
      <w:pPr>
        <w:pStyle w:val="ListBullet"/>
        <w:spacing w:after="40"/>
      </w:pPr>
      <w:r>
        <w:t>Documents and personal data are available only to authorized participants for defined purposes.</w:t>
      </w:r>
    </w:p>
    <w:p>
      <w:pPr>
        <w:pStyle w:val="Heading2"/>
      </w:pPr>
      <w:r>
        <w:t>9.3 Rental Passport</w:t>
      </w:r>
    </w:p>
    <w:p>
      <w:pPr>
        <w:pStyle w:val="ListBullet"/>
        <w:spacing w:after="40"/>
      </w:pPr>
      <w:r>
        <w:t>Private memories/notes are private by default and never automatically shared with landlords.</w:t>
      </w:r>
    </w:p>
    <w:p>
      <w:pPr>
        <w:pStyle w:val="ListBullet"/>
        <w:spacing w:after="40"/>
      </w:pPr>
      <w:r>
        <w:t>Shareable records show their source and confirmation status.</w:t>
      </w:r>
    </w:p>
    <w:p>
      <w:pPr>
        <w:pStyle w:val="ListBullet"/>
        <w:spacing w:after="40"/>
      </w:pPr>
      <w:r>
        <w:t>Tenants select records to share; no default public lifetime housing profile.</w:t>
      </w:r>
    </w:p>
    <w:p>
      <w:pPr>
        <w:pStyle w:val="ListBullet"/>
        <w:spacing w:after="40"/>
      </w:pPr>
      <w:r>
        <w:t>Tenants can request correction or dispute records and see status/outcome.</w:t>
      </w:r>
    </w:p>
    <w:p>
      <w:pPr>
        <w:pStyle w:val="ListBullet"/>
        <w:spacing w:after="40"/>
      </w:pPr>
      <w:r>
        <w:t>A user-entered expense is not automatically a debt owed by a landlord; reimbursement status must be explicit and evidence-aware.</w:t>
      </w:r>
    </w:p>
    <w:p>
      <w:pPr>
        <w:pStyle w:val="Heading2"/>
      </w:pPr>
      <w:r>
        <w:t>9.4 Finance and investment boundaries</w:t>
      </w:r>
    </w:p>
    <w:p>
      <w:pPr>
        <w:pStyle w:val="ListBullet"/>
        <w:spacing w:after="40"/>
      </w:pPr>
      <w:r>
        <w:t>Panga Akiba goals are distinct from actual balances held by a partner.</w:t>
      </w:r>
    </w:p>
    <w:p>
      <w:pPr>
        <w:pStyle w:val="ListBullet"/>
        <w:spacing w:after="40"/>
      </w:pPr>
      <w:r>
        <w:t>Finance Connect obtains explicit, purpose-specific consent before sharing data.</w:t>
      </w:r>
    </w:p>
    <w:p>
      <w:pPr>
        <w:pStyle w:val="ListBullet"/>
        <w:spacing w:after="40"/>
      </w:pPr>
      <w:r>
        <w:t>Eligible independent providers handle assessment, offers, disclosures, contracts, funding and repayment under their own arrangements and applicable law.</w:t>
      </w:r>
    </w:p>
    <w:p>
      <w:pPr>
        <w:pStyle w:val="ListBullet"/>
        <w:spacing w:after="40"/>
      </w:pPr>
      <w:r>
        <w:t>No financing approval, rate, funding availability or return is guaranteed.</w:t>
      </w:r>
    </w:p>
    <w:p>
      <w:pPr>
        <w:pStyle w:val="ListBullet"/>
        <w:spacing w:after="40"/>
      </w:pPr>
      <w:r>
        <w:t>No custody of loan/investment funds, pooled investment offer or return promise is in MVP scope.</w:t>
      </w:r>
    </w:p>
    <w:p>
      <w:pPr>
        <w:pStyle w:val="ListBullet"/>
        <w:spacing w:after="40"/>
      </w:pPr>
      <w:r>
        <w:t>Obtain Tanzania-specific legal and partner review before enabling financial/investment functions; a disclaimer alone does not settle regulatory status.</w:t>
      </w:r>
    </w:p>
    <w:p>
      <w:pPr>
        <w:pStyle w:val="Heading1"/>
      </w:pPr>
      <w:r>
        <w:t>10. MVP and roadmap</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C4863"/>
          </w:tcPr>
          <w:p>
            <w:r>
              <w:rPr>
                <w:b/>
                <w:color w:val="FFFFFF"/>
                <w:sz w:val="16"/>
              </w:rPr>
              <w:t>Phase</w:t>
            </w:r>
          </w:p>
        </w:tc>
        <w:tc>
          <w:tcPr>
            <w:tcW w:type="dxa" w:w="2498"/>
            <w:shd w:fill="1C4863"/>
          </w:tcPr>
          <w:p>
            <w:r>
              <w:rPr>
                <w:b/>
                <w:color w:val="FFFFFF"/>
                <w:sz w:val="16"/>
              </w:rPr>
              <w:t>Outcome</w:t>
            </w:r>
          </w:p>
        </w:tc>
        <w:tc>
          <w:tcPr>
            <w:tcW w:type="dxa" w:w="2498"/>
            <w:shd w:fill="1C4863"/>
          </w:tcPr>
          <w:p>
            <w:r>
              <w:rPr>
                <w:b/>
                <w:color w:val="FFFFFF"/>
                <w:sz w:val="16"/>
              </w:rPr>
              <w:t>Scope</w:t>
            </w:r>
          </w:p>
        </w:tc>
        <w:tc>
          <w:tcPr>
            <w:tcW w:type="dxa" w:w="2498"/>
            <w:shd w:fill="1C4863"/>
          </w:tcPr>
          <w:p>
            <w:r>
              <w:rPr>
                <w:b/>
                <w:color w:val="FFFFFF"/>
                <w:sz w:val="16"/>
              </w:rPr>
              <w:t>Exit criteria</w:t>
            </w:r>
          </w:p>
        </w:tc>
      </w:tr>
      <w:tr>
        <w:tc>
          <w:tcPr>
            <w:tcW w:type="dxa" w:w="2498"/>
            <w:vAlign w:val="center"/>
          </w:tcPr>
          <w:p>
            <w:pPr>
              <w:spacing w:after="20"/>
            </w:pPr>
            <w:r>
              <w:rPr>
                <w:sz w:val="16"/>
              </w:rPr>
              <w:t>0. Foundation</w:t>
            </w:r>
          </w:p>
        </w:tc>
        <w:tc>
          <w:tcPr>
            <w:tcW w:type="dxa" w:w="2498"/>
            <w:vAlign w:val="center"/>
          </w:tcPr>
          <w:p>
            <w:pPr>
              <w:spacing w:after="20"/>
            </w:pPr>
            <w:r>
              <w:rPr>
                <w:sz w:val="16"/>
              </w:rPr>
              <w:t>Safe platform baseline</w:t>
            </w:r>
          </w:p>
        </w:tc>
        <w:tc>
          <w:tcPr>
            <w:tcW w:type="dxa" w:w="2498"/>
            <w:vAlign w:val="center"/>
          </w:tcPr>
          <w:p>
            <w:pPr>
              <w:spacing w:after="20"/>
            </w:pPr>
            <w:r>
              <w:rPr>
                <w:sz w:val="16"/>
              </w:rPr>
              <w:t>Identity/capabilities, permissions, audit events, deployment/monitoring foundation.</w:t>
            </w:r>
          </w:p>
        </w:tc>
        <w:tc>
          <w:tcPr>
            <w:tcW w:type="dxa" w:w="2498"/>
            <w:vAlign w:val="center"/>
          </w:tcPr>
          <w:p>
            <w:pPr>
              <w:spacing w:after="20"/>
            </w:pPr>
            <w:r>
              <w:rPr>
                <w:sz w:val="16"/>
              </w:rPr>
              <w:t>Critical authorization tests pass; audit/recovery processes documented.</w:t>
            </w:r>
          </w:p>
        </w:tc>
      </w:tr>
      <w:tr>
        <w:tc>
          <w:tcPr>
            <w:tcW w:type="dxa" w:w="2498"/>
            <w:vAlign w:val="center"/>
            <w:shd w:fill="F1F6F8"/>
          </w:tcPr>
          <w:p>
            <w:pPr>
              <w:spacing w:after="20"/>
            </w:pPr>
            <w:r>
              <w:rPr>
                <w:sz w:val="16"/>
              </w:rPr>
              <w:t>1. Marketplace MVP</w:t>
            </w:r>
          </w:p>
        </w:tc>
        <w:tc>
          <w:tcPr>
            <w:tcW w:type="dxa" w:w="2498"/>
            <w:vAlign w:val="center"/>
            <w:shd w:fill="F1F6F8"/>
          </w:tcPr>
          <w:p>
            <w:pPr>
              <w:spacing w:after="20"/>
            </w:pPr>
            <w:r>
              <w:rPr>
                <w:sz w:val="16"/>
              </w:rPr>
              <w:t>Discover and contact advertisers</w:t>
            </w:r>
          </w:p>
        </w:tc>
        <w:tc>
          <w:tcPr>
            <w:tcW w:type="dxa" w:w="2498"/>
            <w:vAlign w:val="center"/>
            <w:shd w:fill="F1F6F8"/>
          </w:tcPr>
          <w:p>
            <w:pPr>
              <w:spacing w:after="20"/>
            </w:pPr>
            <w:r>
              <w:rPr>
                <w:sz w:val="16"/>
              </w:rPr>
              <w:t>Owner onboarding, listings, search, freshness, inquiry/viewing, messaging, notifications, reporting/moderation.</w:t>
            </w:r>
          </w:p>
        </w:tc>
        <w:tc>
          <w:tcPr>
            <w:tcW w:type="dxa" w:w="2498"/>
            <w:vAlign w:val="center"/>
            <w:shd w:fill="F1F6F8"/>
          </w:tcPr>
          <w:p>
            <w:pPr>
              <w:spacing w:after="20"/>
            </w:pPr>
            <w:r>
              <w:rPr>
                <w:sz w:val="16"/>
              </w:rPr>
              <w:t>Search/inquiry/viewing journeys pass; no known critical data exposure.</w:t>
            </w:r>
          </w:p>
        </w:tc>
      </w:tr>
      <w:tr>
        <w:tc>
          <w:tcPr>
            <w:tcW w:type="dxa" w:w="2498"/>
            <w:vAlign w:val="center"/>
          </w:tcPr>
          <w:p>
            <w:pPr>
              <w:spacing w:after="20"/>
            </w:pPr>
            <w:r>
              <w:rPr>
                <w:sz w:val="16"/>
              </w:rPr>
              <w:t>2. Rental lifecycle</w:t>
            </w:r>
          </w:p>
        </w:tc>
        <w:tc>
          <w:tcPr>
            <w:tcW w:type="dxa" w:w="2498"/>
            <w:vAlign w:val="center"/>
          </w:tcPr>
          <w:p>
            <w:pPr>
              <w:spacing w:after="20"/>
            </w:pPr>
            <w:r>
              <w:rPr>
                <w:sz w:val="16"/>
              </w:rPr>
              <w:t>Manage a tenancy</w:t>
            </w:r>
          </w:p>
        </w:tc>
        <w:tc>
          <w:tcPr>
            <w:tcW w:type="dxa" w:w="2498"/>
            <w:vAlign w:val="center"/>
          </w:tcPr>
          <w:p>
            <w:pPr>
              <w:spacing w:after="20"/>
            </w:pPr>
            <w:r>
              <w:rPr>
                <w:sz w:val="16"/>
              </w:rPr>
              <w:t>Applications, tenancy/docs, rent ledger/receipts, reminders, maintenance/work orders.</w:t>
            </w:r>
          </w:p>
        </w:tc>
        <w:tc>
          <w:tcPr>
            <w:tcW w:type="dxa" w:w="2498"/>
            <w:vAlign w:val="center"/>
          </w:tcPr>
          <w:p>
            <w:pPr>
              <w:spacing w:after="20"/>
            </w:pPr>
            <w:r>
              <w:rPr>
                <w:sz w:val="16"/>
              </w:rPr>
              <w:t>Tenant/owner journeys tested end-to-end; changes are auditable.</w:t>
            </w:r>
          </w:p>
        </w:tc>
      </w:tr>
      <w:tr>
        <w:tc>
          <w:tcPr>
            <w:tcW w:type="dxa" w:w="2498"/>
            <w:vAlign w:val="center"/>
            <w:shd w:fill="F1F6F8"/>
          </w:tcPr>
          <w:p>
            <w:pPr>
              <w:spacing w:after="20"/>
            </w:pPr>
            <w:r>
              <w:rPr>
                <w:sz w:val="16"/>
              </w:rPr>
              <w:t>3. Housing history</w:t>
            </w:r>
          </w:p>
        </w:tc>
        <w:tc>
          <w:tcPr>
            <w:tcW w:type="dxa" w:w="2498"/>
            <w:vAlign w:val="center"/>
            <w:shd w:fill="F1F6F8"/>
          </w:tcPr>
          <w:p>
            <w:pPr>
              <w:spacing w:after="20"/>
            </w:pPr>
            <w:r>
              <w:rPr>
                <w:sz w:val="16"/>
              </w:rPr>
              <w:t>Tenant-controlled records</w:t>
            </w:r>
          </w:p>
        </w:tc>
        <w:tc>
          <w:tcPr>
            <w:tcW w:type="dxa" w:w="2498"/>
            <w:vAlign w:val="center"/>
            <w:shd w:fill="F1F6F8"/>
          </w:tcPr>
          <w:p>
            <w:pPr>
              <w:spacing w:after="20"/>
            </w:pPr>
            <w:r>
              <w:rPr>
                <w:sz w:val="16"/>
              </w:rPr>
              <w:t>Rental Passport, evidence, privacy separation, sharing consent, disputes and export.</w:t>
            </w:r>
          </w:p>
        </w:tc>
        <w:tc>
          <w:tcPr>
            <w:tcW w:type="dxa" w:w="2498"/>
            <w:vAlign w:val="center"/>
            <w:shd w:fill="F1F6F8"/>
          </w:tcPr>
          <w:p>
            <w:pPr>
              <w:spacing w:after="20"/>
            </w:pPr>
            <w:r>
              <w:rPr>
                <w:sz w:val="16"/>
              </w:rPr>
              <w:t>Privacy/access and record provenance tests pass.</w:t>
            </w:r>
          </w:p>
        </w:tc>
      </w:tr>
      <w:tr>
        <w:tc>
          <w:tcPr>
            <w:tcW w:type="dxa" w:w="2498"/>
            <w:vAlign w:val="center"/>
          </w:tcPr>
          <w:p>
            <w:pPr>
              <w:spacing w:after="20"/>
            </w:pPr>
            <w:r>
              <w:rPr>
                <w:sz w:val="16"/>
              </w:rPr>
              <w:t>4. Savings/finance pilot</w:t>
            </w:r>
          </w:p>
        </w:tc>
        <w:tc>
          <w:tcPr>
            <w:tcW w:type="dxa" w:w="2498"/>
            <w:vAlign w:val="center"/>
          </w:tcPr>
          <w:p>
            <w:pPr>
              <w:spacing w:after="20"/>
            </w:pPr>
            <w:r>
              <w:rPr>
                <w:sz w:val="16"/>
              </w:rPr>
              <w:t>Plan rent and explore external options</w:t>
            </w:r>
          </w:p>
        </w:tc>
        <w:tc>
          <w:tcPr>
            <w:tcW w:type="dxa" w:w="2498"/>
            <w:vAlign w:val="center"/>
          </w:tcPr>
          <w:p>
            <w:pPr>
              <w:spacing w:after="20"/>
            </w:pPr>
            <w:r>
              <w:rPr>
                <w:sz w:val="16"/>
              </w:rPr>
              <w:t>Akiba goals; Finance Connect only after legal/provider gates.</w:t>
            </w:r>
          </w:p>
        </w:tc>
        <w:tc>
          <w:tcPr>
            <w:tcW w:type="dxa" w:w="2498"/>
            <w:vAlign w:val="center"/>
          </w:tcPr>
          <w:p>
            <w:pPr>
              <w:spacing w:after="20"/>
            </w:pPr>
            <w:r>
              <w:rPr>
                <w:sz w:val="16"/>
              </w:rPr>
              <w:t>Written review, eligible provider process, consent and complaint handling.</w:t>
            </w:r>
          </w:p>
        </w:tc>
      </w:tr>
      <w:tr>
        <w:tc>
          <w:tcPr>
            <w:tcW w:type="dxa" w:w="2498"/>
            <w:vAlign w:val="center"/>
            <w:shd w:fill="F1F6F8"/>
          </w:tcPr>
          <w:p>
            <w:pPr>
              <w:spacing w:after="20"/>
            </w:pPr>
            <w:r>
              <w:rPr>
                <w:sz w:val="16"/>
              </w:rPr>
              <w:t>5. Project participation</w:t>
            </w:r>
          </w:p>
        </w:tc>
        <w:tc>
          <w:tcPr>
            <w:tcW w:type="dxa" w:w="2498"/>
            <w:vAlign w:val="center"/>
            <w:shd w:fill="F1F6F8"/>
          </w:tcPr>
          <w:p>
            <w:pPr>
              <w:spacing w:after="20"/>
            </w:pPr>
            <w:r>
              <w:rPr>
                <w:sz w:val="16"/>
              </w:rPr>
              <w:t>Transparent project exploration</w:t>
            </w:r>
          </w:p>
        </w:tc>
        <w:tc>
          <w:tcPr>
            <w:tcW w:type="dxa" w:w="2498"/>
            <w:vAlign w:val="center"/>
            <w:shd w:fill="F1F6F8"/>
          </w:tcPr>
          <w:p>
            <w:pPr>
              <w:spacing w:after="20"/>
            </w:pPr>
            <w:r>
              <w:rPr>
                <w:sz w:val="16"/>
              </w:rPr>
              <w:t>Project profiles/milestones and permitted expressions of interest.</w:t>
            </w:r>
          </w:p>
        </w:tc>
        <w:tc>
          <w:tcPr>
            <w:tcW w:type="dxa" w:w="2498"/>
            <w:vAlign w:val="center"/>
            <w:shd w:fill="F1F6F8"/>
          </w:tcPr>
          <w:p>
            <w:pPr>
              <w:spacing w:after="20"/>
            </w:pPr>
            <w:r>
              <w:rPr>
                <w:sz w:val="16"/>
              </w:rPr>
              <w:t>Legal review confirms permitted scope and disclosures.</w:t>
            </w:r>
          </w:p>
        </w:tc>
      </w:tr>
    </w:tbl>
    <w:p/>
    <w:p>
      <w:r>
        <w:t>Recommendation: do not launch every module at once. Prove trust, listing freshness, search-to-viewing conversion and the first tenancy workflow before expanding into finance or investment.</w:t>
      </w:r>
    </w:p>
    <w:p>
      <w:pPr>
        <w:pStyle w:val="Heading1"/>
      </w:pPr>
      <w:r>
        <w:t>11. Success metrics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C4863"/>
          </w:tcPr>
          <w:p>
            <w:r>
              <w:rPr>
                <w:b/>
                <w:color w:val="FFFFFF"/>
                <w:sz w:val="16"/>
              </w:rPr>
              <w:t>Metric</w:t>
            </w:r>
          </w:p>
        </w:tc>
        <w:tc>
          <w:tcPr>
            <w:tcW w:type="dxa" w:w="3331"/>
            <w:shd w:fill="1C4863"/>
          </w:tcPr>
          <w:p>
            <w:r>
              <w:rPr>
                <w:b/>
                <w:color w:val="FFFFFF"/>
                <w:sz w:val="16"/>
              </w:rPr>
              <w:t>Definition / use</w:t>
            </w:r>
          </w:p>
        </w:tc>
        <w:tc>
          <w:tcPr>
            <w:tcW w:type="dxa" w:w="3331"/>
            <w:shd w:fill="1C4863"/>
          </w:tcPr>
          <w:p>
            <w:r>
              <w:rPr>
                <w:b/>
                <w:color w:val="FFFFFF"/>
                <w:sz w:val="16"/>
              </w:rPr>
              <w:t>Target approach</w:t>
            </w:r>
          </w:p>
        </w:tc>
      </w:tr>
      <w:tr>
        <w:tc>
          <w:tcPr>
            <w:tcW w:type="dxa" w:w="3331"/>
            <w:vAlign w:val="center"/>
          </w:tcPr>
          <w:p>
            <w:pPr>
              <w:spacing w:after="20"/>
            </w:pPr>
            <w:r>
              <w:rPr>
                <w:sz w:val="16"/>
              </w:rPr>
              <w:t>Verified listing coverage</w:t>
            </w:r>
          </w:p>
        </w:tc>
        <w:tc>
          <w:tcPr>
            <w:tcW w:type="dxa" w:w="3331"/>
            <w:vAlign w:val="center"/>
          </w:tcPr>
          <w:p>
            <w:pPr>
              <w:spacing w:after="20"/>
            </w:pPr>
            <w:r>
              <w:rPr>
                <w:sz w:val="16"/>
              </w:rPr>
              <w:t>Share of active listings completing a defined verification workflow.</w:t>
            </w:r>
          </w:p>
        </w:tc>
        <w:tc>
          <w:tcPr>
            <w:tcW w:type="dxa" w:w="3331"/>
            <w:vAlign w:val="center"/>
          </w:tcPr>
          <w:p>
            <w:pPr>
              <w:spacing w:after="20"/>
            </w:pPr>
            <w:r>
              <w:rPr>
                <w:sz w:val="16"/>
              </w:rPr>
              <w:t>Set pilot baseline; report by verification level.</w:t>
            </w:r>
          </w:p>
        </w:tc>
      </w:tr>
      <w:tr>
        <w:tc>
          <w:tcPr>
            <w:tcW w:type="dxa" w:w="3331"/>
            <w:vAlign w:val="center"/>
            <w:shd w:fill="F1F6F8"/>
          </w:tcPr>
          <w:p>
            <w:pPr>
              <w:spacing w:after="20"/>
            </w:pPr>
            <w:r>
              <w:rPr>
                <w:sz w:val="16"/>
              </w:rPr>
              <w:t>Fresh availability rate</w:t>
            </w:r>
          </w:p>
        </w:tc>
        <w:tc>
          <w:tcPr>
            <w:tcW w:type="dxa" w:w="3331"/>
            <w:vAlign w:val="center"/>
            <w:shd w:fill="F1F6F8"/>
          </w:tcPr>
          <w:p>
            <w:pPr>
              <w:spacing w:after="20"/>
            </w:pPr>
            <w:r>
              <w:rPr>
                <w:sz w:val="16"/>
              </w:rPr>
              <w:t>Share of active listings reconfirmed within chosen freshness window.</w:t>
            </w:r>
          </w:p>
        </w:tc>
        <w:tc>
          <w:tcPr>
            <w:tcW w:type="dxa" w:w="3331"/>
            <w:vAlign w:val="center"/>
            <w:shd w:fill="F1F6F8"/>
          </w:tcPr>
          <w:p>
            <w:pPr>
              <w:spacing w:after="20"/>
            </w:pPr>
            <w:r>
              <w:rPr>
                <w:sz w:val="16"/>
              </w:rPr>
              <w:t>Choose window after research; prompt reconfirmation.</w:t>
            </w:r>
          </w:p>
        </w:tc>
      </w:tr>
      <w:tr>
        <w:tc>
          <w:tcPr>
            <w:tcW w:type="dxa" w:w="3331"/>
            <w:vAlign w:val="center"/>
          </w:tcPr>
          <w:p>
            <w:pPr>
              <w:spacing w:after="20"/>
            </w:pPr>
            <w:r>
              <w:rPr>
                <w:sz w:val="16"/>
              </w:rPr>
              <w:t>Search-to-inquiry conversion</w:t>
            </w:r>
          </w:p>
        </w:tc>
        <w:tc>
          <w:tcPr>
            <w:tcW w:type="dxa" w:w="3331"/>
            <w:vAlign w:val="center"/>
          </w:tcPr>
          <w:p>
            <w:pPr>
              <w:spacing w:after="20"/>
            </w:pPr>
            <w:r>
              <w:rPr>
                <w:sz w:val="16"/>
              </w:rPr>
              <w:t>Search/listing sessions resulting in valid inquiry.</w:t>
            </w:r>
          </w:p>
        </w:tc>
        <w:tc>
          <w:tcPr>
            <w:tcW w:type="dxa" w:w="3331"/>
            <w:vAlign w:val="center"/>
          </w:tcPr>
          <w:p>
            <w:pPr>
              <w:spacing w:after="20"/>
            </w:pPr>
            <w:r>
              <w:rPr>
                <w:sz w:val="16"/>
              </w:rPr>
              <w:t>Baseline by location/device/category.</w:t>
            </w:r>
          </w:p>
        </w:tc>
      </w:tr>
      <w:tr>
        <w:tc>
          <w:tcPr>
            <w:tcW w:type="dxa" w:w="3331"/>
            <w:vAlign w:val="center"/>
            <w:shd w:fill="F1F6F8"/>
          </w:tcPr>
          <w:p>
            <w:pPr>
              <w:spacing w:after="20"/>
            </w:pPr>
            <w:r>
              <w:rPr>
                <w:sz w:val="16"/>
              </w:rPr>
              <w:t>Inquiry-to-viewing rate</w:t>
            </w:r>
          </w:p>
        </w:tc>
        <w:tc>
          <w:tcPr>
            <w:tcW w:type="dxa" w:w="3331"/>
            <w:vAlign w:val="center"/>
            <w:shd w:fill="F1F6F8"/>
          </w:tcPr>
          <w:p>
            <w:pPr>
              <w:spacing w:after="20"/>
            </w:pPr>
            <w:r>
              <w:rPr>
                <w:sz w:val="16"/>
              </w:rPr>
              <w:t>Valid inquiries that lead to scheduled viewing.</w:t>
            </w:r>
          </w:p>
        </w:tc>
        <w:tc>
          <w:tcPr>
            <w:tcW w:type="dxa" w:w="3331"/>
            <w:vAlign w:val="center"/>
            <w:shd w:fill="F1F6F8"/>
          </w:tcPr>
          <w:p>
            <w:pPr>
              <w:spacing w:after="20"/>
            </w:pPr>
            <w:r>
              <w:rPr>
                <w:sz w:val="16"/>
              </w:rPr>
              <w:t>Track drop-off and no-show reasons.</w:t>
            </w:r>
          </w:p>
        </w:tc>
      </w:tr>
      <w:tr>
        <w:tc>
          <w:tcPr>
            <w:tcW w:type="dxa" w:w="3331"/>
            <w:vAlign w:val="center"/>
          </w:tcPr>
          <w:p>
            <w:pPr>
              <w:spacing w:after="20"/>
            </w:pPr>
            <w:r>
              <w:rPr>
                <w:sz w:val="16"/>
              </w:rPr>
              <w:t>Response time</w:t>
            </w:r>
          </w:p>
        </w:tc>
        <w:tc>
          <w:tcPr>
            <w:tcW w:type="dxa" w:w="3331"/>
            <w:vAlign w:val="center"/>
          </w:tcPr>
          <w:p>
            <w:pPr>
              <w:spacing w:after="20"/>
            </w:pPr>
            <w:r>
              <w:rPr>
                <w:sz w:val="16"/>
              </w:rPr>
              <w:t>Time from inquiry to owner/authorized-manager response.</w:t>
            </w:r>
          </w:p>
        </w:tc>
        <w:tc>
          <w:tcPr>
            <w:tcW w:type="dxa" w:w="3331"/>
            <w:vAlign w:val="center"/>
          </w:tcPr>
          <w:p>
            <w:pPr>
              <w:spacing w:after="20"/>
            </w:pPr>
            <w:r>
              <w:rPr>
                <w:sz w:val="16"/>
              </w:rPr>
              <w:t>Set expectations from pilot evidence.</w:t>
            </w:r>
          </w:p>
        </w:tc>
      </w:tr>
      <w:tr>
        <w:tc>
          <w:tcPr>
            <w:tcW w:type="dxa" w:w="3331"/>
            <w:vAlign w:val="center"/>
            <w:shd w:fill="F1F6F8"/>
          </w:tcPr>
          <w:p>
            <w:pPr>
              <w:spacing w:after="20"/>
            </w:pPr>
            <w:r>
              <w:rPr>
                <w:sz w:val="16"/>
              </w:rPr>
              <w:t>Tenancy completeness</w:t>
            </w:r>
          </w:p>
        </w:tc>
        <w:tc>
          <w:tcPr>
            <w:tcW w:type="dxa" w:w="3331"/>
            <w:vAlign w:val="center"/>
            <w:shd w:fill="F1F6F8"/>
          </w:tcPr>
          <w:p>
            <w:pPr>
              <w:spacing w:after="20"/>
            </w:pPr>
            <w:r>
              <w:rPr>
                <w:sz w:val="16"/>
              </w:rPr>
              <w:t>Active tenancies with required dates, rent terms and participant links.</w:t>
            </w:r>
          </w:p>
        </w:tc>
        <w:tc>
          <w:tcPr>
            <w:tcW w:type="dxa" w:w="3331"/>
            <w:vAlign w:val="center"/>
            <w:shd w:fill="F1F6F8"/>
          </w:tcPr>
          <w:p>
            <w:pPr>
              <w:spacing w:after="20"/>
            </w:pPr>
            <w:r>
              <w:rPr>
                <w:sz w:val="16"/>
              </w:rPr>
              <w:t>Separate required from optional personal records.</w:t>
            </w:r>
          </w:p>
        </w:tc>
      </w:tr>
      <w:tr>
        <w:tc>
          <w:tcPr>
            <w:tcW w:type="dxa" w:w="3331"/>
            <w:vAlign w:val="center"/>
          </w:tcPr>
          <w:p>
            <w:pPr>
              <w:spacing w:after="20"/>
            </w:pPr>
            <w:r>
              <w:rPr>
                <w:sz w:val="16"/>
              </w:rPr>
              <w:t>Rent record clarity</w:t>
            </w:r>
          </w:p>
        </w:tc>
        <w:tc>
          <w:tcPr>
            <w:tcW w:type="dxa" w:w="3331"/>
            <w:vAlign w:val="center"/>
          </w:tcPr>
          <w:p>
            <w:pPr>
              <w:spacing w:after="20"/>
            </w:pPr>
            <w:r>
              <w:rPr>
                <w:sz w:val="16"/>
              </w:rPr>
              <w:t>Rent events with amount, period, status and source/evidence label.</w:t>
            </w:r>
          </w:p>
        </w:tc>
        <w:tc>
          <w:tcPr>
            <w:tcW w:type="dxa" w:w="3331"/>
            <w:vAlign w:val="center"/>
          </w:tcPr>
          <w:p>
            <w:pPr>
              <w:spacing w:after="20"/>
            </w:pPr>
            <w:r>
              <w:rPr>
                <w:sz w:val="16"/>
              </w:rPr>
              <w:t>Prioritize traceability over unsupported verification claims.</w:t>
            </w:r>
          </w:p>
        </w:tc>
      </w:tr>
      <w:tr>
        <w:tc>
          <w:tcPr>
            <w:tcW w:type="dxa" w:w="3331"/>
            <w:vAlign w:val="center"/>
            <w:shd w:fill="F1F6F8"/>
          </w:tcPr>
          <w:p>
            <w:pPr>
              <w:spacing w:after="20"/>
            </w:pPr>
            <w:r>
              <w:rPr>
                <w:sz w:val="16"/>
              </w:rPr>
              <w:t>Maintenance resolution</w:t>
            </w:r>
          </w:p>
        </w:tc>
        <w:tc>
          <w:tcPr>
            <w:tcW w:type="dxa" w:w="3331"/>
            <w:vAlign w:val="center"/>
            <w:shd w:fill="F1F6F8"/>
          </w:tcPr>
          <w:p>
            <w:pPr>
              <w:spacing w:after="20"/>
            </w:pPr>
            <w:r>
              <w:rPr>
                <w:sz w:val="16"/>
              </w:rPr>
              <w:t>Time from request creation to agreed closure.</w:t>
            </w:r>
          </w:p>
        </w:tc>
        <w:tc>
          <w:tcPr>
            <w:tcW w:type="dxa" w:w="3331"/>
            <w:vAlign w:val="center"/>
            <w:shd w:fill="F1F6F8"/>
          </w:tcPr>
          <w:p>
            <w:pPr>
              <w:spacing w:after="20"/>
            </w:pPr>
            <w:r>
              <w:rPr>
                <w:sz w:val="16"/>
              </w:rPr>
              <w:t>Segment by urgency and work type.</w:t>
            </w:r>
          </w:p>
        </w:tc>
      </w:tr>
      <w:tr>
        <w:tc>
          <w:tcPr>
            <w:tcW w:type="dxa" w:w="3331"/>
            <w:vAlign w:val="center"/>
          </w:tcPr>
          <w:p>
            <w:pPr>
              <w:spacing w:after="20"/>
            </w:pPr>
            <w:r>
              <w:rPr>
                <w:sz w:val="16"/>
              </w:rPr>
              <w:t>Trust/safety rate</w:t>
            </w:r>
          </w:p>
        </w:tc>
        <w:tc>
          <w:tcPr>
            <w:tcW w:type="dxa" w:w="3331"/>
            <w:vAlign w:val="center"/>
          </w:tcPr>
          <w:p>
            <w:pPr>
              <w:spacing w:after="20"/>
            </w:pPr>
            <w:r>
              <w:rPr>
                <w:sz w:val="16"/>
              </w:rPr>
              <w:t>Confirmed incidents, reports per active listing, appeals and repeat offenders.</w:t>
            </w:r>
          </w:p>
        </w:tc>
        <w:tc>
          <w:tcPr>
            <w:tcW w:type="dxa" w:w="3331"/>
            <w:vAlign w:val="center"/>
          </w:tcPr>
          <w:p>
            <w:pPr>
              <w:spacing w:after="20"/>
            </w:pPr>
            <w:r>
              <w:rPr>
                <w:sz w:val="16"/>
              </w:rPr>
              <w:t>Define numerator/denominator; reports are not automatically proven.</w:t>
            </w:r>
          </w:p>
        </w:tc>
      </w:tr>
      <w:tr>
        <w:tc>
          <w:tcPr>
            <w:tcW w:type="dxa" w:w="3331"/>
            <w:vAlign w:val="center"/>
            <w:shd w:fill="F1F6F8"/>
          </w:tcPr>
          <w:p>
            <w:pPr>
              <w:spacing w:after="20"/>
            </w:pPr>
            <w:r>
              <w:rPr>
                <w:sz w:val="16"/>
              </w:rPr>
              <w:t>Privacy/authorization incidents</w:t>
            </w:r>
          </w:p>
        </w:tc>
        <w:tc>
          <w:tcPr>
            <w:tcW w:type="dxa" w:w="3331"/>
            <w:vAlign w:val="center"/>
            <w:shd w:fill="F1F6F8"/>
          </w:tcPr>
          <w:p>
            <w:pPr>
              <w:spacing w:after="20"/>
            </w:pPr>
            <w:r>
              <w:rPr>
                <w:sz w:val="16"/>
              </w:rPr>
              <w:t>Confirmed unauthorized access/disclosure.</w:t>
            </w:r>
          </w:p>
        </w:tc>
        <w:tc>
          <w:tcPr>
            <w:tcW w:type="dxa" w:w="3331"/>
            <w:vAlign w:val="center"/>
            <w:shd w:fill="F1F6F8"/>
          </w:tcPr>
          <w:p>
            <w:pPr>
              <w:spacing w:after="20"/>
            </w:pPr>
            <w:r>
              <w:rPr>
                <w:sz w:val="16"/>
              </w:rPr>
              <w:t>Zero critical incidents; test boundaries continuously.</w:t>
            </w:r>
          </w:p>
        </w:tc>
      </w:tr>
      <w:tr>
        <w:tc>
          <w:tcPr>
            <w:tcW w:type="dxa" w:w="3331"/>
            <w:vAlign w:val="center"/>
          </w:tcPr>
          <w:p>
            <w:pPr>
              <w:spacing w:after="20"/>
            </w:pPr>
            <w:r>
              <w:rPr>
                <w:sz w:val="16"/>
              </w:rPr>
              <w:t>Repeat use</w:t>
            </w:r>
          </w:p>
        </w:tc>
        <w:tc>
          <w:tcPr>
            <w:tcW w:type="dxa" w:w="3331"/>
            <w:vAlign w:val="center"/>
          </w:tcPr>
          <w:p>
            <w:pPr>
              <w:spacing w:after="20"/>
            </w:pPr>
            <w:r>
              <w:rPr>
                <w:sz w:val="16"/>
              </w:rPr>
              <w:t>Return for another search, tenancy task or record access.</w:t>
            </w:r>
          </w:p>
        </w:tc>
        <w:tc>
          <w:tcPr>
            <w:tcW w:type="dxa" w:w="3331"/>
            <w:vAlign w:val="center"/>
          </w:tcPr>
          <w:p>
            <w:pPr>
              <w:spacing w:after="20"/>
            </w:pPr>
            <w:r>
              <w:rPr>
                <w:sz w:val="16"/>
              </w:rPr>
              <w:t>Define cohort windows after pilot.</w:t>
            </w:r>
          </w:p>
        </w:tc>
      </w:tr>
    </w:tbl>
    <w:p/>
    <w:p>
      <w:r>
        <w:t>Set numeric targets after a pilot and baseline measurement rather than inventing targets before real usage data exists.</w:t>
      </w:r>
    </w:p>
    <w:p>
      <w:pPr>
        <w:pStyle w:val="Heading1"/>
      </w:pPr>
      <w:r>
        <w:t>12. Trust, privacy and compliance</w:t>
      </w:r>
    </w:p>
    <w:p>
      <w:pPr>
        <w:pStyle w:val="ListBullet"/>
        <w:spacing w:after="40"/>
      </w:pPr>
      <w:r>
        <w:t>Enforce server-side authorization on every protected resource/action; hiding UI controls is not access control.</w:t>
      </w:r>
    </w:p>
    <w:p>
      <w:pPr>
        <w:pStyle w:val="ListBullet"/>
        <w:spacing w:after="40"/>
      </w:pPr>
      <w:r>
        <w:t>Separate verification evidence from public profile data; restrict sensitive documents and define retention/deletion.</w:t>
      </w:r>
    </w:p>
    <w:p>
      <w:pPr>
        <w:pStyle w:val="ListBullet"/>
        <w:spacing w:after="40"/>
      </w:pPr>
      <w:r>
        <w:t>Use least privilege, secure sessions/tokens, rate limiting, abuse monitoring, encrypted transport, protected secrets, backups and tested restoration.</w:t>
      </w:r>
    </w:p>
    <w:p>
      <w:pPr>
        <w:pStyle w:val="ListBullet"/>
        <w:spacing w:after="40"/>
      </w:pPr>
      <w:r>
        <w:t>Audit consequential actions: role activation, delegation changes, moderation, rent-ledger corrections, record sharing and provider access.</w:t>
      </w:r>
    </w:p>
    <w:p>
      <w:pPr>
        <w:pStyle w:val="ListBullet"/>
        <w:spacing w:after="40"/>
      </w:pPr>
      <w:r>
        <w:t>Provide reporting, blocking, correction, dispute, appeal and support routes.</w:t>
      </w:r>
    </w:p>
    <w:p>
      <w:pPr>
        <w:pStyle w:val="ListBullet"/>
        <w:spacing w:after="40"/>
      </w:pPr>
      <w:r>
        <w:t>Use precise verification language: identity checked, ownership evidence reviewed, or authority document reviewed—with scope and date.</w:t>
      </w:r>
    </w:p>
    <w:p>
      <w:pPr>
        <w:pStyle w:val="ListBullet"/>
        <w:spacing w:after="40"/>
      </w:pPr>
      <w:r>
        <w:t>Obtain local legal/privacy/regulatory review before handling sensitive identity, land, payment, finance or investment workflows.</w:t>
      </w:r>
    </w:p>
    <w:p>
      <w:pPr>
        <w:pStyle w:val="ListBullet"/>
        <w:spacing w:after="40"/>
      </w:pPr>
      <w:r>
        <w:t>Do not turn Rental Passport into a public blacklist or automatic tenant-scoring system; shared records need context, user choice and correction paths.</w:t>
      </w:r>
    </w:p>
    <w:p>
      <w:pPr>
        <w:pStyle w:val="Heading1"/>
      </w:pPr>
      <w:r>
        <w:t>13. Assumptions and decisions to validate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C4863"/>
          </w:tcPr>
          <w:p>
            <w:r>
              <w:rPr>
                <w:b/>
                <w:color w:val="FFFFFF"/>
                <w:sz w:val="16"/>
              </w:rPr>
              <w:t>Decision</w:t>
            </w:r>
          </w:p>
        </w:tc>
        <w:tc>
          <w:tcPr>
            <w:tcW w:type="dxa" w:w="3331"/>
            <w:shd w:fill="1C4863"/>
          </w:tcPr>
          <w:p>
            <w:r>
              <w:rPr>
                <w:b/>
                <w:color w:val="FFFFFF"/>
                <w:sz w:val="16"/>
              </w:rPr>
              <w:t>Current assumption</w:t>
            </w:r>
          </w:p>
        </w:tc>
        <w:tc>
          <w:tcPr>
            <w:tcW w:type="dxa" w:w="3331"/>
            <w:shd w:fill="1C4863"/>
          </w:tcPr>
          <w:p>
            <w:r>
              <w:rPr>
                <w:b/>
                <w:color w:val="FFFFFF"/>
                <w:sz w:val="16"/>
              </w:rPr>
              <w:t>Validation needed</w:t>
            </w:r>
          </w:p>
        </w:tc>
      </w:tr>
      <w:tr>
        <w:tc>
          <w:tcPr>
            <w:tcW w:type="dxa" w:w="3331"/>
            <w:vAlign w:val="center"/>
          </w:tcPr>
          <w:p>
            <w:pPr>
              <w:spacing w:after="20"/>
            </w:pPr>
            <w:r>
              <w:rPr>
                <w:sz w:val="16"/>
              </w:rPr>
              <w:t>Launch geography</w:t>
            </w:r>
          </w:p>
        </w:tc>
        <w:tc>
          <w:tcPr>
            <w:tcW w:type="dxa" w:w="3331"/>
            <w:vAlign w:val="center"/>
          </w:tcPr>
          <w:p>
            <w:pPr>
              <w:spacing w:after="20"/>
            </w:pPr>
            <w:r>
              <w:rPr>
                <w:sz w:val="16"/>
              </w:rPr>
              <w:t>Tanzania first; pilot location not fixed.</w:t>
            </w:r>
          </w:p>
        </w:tc>
        <w:tc>
          <w:tcPr>
            <w:tcW w:type="dxa" w:w="3331"/>
            <w:vAlign w:val="center"/>
          </w:tcPr>
          <w:p>
            <w:pPr>
              <w:spacing w:after="20"/>
            </w:pPr>
            <w:r>
              <w:rPr>
                <w:sz w:val="16"/>
              </w:rPr>
              <w:t>Select city/region and property categories.</w:t>
            </w:r>
          </w:p>
        </w:tc>
      </w:tr>
      <w:tr>
        <w:tc>
          <w:tcPr>
            <w:tcW w:type="dxa" w:w="3331"/>
            <w:vAlign w:val="center"/>
            <w:shd w:fill="F1F6F8"/>
          </w:tcPr>
          <w:p>
            <w:pPr>
              <w:spacing w:after="20"/>
            </w:pPr>
            <w:r>
              <w:rPr>
                <w:sz w:val="16"/>
              </w:rPr>
              <w:t>Listing source</w:t>
            </w:r>
          </w:p>
        </w:tc>
        <w:tc>
          <w:tcPr>
            <w:tcW w:type="dxa" w:w="3331"/>
            <w:vAlign w:val="center"/>
            <w:shd w:fill="F1F6F8"/>
          </w:tcPr>
          <w:p>
            <w:pPr>
              <w:spacing w:after="20"/>
            </w:pPr>
            <w:r>
              <w:rPr>
                <w:sz w:val="16"/>
              </w:rPr>
              <w:t>Owner-direct default; authorized reps may participate.</w:t>
            </w:r>
          </w:p>
        </w:tc>
        <w:tc>
          <w:tcPr>
            <w:tcW w:type="dxa" w:w="3331"/>
            <w:vAlign w:val="center"/>
            <w:shd w:fill="F1F6F8"/>
          </w:tcPr>
          <w:p>
            <w:pPr>
              <w:spacing w:after="20"/>
            </w:pPr>
            <w:r>
              <w:rPr>
                <w:sz w:val="16"/>
              </w:rPr>
              <w:t>Define acceptable authority evidence and re-check rules.</w:t>
            </w:r>
          </w:p>
        </w:tc>
      </w:tr>
      <w:tr>
        <w:tc>
          <w:tcPr>
            <w:tcW w:type="dxa" w:w="3331"/>
            <w:vAlign w:val="center"/>
          </w:tcPr>
          <w:p>
            <w:pPr>
              <w:spacing w:after="20"/>
            </w:pPr>
            <w:r>
              <w:rPr>
                <w:sz w:val="16"/>
              </w:rPr>
              <w:t>Verification</w:t>
            </w:r>
          </w:p>
        </w:tc>
        <w:tc>
          <w:tcPr>
            <w:tcW w:type="dxa" w:w="3331"/>
            <w:vAlign w:val="center"/>
          </w:tcPr>
          <w:p>
            <w:pPr>
              <w:spacing w:after="20"/>
            </w:pPr>
            <w:r>
              <w:rPr>
                <w:sz w:val="16"/>
              </w:rPr>
              <w:t>Separate checks with scope and timestamps.</w:t>
            </w:r>
          </w:p>
        </w:tc>
        <w:tc>
          <w:tcPr>
            <w:tcW w:type="dxa" w:w="3331"/>
            <w:vAlign w:val="center"/>
          </w:tcPr>
          <w:p>
            <w:pPr>
              <w:spacing w:after="20"/>
            </w:pPr>
            <w:r>
              <w:rPr>
                <w:sz w:val="16"/>
              </w:rPr>
              <w:t>Determine reliable checks and responsible reviewers.</w:t>
            </w:r>
          </w:p>
        </w:tc>
      </w:tr>
      <w:tr>
        <w:tc>
          <w:tcPr>
            <w:tcW w:type="dxa" w:w="3331"/>
            <w:vAlign w:val="center"/>
            <w:shd w:fill="F1F6F8"/>
          </w:tcPr>
          <w:p>
            <w:pPr>
              <w:spacing w:after="20"/>
            </w:pPr>
            <w:r>
              <w:rPr>
                <w:sz w:val="16"/>
              </w:rPr>
              <w:t>Payments</w:t>
            </w:r>
          </w:p>
        </w:tc>
        <w:tc>
          <w:tcPr>
            <w:tcW w:type="dxa" w:w="3331"/>
            <w:vAlign w:val="center"/>
            <w:shd w:fill="F1F6F8"/>
          </w:tcPr>
          <w:p>
            <w:pPr>
              <w:spacing w:after="20"/>
            </w:pPr>
            <w:r>
              <w:rPr>
                <w:sz w:val="16"/>
              </w:rPr>
              <w:t>Start with clear records; partner integration when ready.</w:t>
            </w:r>
          </w:p>
        </w:tc>
        <w:tc>
          <w:tcPr>
            <w:tcW w:type="dxa" w:w="3331"/>
            <w:vAlign w:val="center"/>
            <w:shd w:fill="F1F6F8"/>
          </w:tcPr>
          <w:p>
            <w:pPr>
              <w:spacing w:after="20"/>
            </w:pPr>
            <w:r>
              <w:rPr>
                <w:sz w:val="16"/>
              </w:rPr>
              <w:t>Choose provider, reconciliation, fees, disputes and obligations.</w:t>
            </w:r>
          </w:p>
        </w:tc>
      </w:tr>
      <w:tr>
        <w:tc>
          <w:tcPr>
            <w:tcW w:type="dxa" w:w="3331"/>
            <w:vAlign w:val="center"/>
          </w:tcPr>
          <w:p>
            <w:pPr>
              <w:spacing w:after="20"/>
            </w:pPr>
            <w:r>
              <w:rPr>
                <w:sz w:val="16"/>
              </w:rPr>
              <w:t>Rental Passport</w:t>
            </w:r>
          </w:p>
        </w:tc>
        <w:tc>
          <w:tcPr>
            <w:tcW w:type="dxa" w:w="3331"/>
            <w:vAlign w:val="center"/>
          </w:tcPr>
          <w:p>
            <w:pPr>
              <w:spacing w:after="20"/>
            </w:pPr>
            <w:r>
              <w:rPr>
                <w:sz w:val="16"/>
              </w:rPr>
              <w:t>Private by default; tenant selects shareable records.</w:t>
            </w:r>
          </w:p>
        </w:tc>
        <w:tc>
          <w:tcPr>
            <w:tcW w:type="dxa" w:w="3331"/>
            <w:vAlign w:val="center"/>
          </w:tcPr>
          <w:p>
            <w:pPr>
              <w:spacing w:after="20"/>
            </w:pPr>
            <w:r>
              <w:rPr>
                <w:sz w:val="16"/>
              </w:rPr>
              <w:t>Define retention, export, revocation and lawful exceptions.</w:t>
            </w:r>
          </w:p>
        </w:tc>
      </w:tr>
      <w:tr>
        <w:tc>
          <w:tcPr>
            <w:tcW w:type="dxa" w:w="3331"/>
            <w:vAlign w:val="center"/>
            <w:shd w:fill="F1F6F8"/>
          </w:tcPr>
          <w:p>
            <w:pPr>
              <w:spacing w:after="20"/>
            </w:pPr>
            <w:r>
              <w:rPr>
                <w:sz w:val="16"/>
              </w:rPr>
              <w:t>Panga Akiba</w:t>
            </w:r>
          </w:p>
        </w:tc>
        <w:tc>
          <w:tcPr>
            <w:tcW w:type="dxa" w:w="3331"/>
            <w:vAlign w:val="center"/>
            <w:shd w:fill="F1F6F8"/>
          </w:tcPr>
          <w:p>
            <w:pPr>
              <w:spacing w:after="20"/>
            </w:pPr>
            <w:r>
              <w:rPr>
                <w:sz w:val="16"/>
              </w:rPr>
              <w:t>Goals/progress first; custody only through approved model/partner.</w:t>
            </w:r>
          </w:p>
        </w:tc>
        <w:tc>
          <w:tcPr>
            <w:tcW w:type="dxa" w:w="3331"/>
            <w:vAlign w:val="center"/>
            <w:shd w:fill="F1F6F8"/>
          </w:tcPr>
          <w:p>
            <w:pPr>
              <w:spacing w:after="20"/>
            </w:pPr>
            <w:r>
              <w:rPr>
                <w:sz w:val="16"/>
              </w:rPr>
              <w:t>Choose partner and permitted savings model.</w:t>
            </w:r>
          </w:p>
        </w:tc>
      </w:tr>
      <w:tr>
        <w:tc>
          <w:tcPr>
            <w:tcW w:type="dxa" w:w="3331"/>
            <w:vAlign w:val="center"/>
          </w:tcPr>
          <w:p>
            <w:pPr>
              <w:spacing w:after="20"/>
            </w:pPr>
            <w:r>
              <w:rPr>
                <w:sz w:val="16"/>
              </w:rPr>
              <w:t>Finance Connect</w:t>
            </w:r>
          </w:p>
        </w:tc>
        <w:tc>
          <w:tcPr>
            <w:tcW w:type="dxa" w:w="3331"/>
            <w:vAlign w:val="center"/>
          </w:tcPr>
          <w:p>
            <w:pPr>
              <w:spacing w:after="20"/>
            </w:pPr>
            <w:r>
              <w:rPr>
                <w:sz w:val="16"/>
              </w:rPr>
              <w:t>Independent eligible providers decide financing.</w:t>
            </w:r>
          </w:p>
        </w:tc>
        <w:tc>
          <w:tcPr>
            <w:tcW w:type="dxa" w:w="3331"/>
            <w:vAlign w:val="center"/>
          </w:tcPr>
          <w:p>
            <w:pPr>
              <w:spacing w:after="20"/>
            </w:pPr>
            <w:r>
              <w:rPr>
                <w:sz w:val="16"/>
              </w:rPr>
              <w:t>Legal opinion, eligibility, disclosures and complaint process.</w:t>
            </w:r>
          </w:p>
        </w:tc>
      </w:tr>
      <w:tr>
        <w:tc>
          <w:tcPr>
            <w:tcW w:type="dxa" w:w="3331"/>
            <w:vAlign w:val="center"/>
            <w:shd w:fill="F1F6F8"/>
          </w:tcPr>
          <w:p>
            <w:pPr>
              <w:spacing w:after="20"/>
            </w:pPr>
            <w:r>
              <w:rPr>
                <w:sz w:val="16"/>
              </w:rPr>
              <w:t>Investment</w:t>
            </w:r>
          </w:p>
        </w:tc>
        <w:tc>
          <w:tcPr>
            <w:tcW w:type="dxa" w:w="3331"/>
            <w:vAlign w:val="center"/>
            <w:shd w:fill="F1F6F8"/>
          </w:tcPr>
          <w:p>
            <w:pPr>
              <w:spacing w:after="20"/>
            </w:pPr>
            <w:r>
              <w:rPr>
                <w:sz w:val="16"/>
              </w:rPr>
              <w:t>Informational profiles and expressions of interest until approved.</w:t>
            </w:r>
          </w:p>
        </w:tc>
        <w:tc>
          <w:tcPr>
            <w:tcW w:type="dxa" w:w="3331"/>
            <w:vAlign w:val="center"/>
            <w:shd w:fill="F1F6F8"/>
          </w:tcPr>
          <w:p>
            <w:pPr>
              <w:spacing w:after="20"/>
            </w:pPr>
            <w:r>
              <w:rPr>
                <w:sz w:val="16"/>
              </w:rPr>
              <w:t>Confirm whether activities trigger financial regulation.</w:t>
            </w:r>
          </w:p>
        </w:tc>
      </w:tr>
      <w:tr>
        <w:tc>
          <w:tcPr>
            <w:tcW w:type="dxa" w:w="3331"/>
            <w:vAlign w:val="center"/>
          </w:tcPr>
          <w:p>
            <w:pPr>
              <w:spacing w:after="20"/>
            </w:pPr>
            <w:r>
              <w:rPr>
                <w:sz w:val="16"/>
              </w:rPr>
              <w:t>Languages</w:t>
            </w:r>
          </w:p>
        </w:tc>
        <w:tc>
          <w:tcPr>
            <w:tcW w:type="dxa" w:w="3331"/>
            <w:vAlign w:val="center"/>
          </w:tcPr>
          <w:p>
            <w:pPr>
              <w:spacing w:after="20"/>
            </w:pPr>
            <w:r>
              <w:rPr>
                <w:sz w:val="16"/>
              </w:rPr>
              <w:t>English and Swahili; mobile-first/low-bandwidth-aware.</w:t>
            </w:r>
          </w:p>
        </w:tc>
        <w:tc>
          <w:tcPr>
            <w:tcW w:type="dxa" w:w="3331"/>
            <w:vAlign w:val="center"/>
          </w:tcPr>
          <w:p>
            <w:pPr>
              <w:spacing w:after="20"/>
            </w:pPr>
            <w:r>
              <w:rPr>
                <w:sz w:val="16"/>
              </w:rPr>
              <w:t>Test language, accessibility and data costs with users.</w:t>
            </w:r>
          </w:p>
        </w:tc>
      </w:tr>
    </w:tbl>
    <w:p/>
    <w:p>
      <w:pPr>
        <w:pStyle w:val="Heading1"/>
      </w:pPr>
      <w:r>
        <w:t>14. Dependencies and integrations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C4863"/>
          </w:tcPr>
          <w:p>
            <w:r>
              <w:rPr>
                <w:b/>
                <w:color w:val="FFFFFF"/>
                <w:sz w:val="16"/>
              </w:rPr>
              <w:t>Dependency</w:t>
            </w:r>
          </w:p>
        </w:tc>
        <w:tc>
          <w:tcPr>
            <w:tcW w:type="dxa" w:w="3331"/>
            <w:shd w:fill="1C4863"/>
          </w:tcPr>
          <w:p>
            <w:r>
              <w:rPr>
                <w:b/>
                <w:color w:val="FFFFFF"/>
                <w:sz w:val="16"/>
              </w:rPr>
              <w:t>Purpose</w:t>
            </w:r>
          </w:p>
        </w:tc>
        <w:tc>
          <w:tcPr>
            <w:tcW w:type="dxa" w:w="3331"/>
            <w:shd w:fill="1C4863"/>
          </w:tcPr>
          <w:p>
            <w:r>
              <w:rPr>
                <w:b/>
                <w:color w:val="FFFFFF"/>
                <w:sz w:val="16"/>
              </w:rPr>
              <w:t>Constraint</w:t>
            </w:r>
          </w:p>
        </w:tc>
      </w:tr>
      <w:tr>
        <w:tc>
          <w:tcPr>
            <w:tcW w:type="dxa" w:w="3331"/>
            <w:vAlign w:val="center"/>
          </w:tcPr>
          <w:p>
            <w:pPr>
              <w:spacing w:after="20"/>
            </w:pPr>
            <w:r>
              <w:rPr>
                <w:sz w:val="16"/>
              </w:rPr>
              <w:t>OTP/identity provider</w:t>
            </w:r>
          </w:p>
        </w:tc>
        <w:tc>
          <w:tcPr>
            <w:tcW w:type="dxa" w:w="3331"/>
            <w:vAlign w:val="center"/>
          </w:tcPr>
          <w:p>
            <w:pPr>
              <w:spacing w:after="20"/>
            </w:pPr>
            <w:r>
              <w:rPr>
                <w:sz w:val="16"/>
              </w:rPr>
              <w:t>Sign-in and recovery.</w:t>
            </w:r>
          </w:p>
        </w:tc>
        <w:tc>
          <w:tcPr>
            <w:tcW w:type="dxa" w:w="3331"/>
            <w:vAlign w:val="center"/>
          </w:tcPr>
          <w:p>
            <w:pPr>
              <w:spacing w:after="20"/>
            </w:pPr>
            <w:r>
              <w:rPr>
                <w:sz w:val="16"/>
              </w:rPr>
              <w:t>Safe retries and fallback when delivery fails.</w:t>
            </w:r>
          </w:p>
        </w:tc>
      </w:tr>
      <w:tr>
        <w:tc>
          <w:tcPr>
            <w:tcW w:type="dxa" w:w="3331"/>
            <w:vAlign w:val="center"/>
            <w:shd w:fill="F1F6F8"/>
          </w:tcPr>
          <w:p>
            <w:pPr>
              <w:spacing w:after="20"/>
            </w:pPr>
            <w:r>
              <w:rPr>
                <w:sz w:val="16"/>
              </w:rPr>
              <w:t>SMS/email/push</w:t>
            </w:r>
          </w:p>
        </w:tc>
        <w:tc>
          <w:tcPr>
            <w:tcW w:type="dxa" w:w="3331"/>
            <w:vAlign w:val="center"/>
            <w:shd w:fill="F1F6F8"/>
          </w:tcPr>
          <w:p>
            <w:pPr>
              <w:spacing w:after="20"/>
            </w:pPr>
            <w:r>
              <w:rPr>
                <w:sz w:val="16"/>
              </w:rPr>
              <w:t>Viewing updates, reminders and security alerts.</w:t>
            </w:r>
          </w:p>
        </w:tc>
        <w:tc>
          <w:tcPr>
            <w:tcW w:type="dxa" w:w="3331"/>
            <w:vAlign w:val="center"/>
            <w:shd w:fill="F1F6F8"/>
          </w:tcPr>
          <w:p>
            <w:pPr>
              <w:spacing w:after="20"/>
            </w:pPr>
            <w:r>
              <w:rPr>
                <w:sz w:val="16"/>
              </w:rPr>
              <w:t>Preferences, delivery status and minimize sensitive content.</w:t>
            </w:r>
          </w:p>
        </w:tc>
      </w:tr>
      <w:tr>
        <w:tc>
          <w:tcPr>
            <w:tcW w:type="dxa" w:w="3331"/>
            <w:vAlign w:val="center"/>
          </w:tcPr>
          <w:p>
            <w:pPr>
              <w:spacing w:after="20"/>
            </w:pPr>
            <w:r>
              <w:rPr>
                <w:sz w:val="16"/>
              </w:rPr>
              <w:t>Maps/geocoding</w:t>
            </w:r>
          </w:p>
        </w:tc>
        <w:tc>
          <w:tcPr>
            <w:tcW w:type="dxa" w:w="3331"/>
            <w:vAlign w:val="center"/>
          </w:tcPr>
          <w:p>
            <w:pPr>
              <w:spacing w:after="20"/>
            </w:pPr>
            <w:r>
              <w:rPr>
                <w:sz w:val="16"/>
              </w:rPr>
              <w:t>Location discovery.</w:t>
            </w:r>
          </w:p>
        </w:tc>
        <w:tc>
          <w:tcPr>
            <w:tcW w:type="dxa" w:w="3331"/>
            <w:vAlign w:val="center"/>
          </w:tcPr>
          <w:p>
            <w:pPr>
              <w:spacing w:after="20"/>
            </w:pPr>
            <w:r>
              <w:rPr>
                <w:sz w:val="16"/>
              </w:rPr>
              <w:t>Avoid unnecessary exposure of private exact addresses.</w:t>
            </w:r>
          </w:p>
        </w:tc>
      </w:tr>
      <w:tr>
        <w:tc>
          <w:tcPr>
            <w:tcW w:type="dxa" w:w="3331"/>
            <w:vAlign w:val="center"/>
            <w:shd w:fill="F1F6F8"/>
          </w:tcPr>
          <w:p>
            <w:pPr>
              <w:spacing w:after="20"/>
            </w:pPr>
            <w:r>
              <w:rPr>
                <w:sz w:val="16"/>
              </w:rPr>
              <w:t>Payment provider</w:t>
            </w:r>
          </w:p>
        </w:tc>
        <w:tc>
          <w:tcPr>
            <w:tcW w:type="dxa" w:w="3331"/>
            <w:vAlign w:val="center"/>
            <w:shd w:fill="F1F6F8"/>
          </w:tcPr>
          <w:p>
            <w:pPr>
              <w:spacing w:after="20"/>
            </w:pPr>
            <w:r>
              <w:rPr>
                <w:sz w:val="16"/>
              </w:rPr>
              <w:t>Potential confirmed rent payments or partner-backed savings.</w:t>
            </w:r>
          </w:p>
        </w:tc>
        <w:tc>
          <w:tcPr>
            <w:tcW w:type="dxa" w:w="3331"/>
            <w:vAlign w:val="center"/>
            <w:shd w:fill="F1F6F8"/>
          </w:tcPr>
          <w:p>
            <w:pPr>
              <w:spacing w:after="20"/>
            </w:pPr>
            <w:r>
              <w:rPr>
                <w:sz w:val="16"/>
              </w:rPr>
              <w:t>Never label manual entries as provider-confirmed.</w:t>
            </w:r>
          </w:p>
        </w:tc>
      </w:tr>
      <w:tr>
        <w:tc>
          <w:tcPr>
            <w:tcW w:type="dxa" w:w="3331"/>
            <w:vAlign w:val="center"/>
          </w:tcPr>
          <w:p>
            <w:pPr>
              <w:spacing w:after="20"/>
            </w:pPr>
            <w:r>
              <w:rPr>
                <w:sz w:val="16"/>
              </w:rPr>
              <w:t>Object storage</w:t>
            </w:r>
          </w:p>
        </w:tc>
        <w:tc>
          <w:tcPr>
            <w:tcW w:type="dxa" w:w="3331"/>
            <w:vAlign w:val="center"/>
          </w:tcPr>
          <w:p>
            <w:pPr>
              <w:spacing w:after="20"/>
            </w:pPr>
            <w:r>
              <w:rPr>
                <w:sz w:val="16"/>
              </w:rPr>
              <w:t>Photos, leases, evidence and receipts.</w:t>
            </w:r>
          </w:p>
        </w:tc>
        <w:tc>
          <w:tcPr>
            <w:tcW w:type="dxa" w:w="3331"/>
            <w:vAlign w:val="center"/>
          </w:tcPr>
          <w:p>
            <w:pPr>
              <w:spacing w:after="20"/>
            </w:pPr>
            <w:r>
              <w:rPr>
                <w:sz w:val="16"/>
              </w:rPr>
              <w:t>Authorization, safe links, retention and access logs.</w:t>
            </w:r>
          </w:p>
        </w:tc>
      </w:tr>
      <w:tr>
        <w:tc>
          <w:tcPr>
            <w:tcW w:type="dxa" w:w="3331"/>
            <w:vAlign w:val="center"/>
            <w:shd w:fill="F1F6F8"/>
          </w:tcPr>
          <w:p>
            <w:pPr>
              <w:spacing w:after="20"/>
            </w:pPr>
            <w:r>
              <w:rPr>
                <w:sz w:val="16"/>
              </w:rPr>
              <w:t>Realtime chat service</w:t>
            </w:r>
          </w:p>
        </w:tc>
        <w:tc>
          <w:tcPr>
            <w:tcW w:type="dxa" w:w="3331"/>
            <w:vAlign w:val="center"/>
            <w:shd w:fill="F1F6F8"/>
          </w:tcPr>
          <w:p>
            <w:pPr>
              <w:spacing w:after="20"/>
            </w:pPr>
            <w:r>
              <w:rPr>
                <w:sz w:val="16"/>
              </w:rPr>
              <w:t>Message delivery/presence; optional realtime features.</w:t>
            </w:r>
          </w:p>
        </w:tc>
        <w:tc>
          <w:tcPr>
            <w:tcW w:type="dxa" w:w="3331"/>
            <w:vAlign w:val="center"/>
            <w:shd w:fill="F1F6F8"/>
          </w:tcPr>
          <w:p>
            <w:pPr>
              <w:spacing w:after="20"/>
            </w:pPr>
            <w:r>
              <w:rPr>
                <w:sz w:val="16"/>
              </w:rPr>
              <w:t>Validate identity and conversation membership; core API owns business permissions.</w:t>
            </w:r>
          </w:p>
        </w:tc>
      </w:tr>
      <w:tr>
        <w:tc>
          <w:tcPr>
            <w:tcW w:type="dxa" w:w="3331"/>
            <w:vAlign w:val="center"/>
          </w:tcPr>
          <w:p>
            <w:pPr>
              <w:spacing w:after="20"/>
            </w:pPr>
            <w:r>
              <w:rPr>
                <w:sz w:val="16"/>
              </w:rPr>
              <w:t>External finance providers</w:t>
            </w:r>
          </w:p>
        </w:tc>
        <w:tc>
          <w:tcPr>
            <w:tcW w:type="dxa" w:w="3331"/>
            <w:vAlign w:val="center"/>
          </w:tcPr>
          <w:p>
            <w:pPr>
              <w:spacing w:after="20"/>
            </w:pPr>
            <w:r>
              <w:rPr>
                <w:sz w:val="16"/>
              </w:rPr>
              <w:t>Matching and independent decisions.</w:t>
            </w:r>
          </w:p>
        </w:tc>
        <w:tc>
          <w:tcPr>
            <w:tcW w:type="dxa" w:w="3331"/>
            <w:vAlign w:val="center"/>
          </w:tcPr>
          <w:p>
            <w:pPr>
              <w:spacing w:after="20"/>
            </w:pPr>
            <w:r>
              <w:rPr>
                <w:sz w:val="16"/>
              </w:rPr>
              <w:t>Consent, eligibility, minimum data, due diligence and legal approval.</w:t>
            </w:r>
          </w:p>
        </w:tc>
      </w:tr>
    </w:tbl>
    <w:p/>
    <w:p>
      <w:pPr>
        <w:pStyle w:val="Heading1"/>
      </w:pPr>
      <w:r>
        <w:t>15. Out of scope for initial MVP</w:t>
      </w:r>
    </w:p>
    <w:p>
      <w:pPr>
        <w:pStyle w:val="ListBullet"/>
        <w:spacing w:after="40"/>
      </w:pPr>
      <w:r>
        <w:t>The platform lending, guaranteeing loans, underwriting credit, collecting loan repayments or holding loan funds.</w:t>
      </w:r>
    </w:p>
    <w:p>
      <w:pPr>
        <w:pStyle w:val="ListBullet"/>
        <w:spacing w:after="40"/>
      </w:pPr>
      <w:r>
        <w:t>Publicly exposing a tenant's complete lifetime Rental Passport or private memories.</w:t>
      </w:r>
    </w:p>
    <w:p>
      <w:pPr>
        <w:pStyle w:val="ListBullet"/>
        <w:spacing w:after="40"/>
      </w:pPr>
      <w:r>
        <w:t>Automatic blacklisting/adverse decisions based only on unverified user-submitted records.</w:t>
      </w:r>
    </w:p>
    <w:p>
      <w:pPr>
        <w:pStyle w:val="ListBullet"/>
        <w:spacing w:after="40"/>
      </w:pPr>
      <w:r>
        <w:t>Pooled investment funds, securities offers, guaranteed returns or unreviewed investment transactions.</w:t>
      </w:r>
    </w:p>
    <w:p>
      <w:pPr>
        <w:pStyle w:val="ListBullet"/>
        <w:spacing w:after="40"/>
      </w:pPr>
      <w:r>
        <w:t>Claims that every property, owner, payment or document is genuine.</w:t>
      </w:r>
    </w:p>
    <w:p>
      <w:pPr>
        <w:pStyle w:val="ListBullet"/>
        <w:spacing w:after="40"/>
      </w:pPr>
      <w:r>
        <w:t>Complex microservice decomposition before team/traffic/operations justify it.</w:t>
      </w:r>
    </w:p>
    <w:p>
      <w:pPr>
        <w:pStyle w:val="ListBullet"/>
        <w:spacing w:after="40"/>
      </w:pPr>
      <w:r>
        <w:t>Mandatory AI-based tenant screening or scoring.</w:t>
      </w:r>
    </w:p>
    <w:p>
      <w:pPr>
        <w:pStyle w:val="Heading1"/>
      </w:pPr>
      <w:r>
        <w:t>16. Relationship to SRS and Technical Design Document</w:t>
      </w:r>
    </w:p>
    <w:p>
      <w:r>
        <w:t>This PRD defines product intent, user value, priorities, boundaries and success measures. The Engineering SRS translates approved scope into testable functional/non-functional requirements. The Technical Design Document should explain how the system will be built and operated, including:</w:t>
      </w:r>
    </w:p>
    <w:p>
      <w:pPr>
        <w:pStyle w:val="ListBullet"/>
        <w:spacing w:after="40"/>
      </w:pPr>
      <w:r>
        <w:t>System context and service boundaries, including the Laravel core API and existing Elixir/Phoenix realtime-chat repository (https://github.com/ibrahimkimaro/realtime-chat.git).</w:t>
      </w:r>
    </w:p>
    <w:p>
      <w:pPr>
        <w:pStyle w:val="ListBullet"/>
        <w:spacing w:after="40"/>
      </w:pPr>
      <w:r>
        <w:t>Backend schema: entities, columns/types, primary/foreign keys, constraints, indexes, relationships, ownership boundaries and lifecycle/state rules.</w:t>
      </w:r>
    </w:p>
    <w:p>
      <w:pPr>
        <w:pStyle w:val="ListBullet"/>
        <w:spacing w:after="40"/>
      </w:pPr>
      <w:r>
        <w:t>Authorization for one identity with multiple capabilities, property/unit scope, delegated management and provider eligibility.</w:t>
      </w:r>
    </w:p>
    <w:p>
      <w:pPr>
        <w:pStyle w:val="ListBullet"/>
        <w:spacing w:after="40"/>
      </w:pPr>
      <w:r>
        <w:t>API endpoints and request/response contracts, validation, pagination, errors, idempotency and versioning.</w:t>
      </w:r>
    </w:p>
    <w:p>
      <w:pPr>
        <w:pStyle w:val="ListBullet"/>
        <w:spacing w:after="40"/>
      </w:pPr>
      <w:r>
        <w:t>Authentication/token validation and trust boundaries among web/mobile clients, core API, chat service and external providers.</w:t>
      </w:r>
    </w:p>
    <w:p>
      <w:pPr>
        <w:pStyle w:val="ListBullet"/>
        <w:spacing w:after="40"/>
      </w:pPr>
      <w:r>
        <w:t>Storage for private documents/media, audit events, notifications, queues, cache and transactional consistency.</w:t>
      </w:r>
    </w:p>
    <w:p>
      <w:pPr>
        <w:pStyle w:val="ListBullet"/>
        <w:spacing w:after="40"/>
      </w:pPr>
      <w:r>
        <w:t>Rent ledger/payment reconciliation; distinguish reported records from provider-confirmed records.</w:t>
      </w:r>
    </w:p>
    <w:p>
      <w:pPr>
        <w:pStyle w:val="ListBullet"/>
        <w:spacing w:after="40"/>
      </w:pPr>
      <w:r>
        <w:t>Rental Passport provenance, consent/sharing, correction/dispute, export and retention design.</w:t>
      </w:r>
    </w:p>
    <w:p>
      <w:pPr>
        <w:pStyle w:val="ListBullet"/>
        <w:spacing w:after="40"/>
      </w:pPr>
      <w:r>
        <w:t>Deployment, secrets, backups/recovery, observability, security testing and performance strategy.</w:t>
      </w:r>
    </w:p>
    <w:p>
      <w:r>
        <w:t>The backend schema must be derived from the approved PRD and SRS. Each table/entity needs a clear owner, access policy, lifecycle and reason to exist.</w:t>
      </w:r>
    </w:p>
    <w:p>
      <w:pPr>
        <w:pStyle w:val="Heading1"/>
      </w:pPr>
      <w:r>
        <w:t>17. Glossary</w:t>
      </w:r>
    </w:p>
    <w:tbl>
      <w:tblPr>
        <w:tblStyle w:val="TableGrid"/>
        <w:tblW w:type="auto" w:w="0"/>
        <w:jc w:val="center"/>
        <w:tblLook w:firstColumn="1" w:firstRow="1" w:lastColumn="0" w:lastRow="0" w:noHBand="0" w:noVBand="1" w:val="04A0"/>
      </w:tblPr>
      <w:tblGrid>
        <w:gridCol w:w="4997"/>
        <w:gridCol w:w="4997"/>
      </w:tblGrid>
      <w:tr>
        <w:tc>
          <w:tcPr>
            <w:tcW w:type="dxa" w:w="4997"/>
            <w:shd w:fill="1C4863"/>
          </w:tcPr>
          <w:p>
            <w:r>
              <w:rPr>
                <w:b/>
                <w:color w:val="FFFFFF"/>
                <w:sz w:val="16"/>
              </w:rPr>
              <w:t>Term</w:t>
            </w:r>
          </w:p>
        </w:tc>
        <w:tc>
          <w:tcPr>
            <w:tcW w:type="dxa" w:w="4997"/>
            <w:shd w:fill="1C4863"/>
          </w:tcPr>
          <w:p>
            <w:r>
              <w:rPr>
                <w:b/>
                <w:color w:val="FFFFFF"/>
                <w:sz w:val="16"/>
              </w:rPr>
              <w:t>Meaning</w:t>
            </w:r>
          </w:p>
        </w:tc>
      </w:tr>
      <w:tr>
        <w:tc>
          <w:tcPr>
            <w:tcW w:type="dxa" w:w="4997"/>
            <w:vAlign w:val="center"/>
          </w:tcPr>
          <w:p>
            <w:pPr>
              <w:spacing w:after="20"/>
            </w:pPr>
            <w:r>
              <w:rPr>
                <w:sz w:val="16"/>
              </w:rPr>
              <w:t>Owner-direct</w:t>
            </w:r>
          </w:p>
        </w:tc>
        <w:tc>
          <w:tcPr>
            <w:tcW w:type="dxa" w:w="4997"/>
            <w:vAlign w:val="center"/>
          </w:tcPr>
          <w:p>
            <w:pPr>
              <w:spacing w:after="20"/>
            </w:pPr>
            <w:r>
              <w:rPr>
                <w:sz w:val="16"/>
              </w:rPr>
              <w:t>Property is listed by its owner by default, rather than requiring an agent as the primary intermediary.</w:t>
            </w:r>
          </w:p>
        </w:tc>
      </w:tr>
      <w:tr>
        <w:tc>
          <w:tcPr>
            <w:tcW w:type="dxa" w:w="4997"/>
            <w:vAlign w:val="center"/>
            <w:shd w:fill="F1F6F8"/>
          </w:tcPr>
          <w:p>
            <w:pPr>
              <w:spacing w:after="20"/>
            </w:pPr>
            <w:r>
              <w:rPr>
                <w:sz w:val="16"/>
              </w:rPr>
              <w:t>Authorized representative</w:t>
            </w:r>
          </w:p>
        </w:tc>
        <w:tc>
          <w:tcPr>
            <w:tcW w:type="dxa" w:w="4997"/>
            <w:vAlign w:val="center"/>
            <w:shd w:fill="F1F6F8"/>
          </w:tcPr>
          <w:p>
            <w:pPr>
              <w:spacing w:after="20"/>
            </w:pPr>
            <w:r>
              <w:rPr>
                <w:sz w:val="16"/>
              </w:rPr>
              <w:t>Manager/agent whose authority to act for an owner is recorded and reviewed.</w:t>
            </w:r>
          </w:p>
        </w:tc>
      </w:tr>
      <w:tr>
        <w:tc>
          <w:tcPr>
            <w:tcW w:type="dxa" w:w="4997"/>
            <w:vAlign w:val="center"/>
          </w:tcPr>
          <w:p>
            <w:pPr>
              <w:spacing w:after="20"/>
            </w:pPr>
            <w:r>
              <w:rPr>
                <w:sz w:val="16"/>
              </w:rPr>
              <w:t>Capability</w:t>
            </w:r>
          </w:p>
        </w:tc>
        <w:tc>
          <w:tcPr>
            <w:tcW w:type="dxa" w:w="4997"/>
            <w:vAlign w:val="center"/>
          </w:tcPr>
          <w:p>
            <w:pPr>
              <w:spacing w:after="20"/>
            </w:pPr>
            <w:r>
              <w:rPr>
                <w:sz w:val="16"/>
              </w:rPr>
              <w:t>Set of actions an account can activate; one user can have several capabilities.</w:t>
            </w:r>
          </w:p>
        </w:tc>
      </w:tr>
      <w:tr>
        <w:tc>
          <w:tcPr>
            <w:tcW w:type="dxa" w:w="4997"/>
            <w:vAlign w:val="center"/>
            <w:shd w:fill="F1F6F8"/>
          </w:tcPr>
          <w:p>
            <w:pPr>
              <w:spacing w:after="20"/>
            </w:pPr>
            <w:r>
              <w:rPr>
                <w:sz w:val="16"/>
              </w:rPr>
              <w:t>Rental Passport</w:t>
            </w:r>
          </w:p>
        </w:tc>
        <w:tc>
          <w:tcPr>
            <w:tcW w:type="dxa" w:w="4997"/>
            <w:vAlign w:val="center"/>
            <w:shd w:fill="F1F6F8"/>
          </w:tcPr>
          <w:p>
            <w:pPr>
              <w:spacing w:after="20"/>
            </w:pPr>
            <w:r>
              <w:rPr>
                <w:sz w:val="16"/>
              </w:rPr>
              <w:t>Tenant-controlled timeline of housing records; private notes are separate from records intentionally shared.</w:t>
            </w:r>
          </w:p>
        </w:tc>
      </w:tr>
      <w:tr>
        <w:tc>
          <w:tcPr>
            <w:tcW w:type="dxa" w:w="4997"/>
            <w:vAlign w:val="center"/>
          </w:tcPr>
          <w:p>
            <w:pPr>
              <w:spacing w:after="20"/>
            </w:pPr>
            <w:r>
              <w:rPr>
                <w:sz w:val="16"/>
              </w:rPr>
              <w:t>Panga Akiba</w:t>
            </w:r>
          </w:p>
        </w:tc>
        <w:tc>
          <w:tcPr>
            <w:tcW w:type="dxa" w:w="4997"/>
            <w:vAlign w:val="center"/>
          </w:tcPr>
          <w:p>
            <w:pPr>
              <w:spacing w:after="20"/>
            </w:pPr>
            <w:r>
              <w:rPr>
                <w:sz w:val="16"/>
              </w:rPr>
              <w:t>Rent-related savings goals/progress; actual money handling requires an approved model and partner.</w:t>
            </w:r>
          </w:p>
        </w:tc>
      </w:tr>
      <w:tr>
        <w:tc>
          <w:tcPr>
            <w:tcW w:type="dxa" w:w="4997"/>
            <w:vAlign w:val="center"/>
            <w:shd w:fill="F1F6F8"/>
          </w:tcPr>
          <w:p>
            <w:pPr>
              <w:spacing w:after="20"/>
            </w:pPr>
            <w:r>
              <w:rPr>
                <w:sz w:val="16"/>
              </w:rPr>
              <w:t>Finance Connect</w:t>
            </w:r>
          </w:p>
        </w:tc>
        <w:tc>
          <w:tcPr>
            <w:tcW w:type="dxa" w:w="4997"/>
            <w:vAlign w:val="center"/>
            <w:shd w:fill="F1F6F8"/>
          </w:tcPr>
          <w:p>
            <w:pPr>
              <w:spacing w:after="20"/>
            </w:pPr>
            <w:r>
              <w:rPr>
                <w:sz w:val="16"/>
              </w:rPr>
              <w:t>Consent-based discovery/matching for eligible independent financing providers.</w:t>
            </w:r>
          </w:p>
        </w:tc>
      </w:tr>
      <w:tr>
        <w:tc>
          <w:tcPr>
            <w:tcW w:type="dxa" w:w="4997"/>
            <w:vAlign w:val="center"/>
          </w:tcPr>
          <w:p>
            <w:pPr>
              <w:spacing w:after="20"/>
            </w:pPr>
            <w:r>
              <w:rPr>
                <w:sz w:val="16"/>
              </w:rPr>
              <w:t>Source/status label</w:t>
            </w:r>
          </w:p>
        </w:tc>
        <w:tc>
          <w:tcPr>
            <w:tcW w:type="dxa" w:w="4997"/>
            <w:vAlign w:val="center"/>
          </w:tcPr>
          <w:p>
            <w:pPr>
              <w:spacing w:after="20"/>
            </w:pPr>
            <w:r>
              <w:rPr>
                <w:sz w:val="16"/>
              </w:rPr>
              <w:t>Whether a record is user-entered, evidence-attached, counterparty-confirmed, disputed or provider-confirmed.</w:t>
            </w:r>
          </w:p>
        </w:tc>
      </w:tr>
      <w:tr>
        <w:tc>
          <w:tcPr>
            <w:tcW w:type="dxa" w:w="4997"/>
            <w:vAlign w:val="center"/>
            <w:shd w:fill="F1F6F8"/>
          </w:tcPr>
          <w:p>
            <w:pPr>
              <w:spacing w:after="20"/>
            </w:pPr>
            <w:r>
              <w:rPr>
                <w:sz w:val="16"/>
              </w:rPr>
              <w:t>MVP</w:t>
            </w:r>
          </w:p>
        </w:tc>
        <w:tc>
          <w:tcPr>
            <w:tcW w:type="dxa" w:w="4997"/>
            <w:vAlign w:val="center"/>
            <w:shd w:fill="F1F6F8"/>
          </w:tcPr>
          <w:p>
            <w:pPr>
              <w:spacing w:after="20"/>
            </w:pPr>
            <w:r>
              <w:rPr>
                <w:sz w:val="16"/>
              </w:rPr>
              <w:t>Minimum viable product: smallest coherent release to test with real users and measure.</w:t>
            </w:r>
          </w:p>
        </w:tc>
      </w:tr>
    </w:tbl>
    <w:p/>
    <w:p>
      <w:pPr>
        <w:pStyle w:val="Heading1"/>
      </w:pPr>
      <w:r>
        <w:t>Appendix A. Product decision checklist</w:t>
      </w:r>
    </w:p>
    <w:p>
      <w:pPr>
        <w:pStyle w:val="ListBullet"/>
        <w:spacing w:after="40"/>
      </w:pPr>
      <w:r>
        <w:t>Choose pilot geography and initial property categories.</w:t>
      </w:r>
    </w:p>
    <w:p>
      <w:pPr>
        <w:pStyle w:val="ListBullet"/>
        <w:spacing w:after="40"/>
      </w:pPr>
      <w:r>
        <w:t>Approve MVP boundary and explicitly defer later modules.</w:t>
      </w:r>
    </w:p>
    <w:p>
      <w:pPr>
        <w:pStyle w:val="ListBullet"/>
        <w:spacing w:after="40"/>
      </w:pPr>
      <w:r>
        <w:t>Define verification levels, evidence handling, appeals and freshness windows.</w:t>
      </w:r>
    </w:p>
    <w:p>
      <w:pPr>
        <w:pStyle w:val="ListBullet"/>
        <w:spacing w:after="40"/>
      </w:pPr>
      <w:r>
        <w:t>Choose initial authentication, messaging, notification and storage providers.</w:t>
      </w:r>
    </w:p>
    <w:p>
      <w:pPr>
        <w:pStyle w:val="ListBullet"/>
        <w:spacing w:after="40"/>
      </w:pPr>
      <w:r>
        <w:t>Define rent-ledger source labels and correction process.</w:t>
      </w:r>
    </w:p>
    <w:p>
      <w:pPr>
        <w:pStyle w:val="ListBullet"/>
        <w:spacing w:after="40"/>
      </w:pPr>
      <w:r>
        <w:t>Approve Rental Passport privacy, sharing, dispute and retention policy.</w:t>
      </w:r>
    </w:p>
    <w:p>
      <w:pPr>
        <w:pStyle w:val="ListBullet"/>
        <w:spacing w:after="40"/>
      </w:pPr>
      <w:r>
        <w:t>Complete Tanzanian legal review before finance, payment custody or investment functionality.</w:t>
      </w:r>
    </w:p>
    <w:p>
      <w:pPr>
        <w:pStyle w:val="ListBullet"/>
        <w:spacing w:after="40"/>
      </w:pPr>
      <w:r>
        <w:t>Agree pilot metrics and research plan with tenants and small landlords.</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780"/>
        <w:sz w:val="16"/>
      </w:rPr>
      <w:t>Product Requirements Document • v1.0 • 12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780"/>
        <w:sz w:val="16"/>
      </w:rPr>
      <w:t>PANGA NA KUPANGISHA  |  PRODUCT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B34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8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78A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526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48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69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