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5 Static Code Analysis Issues</w:t>
      </w:r>
    </w:p>
    <w:p>
      <w:r>
        <w:t>Digital Wallet and Payment Tracker | PES1UG24CS578 | 16 October 2026</w:t>
      </w:r>
    </w:p>
    <w:p>
      <w:r>
        <w:t>The table documents the issues identified by Pylint, Bandit and Flake8 and the changes made to resolve them. All reported findings were resolved. Line numbers refer to the original digital_wallet.py at source commit 0d188e2b4c3588ba9e3e3f7362f426d10beb7d43.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592"/>
        <w:gridCol w:w="1944"/>
        <w:gridCol w:w="1080"/>
        <w:gridCol w:w="3816"/>
        <w:gridCol w:w="5674"/>
      </w:tblGrid>
      <w:tr>
        <w:trPr>
          <w:cantSplit/>
          <w:tblHeader/>
        </w:trPr>
        <w:tc>
          <w:tcPr>
            <w:tcW w:type="dxa" w:w="2592"/>
            <w:vAlign w:val="center"/>
            <w:shd w:fill="DCE6F1"/>
          </w:tcPr>
          <w:p>
            <w:pPr>
              <w:keepNext w:val="0"/>
              <w:spacing w:before="0" w:after="0" w:line="252" w:lineRule="auto"/>
              <w:jc w:val="left"/>
            </w:pPr>
            <w:r>
              <w:rPr>
                <w:rFonts w:ascii="Calibri" w:hAnsi="Calibri"/>
                <w:b/>
                <w:color w:val="000000"/>
                <w:sz w:val="19"/>
              </w:rPr>
              <w:t>Issue</w:t>
            </w:r>
          </w:p>
        </w:tc>
        <w:tc>
          <w:tcPr>
            <w:tcW w:type="dxa" w:w="1944"/>
            <w:vAlign w:val="center"/>
            <w:shd w:fill="DCE6F1"/>
          </w:tcPr>
          <w:p>
            <w:pPr>
              <w:keepNext w:val="0"/>
              <w:spacing w:before="0" w:after="0" w:line="252" w:lineRule="auto"/>
              <w:jc w:val="left"/>
            </w:pPr>
            <w:r>
              <w:rPr>
                <w:rFonts w:ascii="Calibri" w:hAnsi="Calibri"/>
                <w:b/>
                <w:color w:val="000000"/>
                <w:sz w:val="19"/>
              </w:rPr>
              <w:t>Type and severity</w:t>
            </w:r>
          </w:p>
        </w:tc>
        <w:tc>
          <w:tcPr>
            <w:tcW w:type="dxa" w:w="1080"/>
            <w:vAlign w:val="center"/>
            <w:shd w:fill="DCE6F1"/>
          </w:tcPr>
          <w:p>
            <w:pPr>
              <w:keepNext w:val="0"/>
              <w:spacing w:before="0" w:after="0" w:line="252" w:lineRule="auto"/>
              <w:jc w:val="center"/>
            </w:pPr>
            <w:r>
              <w:rPr>
                <w:rFonts w:ascii="Calibri" w:hAnsi="Calibri"/>
                <w:b/>
                <w:color w:val="000000"/>
                <w:sz w:val="19"/>
              </w:rPr>
              <w:t>Lines</w:t>
            </w:r>
          </w:p>
        </w:tc>
        <w:tc>
          <w:tcPr>
            <w:tcW w:type="dxa" w:w="3816"/>
            <w:vAlign w:val="center"/>
            <w:shd w:fill="DCE6F1"/>
          </w:tcPr>
          <w:p>
            <w:pPr>
              <w:keepNext w:val="0"/>
              <w:spacing w:before="0" w:after="0" w:line="252" w:lineRule="auto"/>
              <w:jc w:val="left"/>
            </w:pPr>
            <w:r>
              <w:rPr>
                <w:rFonts w:ascii="Calibri" w:hAnsi="Calibri"/>
                <w:b/>
                <w:color w:val="000000"/>
                <w:sz w:val="19"/>
              </w:rPr>
              <w:t>Description</w:t>
            </w:r>
          </w:p>
        </w:tc>
        <w:tc>
          <w:tcPr>
            <w:tcW w:type="dxa" w:w="5674"/>
            <w:vAlign w:val="center"/>
            <w:shd w:fill="DCE6F1"/>
          </w:tcPr>
          <w:p>
            <w:pPr>
              <w:keepNext w:val="0"/>
              <w:spacing w:before="0" w:after="0" w:line="252" w:lineRule="auto"/>
              <w:jc w:val="left"/>
            </w:pPr>
            <w:r>
              <w:rPr>
                <w:rFonts w:ascii="Calibri" w:hAnsi="Calibri"/>
                <w:b/>
                <w:color w:val="000000"/>
                <w:sz w:val="19"/>
              </w:rPr>
              <w:t>Fix approach</w:t>
            </w:r>
          </w:p>
        </w:tc>
      </w:tr>
      <w:tr>
        <w:trPr>
          <w:cantSplit/>
        </w:trPr>
        <w:tc>
          <w:tcPr>
            <w:tcW w:type="dxa" w:w="2592"/>
            <w:vAlign w:val="center"/>
            <w:shd w:fill="F4F7FA"/>
          </w:tcPr>
          <w:p>
            <w:pPr>
              <w:keepNext w:val="0"/>
              <w:spacing w:before="0" w:after="0" w:line="252" w:lineRule="auto"/>
              <w:jc w:val="left"/>
            </w:pPr>
            <w:r>
              <w:rPr>
                <w:rFonts w:ascii="Calibri" w:hAnsi="Calibri"/>
                <w:b w:val="0"/>
                <w:color w:val="000000"/>
                <w:sz w:val="19"/>
              </w:rPr>
              <w:t>B324 - weak PIN hash</w:t>
            </w:r>
          </w:p>
        </w:tc>
        <w:tc>
          <w:tcPr>
            <w:tcW w:type="dxa" w:w="1944"/>
            <w:vAlign w:val="center"/>
            <w:shd w:fill="F4F7FA"/>
          </w:tcPr>
          <w:p>
            <w:pPr>
              <w:keepNext w:val="0"/>
              <w:spacing w:before="0" w:after="0" w:line="252" w:lineRule="auto"/>
              <w:jc w:val="left"/>
            </w:pPr>
            <w:r>
              <w:rPr>
                <w:rFonts w:ascii="Calibri" w:hAnsi="Calibri"/>
                <w:b w:val="0"/>
                <w:color w:val="000000"/>
                <w:sz w:val="19"/>
              </w:rPr>
              <w:t>Bandit: High</w:t>
            </w:r>
          </w:p>
        </w:tc>
        <w:tc>
          <w:tcPr>
            <w:tcW w:type="dxa" w:w="1080"/>
            <w:vAlign w:val="center"/>
            <w:shd w:fill="F4F7FA"/>
          </w:tcPr>
          <w:p>
            <w:pPr>
              <w:keepNext w:val="0"/>
              <w:spacing w:before="0" w:after="0" w:line="252" w:lineRule="auto"/>
              <w:jc w:val="center"/>
            </w:pPr>
            <w:r>
              <w:rPr>
                <w:rFonts w:ascii="Calibri" w:hAnsi="Calibri"/>
                <w:b w:val="0"/>
                <w:color w:val="000000"/>
                <w:sz w:val="19"/>
              </w:rPr>
              <w:t>14</w:t>
            </w:r>
          </w:p>
        </w:tc>
        <w:tc>
          <w:tcPr>
            <w:tcW w:type="dxa" w:w="3816"/>
            <w:vAlign w:val="center"/>
            <w:shd w:fill="F4F7FA"/>
          </w:tcPr>
          <w:p>
            <w:pPr>
              <w:keepNext w:val="0"/>
              <w:spacing w:before="0" w:after="0" w:line="252" w:lineRule="auto"/>
              <w:jc w:val="left"/>
            </w:pPr>
            <w:r>
              <w:rPr>
                <w:rFonts w:ascii="Calibri" w:hAnsi="Calibri"/>
                <w:b w:val="0"/>
                <w:color w:val="000000"/>
                <w:sz w:val="19"/>
              </w:rPr>
              <w:t>SHA-1 hashes the PIN directly without salt or a work factor.</w:t>
            </w:r>
          </w:p>
        </w:tc>
        <w:tc>
          <w:tcPr>
            <w:tcW w:type="dxa" w:w="5674"/>
            <w:vAlign w:val="center"/>
            <w:shd w:fill="F4F7FA"/>
          </w:tcPr>
          <w:p>
            <w:pPr>
              <w:keepNext w:val="0"/>
              <w:spacing w:before="0" w:after="0" w:line="252" w:lineRule="auto"/>
              <w:jc w:val="left"/>
            </w:pPr>
            <w:r>
              <w:rPr>
                <w:rFonts w:ascii="Calibri" w:hAnsi="Calibri"/>
                <w:b w:val="0"/>
                <w:color w:val="000000"/>
                <w:sz w:val="19"/>
              </w:rPr>
              <w:t>Replace with PBKDF2-HMAC-SHA256, 600,000 iterations, a fresh 16-byte random salt and a stored in-memory verifier. Compare verifiers with hmac.compare_digest.</w:t>
            </w:r>
          </w:p>
        </w:tc>
      </w:tr>
      <w:tr>
        <w:trPr>
          <w:cantSplit/>
        </w:trPr>
        <w:tc>
          <w:tcPr>
            <w:tcW w:type="dxa" w:w="2592"/>
            <w:vAlign w:val="center"/>
            <w:shd w:fill="FFFFFF"/>
          </w:tcPr>
          <w:p>
            <w:pPr>
              <w:keepNext w:val="0"/>
              <w:spacing w:before="0" w:after="0" w:line="252" w:lineRule="auto"/>
              <w:jc w:val="left"/>
            </w:pPr>
            <w:r>
              <w:rPr>
                <w:rFonts w:ascii="Calibri" w:hAnsi="Calibri"/>
                <w:b w:val="0"/>
                <w:color w:val="000000"/>
                <w:sz w:val="19"/>
              </w:rPr>
              <w:t>B306 - unsafe receipt filename</w:t>
            </w:r>
          </w:p>
        </w:tc>
        <w:tc>
          <w:tcPr>
            <w:tcW w:type="dxa" w:w="1944"/>
            <w:vAlign w:val="center"/>
            <w:shd w:fill="FFFFFF"/>
          </w:tcPr>
          <w:p>
            <w:pPr>
              <w:keepNext w:val="0"/>
              <w:spacing w:before="0" w:after="0" w:line="252" w:lineRule="auto"/>
              <w:jc w:val="left"/>
            </w:pPr>
            <w:r>
              <w:rPr>
                <w:rFonts w:ascii="Calibri" w:hAnsi="Calibri"/>
                <w:b w:val="0"/>
                <w:color w:val="000000"/>
                <w:sz w:val="19"/>
              </w:rPr>
              <w:t>Bandit: Medium</w:t>
            </w:r>
          </w:p>
        </w:tc>
        <w:tc>
          <w:tcPr>
            <w:tcW w:type="dxa" w:w="1080"/>
            <w:vAlign w:val="center"/>
            <w:shd w:fill="FFFFFF"/>
          </w:tcPr>
          <w:p>
            <w:pPr>
              <w:keepNext w:val="0"/>
              <w:spacing w:before="0" w:after="0" w:line="252" w:lineRule="auto"/>
              <w:jc w:val="center"/>
            </w:pPr>
            <w:r>
              <w:rPr>
                <w:rFonts w:ascii="Calibri" w:hAnsi="Calibri"/>
                <w:b w:val="0"/>
                <w:color w:val="000000"/>
                <w:sz w:val="19"/>
              </w:rPr>
              <w:t>60</w:t>
            </w:r>
          </w:p>
        </w:tc>
        <w:tc>
          <w:tcPr>
            <w:tcW w:type="dxa" w:w="3816"/>
            <w:vAlign w:val="center"/>
            <w:shd w:fill="FFFFFF"/>
          </w:tcPr>
          <w:p>
            <w:pPr>
              <w:keepNext w:val="0"/>
              <w:spacing w:before="0" w:after="0" w:line="252" w:lineRule="auto"/>
              <w:jc w:val="left"/>
            </w:pPr>
            <w:r>
              <w:rPr>
                <w:rFonts w:ascii="Calibri" w:hAnsi="Calibri"/>
                <w:b w:val="0"/>
                <w:color w:val="000000"/>
                <w:sz w:val="19"/>
              </w:rPr>
              <w:t>tempfile.mktemp returns a name without atomically creating a file, allowing a race.</w:t>
            </w:r>
          </w:p>
        </w:tc>
        <w:tc>
          <w:tcPr>
            <w:tcW w:type="dxa" w:w="5674"/>
            <w:vAlign w:val="center"/>
            <w:shd w:fill="FFFFFF"/>
          </w:tcPr>
          <w:p>
            <w:pPr>
              <w:keepNext w:val="0"/>
              <w:spacing w:before="0" w:after="0" w:line="252" w:lineRule="auto"/>
              <w:jc w:val="left"/>
            </w:pPr>
            <w:r>
              <w:rPr>
                <w:rFonts w:ascii="Calibri" w:hAnsi="Calibri"/>
                <w:b w:val="0"/>
                <w:color w:val="000000"/>
                <w:sz w:val="19"/>
              </w:rPr>
              <w:t>Use mkstemp, close the returned descriptor, and document caller cleanup. Test that distinct empty files actually exist.</w:t>
            </w:r>
          </w:p>
        </w:tc>
      </w:tr>
      <w:tr>
        <w:trPr>
          <w:cantSplit/>
        </w:trPr>
        <w:tc>
          <w:tcPr>
            <w:tcW w:type="dxa" w:w="2592"/>
            <w:vAlign w:val="center"/>
            <w:shd w:fill="F4F7FA"/>
          </w:tcPr>
          <w:p>
            <w:pPr>
              <w:keepNext w:val="0"/>
              <w:spacing w:before="0" w:after="0" w:line="252" w:lineRule="auto"/>
              <w:jc w:val="left"/>
            </w:pPr>
            <w:r>
              <w:rPr>
                <w:rFonts w:ascii="Calibri" w:hAnsi="Calibri"/>
                <w:b w:val="0"/>
                <w:color w:val="000000"/>
                <w:sz w:val="19"/>
              </w:rPr>
              <w:t>B105 - embedded gateway key</w:t>
            </w:r>
          </w:p>
        </w:tc>
        <w:tc>
          <w:tcPr>
            <w:tcW w:type="dxa" w:w="1944"/>
            <w:vAlign w:val="center"/>
            <w:shd w:fill="F4F7FA"/>
          </w:tcPr>
          <w:p>
            <w:pPr>
              <w:keepNext w:val="0"/>
              <w:spacing w:before="0" w:after="0" w:line="252" w:lineRule="auto"/>
              <w:jc w:val="left"/>
            </w:pPr>
            <w:r>
              <w:rPr>
                <w:rFonts w:ascii="Calibri" w:hAnsi="Calibri"/>
                <w:b w:val="0"/>
                <w:color w:val="000000"/>
                <w:sz w:val="19"/>
              </w:rPr>
              <w:t>Bandit: Low</w:t>
            </w:r>
          </w:p>
        </w:tc>
        <w:tc>
          <w:tcPr>
            <w:tcW w:type="dxa" w:w="1080"/>
            <w:vAlign w:val="center"/>
            <w:shd w:fill="F4F7FA"/>
          </w:tcPr>
          <w:p>
            <w:pPr>
              <w:keepNext w:val="0"/>
              <w:spacing w:before="0" w:after="0" w:line="252" w:lineRule="auto"/>
              <w:jc w:val="center"/>
            </w:pPr>
            <w:r>
              <w:rPr>
                <w:rFonts w:ascii="Calibri" w:hAnsi="Calibri"/>
                <w:b w:val="0"/>
                <w:color w:val="000000"/>
                <w:sz w:val="19"/>
              </w:rPr>
              <w:t>6</w:t>
            </w:r>
          </w:p>
        </w:tc>
        <w:tc>
          <w:tcPr>
            <w:tcW w:type="dxa" w:w="3816"/>
            <w:vAlign w:val="center"/>
            <w:shd w:fill="F4F7FA"/>
          </w:tcPr>
          <w:p>
            <w:pPr>
              <w:keepNext w:val="0"/>
              <w:spacing w:before="0" w:after="0" w:line="252" w:lineRule="auto"/>
              <w:jc w:val="left"/>
            </w:pPr>
            <w:r>
              <w:rPr>
                <w:rFonts w:ascii="Calibri" w:hAnsi="Calibri"/>
                <w:b w:val="0"/>
                <w:color w:val="000000"/>
                <w:sz w:val="19"/>
              </w:rPr>
              <w:t>A gateway secret is embedded in source.</w:t>
            </w:r>
          </w:p>
        </w:tc>
        <w:tc>
          <w:tcPr>
            <w:tcW w:type="dxa" w:w="5674"/>
            <w:vAlign w:val="center"/>
            <w:shd w:fill="F4F7FA"/>
          </w:tcPr>
          <w:p>
            <w:pPr>
              <w:keepNext w:val="0"/>
              <w:spacing w:before="0" w:after="0" w:line="252" w:lineRule="auto"/>
              <w:jc w:val="left"/>
            </w:pPr>
            <w:r>
              <w:rPr>
                <w:rFonts w:ascii="Calibri" w:hAnsi="Calibri"/>
                <w:b w:val="0"/>
                <w:color w:val="000000"/>
                <w:sz w:val="19"/>
              </w:rPr>
              <w:t>Configure credentials explicitly. The demo reads environment values or generates ephemeral random credentials; remove the literal key. Also remove the embedded PIN at line 7 and successful-payment PIN literals at 70-73 as related manual hardening.</w:t>
            </w:r>
          </w:p>
        </w:tc>
      </w:tr>
      <w:tr>
        <w:trPr>
          <w:cantSplit/>
        </w:trPr>
        <w:tc>
          <w:tcPr>
            <w:tcW w:type="dxa" w:w="2592"/>
            <w:vAlign w:val="center"/>
            <w:shd w:fill="FFFFFF"/>
          </w:tcPr>
          <w:p>
            <w:pPr>
              <w:keepNext w:val="0"/>
              <w:spacing w:before="0" w:after="0" w:line="252" w:lineRule="auto"/>
              <w:jc w:val="left"/>
            </w:pPr>
            <w:r>
              <w:rPr>
                <w:rFonts w:ascii="Calibri" w:hAnsi="Calibri"/>
                <w:b w:val="0"/>
                <w:color w:val="000000"/>
                <w:sz w:val="19"/>
              </w:rPr>
              <w:t>B311 - predictable OTP source</w:t>
            </w:r>
          </w:p>
        </w:tc>
        <w:tc>
          <w:tcPr>
            <w:tcW w:type="dxa" w:w="1944"/>
            <w:vAlign w:val="center"/>
            <w:shd w:fill="FFFFFF"/>
          </w:tcPr>
          <w:p>
            <w:pPr>
              <w:keepNext w:val="0"/>
              <w:spacing w:before="0" w:after="0" w:line="252" w:lineRule="auto"/>
              <w:jc w:val="left"/>
            </w:pPr>
            <w:r>
              <w:rPr>
                <w:rFonts w:ascii="Calibri" w:hAnsi="Calibri"/>
                <w:b w:val="0"/>
                <w:color w:val="000000"/>
                <w:sz w:val="19"/>
              </w:rPr>
              <w:t>Bandit: Low</w:t>
            </w:r>
          </w:p>
        </w:tc>
        <w:tc>
          <w:tcPr>
            <w:tcW w:type="dxa" w:w="1080"/>
            <w:vAlign w:val="center"/>
            <w:shd w:fill="FFFFFF"/>
          </w:tcPr>
          <w:p>
            <w:pPr>
              <w:keepNext w:val="0"/>
              <w:spacing w:before="0" w:after="0" w:line="252" w:lineRule="auto"/>
              <w:jc w:val="center"/>
            </w:pPr>
            <w:r>
              <w:rPr>
                <w:rFonts w:ascii="Calibri" w:hAnsi="Calibri"/>
                <w:b w:val="0"/>
                <w:color w:val="000000"/>
                <w:sz w:val="19"/>
              </w:rPr>
              <w:t>64</w:t>
            </w:r>
          </w:p>
        </w:tc>
        <w:tc>
          <w:tcPr>
            <w:tcW w:type="dxa" w:w="3816"/>
            <w:vAlign w:val="center"/>
            <w:shd w:fill="FFFFFF"/>
          </w:tcPr>
          <w:p>
            <w:pPr>
              <w:keepNext w:val="0"/>
              <w:spacing w:before="0" w:after="0" w:line="252" w:lineRule="auto"/>
              <w:jc w:val="left"/>
            </w:pPr>
            <w:r>
              <w:rPr>
                <w:rFonts w:ascii="Calibri" w:hAnsi="Calibri"/>
                <w:b w:val="0"/>
                <w:color w:val="000000"/>
                <w:sz w:val="19"/>
              </w:rPr>
              <w:t>random.randint is not intended for security tokens.</w:t>
            </w:r>
          </w:p>
        </w:tc>
        <w:tc>
          <w:tcPr>
            <w:tcW w:type="dxa" w:w="5674"/>
            <w:vAlign w:val="center"/>
            <w:shd w:fill="FFFFFF"/>
          </w:tcPr>
          <w:p>
            <w:pPr>
              <w:keepNext w:val="0"/>
              <w:spacing w:before="0" w:after="0" w:line="252" w:lineRule="auto"/>
              <w:jc w:val="left"/>
            </w:pPr>
            <w:r>
              <w:rPr>
                <w:rFonts w:ascii="Calibri" w:hAnsi="Calibri"/>
                <w:b w:val="0"/>
                <w:color w:val="000000"/>
                <w:sz w:val="19"/>
              </w:rPr>
              <w:t>Use secrets.randbelow(900000) + 100000; the OTP remains six digits.</w:t>
            </w:r>
          </w:p>
        </w:tc>
      </w:tr>
      <w:tr>
        <w:trPr>
          <w:cantSplit/>
        </w:trPr>
        <w:tc>
          <w:tcPr>
            <w:tcW w:type="dxa" w:w="2592"/>
            <w:vAlign w:val="center"/>
            <w:shd w:fill="F4F7FA"/>
          </w:tcPr>
          <w:p>
            <w:pPr>
              <w:keepNext w:val="0"/>
              <w:spacing w:before="0" w:after="0" w:line="252" w:lineRule="auto"/>
              <w:jc w:val="left"/>
            </w:pPr>
            <w:r>
              <w:rPr>
                <w:rFonts w:ascii="Calibri" w:hAnsi="Calibri"/>
                <w:b w:val="0"/>
                <w:color w:val="000000"/>
                <w:sz w:val="19"/>
              </w:rPr>
              <w:t>W0102 - mutable default argument</w:t>
            </w:r>
          </w:p>
        </w:tc>
        <w:tc>
          <w:tcPr>
            <w:tcW w:type="dxa" w:w="1944"/>
            <w:vAlign w:val="center"/>
            <w:shd w:fill="F4F7FA"/>
          </w:tcPr>
          <w:p>
            <w:pPr>
              <w:keepNext w:val="0"/>
              <w:spacing w:before="0" w:after="0" w:line="252" w:lineRule="auto"/>
              <w:jc w:val="left"/>
            </w:pPr>
            <w:r>
              <w:rPr>
                <w:rFonts w:ascii="Calibri" w:hAnsi="Calibri"/>
                <w:b w:val="0"/>
                <w:color w:val="000000"/>
                <w:sz w:val="19"/>
              </w:rPr>
              <w:t>Pylint: correctness priority</w:t>
            </w:r>
          </w:p>
        </w:tc>
        <w:tc>
          <w:tcPr>
            <w:tcW w:type="dxa" w:w="1080"/>
            <w:vAlign w:val="center"/>
            <w:shd w:fill="F4F7FA"/>
          </w:tcPr>
          <w:p>
            <w:pPr>
              <w:keepNext w:val="0"/>
              <w:spacing w:before="0" w:after="0" w:line="252" w:lineRule="auto"/>
              <w:jc w:val="center"/>
            </w:pPr>
            <w:r>
              <w:rPr>
                <w:rFonts w:ascii="Calibri" w:hAnsi="Calibri"/>
                <w:b w:val="0"/>
                <w:color w:val="000000"/>
                <w:sz w:val="19"/>
              </w:rPr>
              <w:t>17, 23</w:t>
            </w:r>
          </w:p>
        </w:tc>
        <w:tc>
          <w:tcPr>
            <w:tcW w:type="dxa" w:w="3816"/>
            <w:vAlign w:val="center"/>
            <w:shd w:fill="F4F7FA"/>
          </w:tcPr>
          <w:p>
            <w:pPr>
              <w:keepNext w:val="0"/>
              <w:spacing w:before="0" w:after="0" w:line="252" w:lineRule="auto"/>
              <w:jc w:val="left"/>
            </w:pPr>
            <w:r>
              <w:rPr>
                <w:rFonts w:ascii="Calibri" w:hAnsi="Calibri"/>
                <w:b w:val="0"/>
                <w:color w:val="000000"/>
                <w:sz w:val="19"/>
              </w:rPr>
              <w:t>The same default log list is reused on calls that omit the argument.</w:t>
            </w:r>
          </w:p>
        </w:tc>
        <w:tc>
          <w:tcPr>
            <w:tcW w:type="dxa" w:w="5674"/>
            <w:vAlign w:val="center"/>
            <w:shd w:fill="F4F7FA"/>
          </w:tcPr>
          <w:p>
            <w:pPr>
              <w:keepNext w:val="0"/>
              <w:spacing w:before="0" w:after="0" w:line="252" w:lineRule="auto"/>
              <w:jc w:val="left"/>
            </w:pPr>
            <w:r>
              <w:rPr>
                <w:rFonts w:ascii="Calibri" w:hAnsi="Calibri"/>
                <w:b w:val="0"/>
                <w:color w:val="000000"/>
                <w:sz w:val="19"/>
              </w:rPr>
              <w:t>Use log=None and create a fresh list inside the function; keep caller-provided logs working.</w:t>
            </w:r>
          </w:p>
        </w:tc>
      </w:tr>
      <w:tr>
        <w:trPr>
          <w:cantSplit/>
        </w:trPr>
        <w:tc>
          <w:tcPr>
            <w:tcW w:type="dxa" w:w="2592"/>
            <w:vAlign w:val="center"/>
            <w:shd w:fill="FFFFFF"/>
          </w:tcPr>
          <w:p>
            <w:pPr>
              <w:keepNext w:val="0"/>
              <w:spacing w:before="0" w:after="0" w:line="252" w:lineRule="auto"/>
              <w:jc w:val="left"/>
            </w:pPr>
            <w:r>
              <w:rPr>
                <w:rFonts w:ascii="Calibri" w:hAnsi="Calibri"/>
                <w:b w:val="0"/>
                <w:color w:val="000000"/>
                <w:sz w:val="19"/>
              </w:rPr>
              <w:t>W0603 - global rebinding</w:t>
            </w:r>
          </w:p>
        </w:tc>
        <w:tc>
          <w:tcPr>
            <w:tcW w:type="dxa" w:w="1944"/>
            <w:vAlign w:val="center"/>
            <w:shd w:fill="FFFFFF"/>
          </w:tcPr>
          <w:p>
            <w:pPr>
              <w:keepNext w:val="0"/>
              <w:spacing w:before="0" w:after="0" w:line="252" w:lineRule="auto"/>
              <w:jc w:val="left"/>
            </w:pPr>
            <w:r>
              <w:rPr>
                <w:rFonts w:ascii="Calibri" w:hAnsi="Calibri"/>
                <w:b w:val="0"/>
                <w:color w:val="000000"/>
                <w:sz w:val="19"/>
              </w:rPr>
              <w:t>Pylint: maintainability priority</w:t>
            </w:r>
          </w:p>
        </w:tc>
        <w:tc>
          <w:tcPr>
            <w:tcW w:type="dxa" w:w="1080"/>
            <w:vAlign w:val="center"/>
            <w:shd w:fill="FFFFFF"/>
          </w:tcPr>
          <w:p>
            <w:pPr>
              <w:keepNext w:val="0"/>
              <w:spacing w:before="0" w:after="0" w:line="252" w:lineRule="auto"/>
              <w:jc w:val="center"/>
            </w:pPr>
            <w:r>
              <w:rPr>
                <w:rFonts w:ascii="Calibri" w:hAnsi="Calibri"/>
                <w:b w:val="0"/>
                <w:color w:val="000000"/>
                <w:sz w:val="19"/>
              </w:rPr>
              <w:t>28-29</w:t>
            </w:r>
          </w:p>
        </w:tc>
        <w:tc>
          <w:tcPr>
            <w:tcW w:type="dxa" w:w="3816"/>
            <w:vAlign w:val="center"/>
            <w:shd w:fill="FFFFFF"/>
          </w:tcPr>
          <w:p>
            <w:pPr>
              <w:keepNext w:val="0"/>
              <w:spacing w:before="0" w:after="0" w:line="252" w:lineRule="auto"/>
              <w:jc w:val="left"/>
            </w:pPr>
            <w:r>
              <w:rPr>
                <w:rFonts w:ascii="Calibri" w:hAnsi="Calibri"/>
                <w:b w:val="0"/>
                <w:color w:val="000000"/>
                <w:sz w:val="19"/>
              </w:rPr>
              <w:t>Updating the limit rebinds a module global.</w:t>
            </w:r>
          </w:p>
        </w:tc>
        <w:tc>
          <w:tcPr>
            <w:tcW w:type="dxa" w:w="5674"/>
            <w:vAlign w:val="center"/>
            <w:shd w:fill="FFFFFF"/>
          </w:tcPr>
          <w:p>
            <w:pPr>
              <w:keepNext w:val="0"/>
              <w:spacing w:before="0" w:after="0" w:line="252" w:lineRule="auto"/>
              <w:jc w:val="left"/>
            </w:pPr>
            <w:r>
              <w:rPr>
                <w:rFonts w:ascii="Calibri" w:hAnsi="Calibri"/>
                <w:b w:val="0"/>
                <w:color w:val="000000"/>
                <w:sz w:val="19"/>
              </w:rPr>
              <w:t>Store balance and limit in the explicit WALLET state dictionary, so the function needs no global statement.</w:t>
            </w:r>
          </w:p>
        </w:tc>
      </w:tr>
      <w:tr>
        <w:trPr>
          <w:cantSplit/>
        </w:trPr>
        <w:tc>
          <w:tcPr>
            <w:tcW w:type="dxa" w:w="2592"/>
            <w:vAlign w:val="center"/>
            <w:shd w:fill="F4F7FA"/>
          </w:tcPr>
          <w:p>
            <w:pPr>
              <w:keepNext w:val="0"/>
              <w:spacing w:before="0" w:after="0" w:line="252" w:lineRule="auto"/>
              <w:jc w:val="left"/>
            </w:pPr>
            <w:r>
              <w:rPr>
                <w:rFonts w:ascii="Calibri" w:hAnsi="Calibri"/>
                <w:b w:val="0"/>
                <w:color w:val="000000"/>
                <w:sz w:val="19"/>
              </w:rPr>
              <w:t>W0613 - unused category argument</w:t>
            </w:r>
          </w:p>
        </w:tc>
        <w:tc>
          <w:tcPr>
            <w:tcW w:type="dxa" w:w="1944"/>
            <w:vAlign w:val="center"/>
            <w:shd w:fill="F4F7FA"/>
          </w:tcPr>
          <w:p>
            <w:pPr>
              <w:keepNext w:val="0"/>
              <w:spacing w:before="0" w:after="0" w:line="252" w:lineRule="auto"/>
              <w:jc w:val="left"/>
            </w:pPr>
            <w:r>
              <w:rPr>
                <w:rFonts w:ascii="Calibri" w:hAnsi="Calibri"/>
                <w:b w:val="0"/>
                <w:color w:val="000000"/>
                <w:sz w:val="19"/>
              </w:rPr>
              <w:t>Pylint: maintainability priority</w:t>
            </w:r>
          </w:p>
        </w:tc>
        <w:tc>
          <w:tcPr>
            <w:tcW w:type="dxa" w:w="1080"/>
            <w:vAlign w:val="center"/>
            <w:shd w:fill="F4F7FA"/>
          </w:tcPr>
          <w:p>
            <w:pPr>
              <w:keepNext w:val="0"/>
              <w:spacing w:before="0" w:after="0" w:line="252" w:lineRule="auto"/>
              <w:jc w:val="center"/>
            </w:pPr>
            <w:r>
              <w:rPr>
                <w:rFonts w:ascii="Calibri" w:hAnsi="Calibri"/>
                <w:b w:val="0"/>
                <w:color w:val="000000"/>
                <w:sz w:val="19"/>
              </w:rPr>
              <w:t>50</w:t>
            </w:r>
          </w:p>
        </w:tc>
        <w:tc>
          <w:tcPr>
            <w:tcW w:type="dxa" w:w="3816"/>
            <w:vAlign w:val="center"/>
            <w:shd w:fill="F4F7FA"/>
          </w:tcPr>
          <w:p>
            <w:pPr>
              <w:keepNext w:val="0"/>
              <w:spacing w:before="0" w:after="0" w:line="252" w:lineRule="auto"/>
              <w:jc w:val="left"/>
            </w:pPr>
            <w:r>
              <w:rPr>
                <w:rFonts w:ascii="Calibri" w:hAnsi="Calibri"/>
                <w:b w:val="0"/>
                <w:color w:val="000000"/>
                <w:sz w:val="19"/>
              </w:rPr>
              <w:t>merchantType is accepted but ignored.</w:t>
            </w:r>
          </w:p>
        </w:tc>
        <w:tc>
          <w:tcPr>
            <w:tcW w:type="dxa" w:w="5674"/>
            <w:vAlign w:val="center"/>
            <w:shd w:fill="F4F7FA"/>
          </w:tcPr>
          <w:p>
            <w:pPr>
              <w:keepNext w:val="0"/>
              <w:spacing w:before="0" w:after="0" w:line="252" w:lineRule="auto"/>
              <w:jc w:val="left"/>
            </w:pPr>
            <w:r>
              <w:rPr>
                <w:rFonts w:ascii="Calibri" w:hAnsi="Calibri"/>
                <w:b w:val="0"/>
                <w:color w:val="000000"/>
                <w:sz w:val="19"/>
              </w:rPr>
              <w:t>Rename it to merchant_type and validate that it is a nonempty category; preserve the documented flat 2% rate for every category.</w:t>
            </w:r>
          </w:p>
        </w:tc>
      </w:tr>
      <w:tr>
        <w:trPr>
          <w:cantSplit/>
        </w:trPr>
        <w:tc>
          <w:tcPr>
            <w:tcW w:type="dxa" w:w="2592"/>
            <w:vAlign w:val="center"/>
            <w:shd w:fill="FFFFFF"/>
          </w:tcPr>
          <w:p>
            <w:pPr>
              <w:keepNext w:val="0"/>
              <w:spacing w:before="0" w:after="0" w:line="252" w:lineRule="auto"/>
              <w:jc w:val="left"/>
            </w:pPr>
            <w:r>
              <w:rPr>
                <w:rFonts w:ascii="Calibri" w:hAnsi="Calibri"/>
                <w:b w:val="0"/>
                <w:color w:val="000000"/>
                <w:sz w:val="19"/>
              </w:rPr>
              <w:t>C0103 - naming conventions</w:t>
            </w:r>
          </w:p>
        </w:tc>
        <w:tc>
          <w:tcPr>
            <w:tcW w:type="dxa" w:w="1944"/>
            <w:vAlign w:val="center"/>
            <w:shd w:fill="FFFFFF"/>
          </w:tcPr>
          <w:p>
            <w:pPr>
              <w:keepNext w:val="0"/>
              <w:spacing w:before="0" w:after="0" w:line="252" w:lineRule="auto"/>
              <w:jc w:val="left"/>
            </w:pPr>
            <w:r>
              <w:rPr>
                <w:rFonts w:ascii="Calibri" w:hAnsi="Calibri"/>
                <w:b w:val="0"/>
                <w:color w:val="000000"/>
                <w:sz w:val="19"/>
              </w:rPr>
              <w:t>Pylint: convention</w:t>
            </w:r>
          </w:p>
        </w:tc>
        <w:tc>
          <w:tcPr>
            <w:tcW w:type="dxa" w:w="1080"/>
            <w:vAlign w:val="center"/>
            <w:shd w:fill="FFFFFF"/>
          </w:tcPr>
          <w:p>
            <w:pPr>
              <w:keepNext w:val="0"/>
              <w:spacing w:before="0" w:after="0" w:line="252" w:lineRule="auto"/>
              <w:jc w:val="center"/>
            </w:pPr>
            <w:r>
              <w:rPr>
                <w:rFonts w:ascii="Calibri" w:hAnsi="Calibri"/>
                <w:b w:val="0"/>
                <w:color w:val="000000"/>
                <w:sz w:val="19"/>
              </w:rPr>
              <w:t>9, 13, 17, 27, 32, 45, 50, 54, 58, 78</w:t>
            </w:r>
          </w:p>
        </w:tc>
        <w:tc>
          <w:tcPr>
            <w:tcW w:type="dxa" w:w="3816"/>
            <w:vAlign w:val="center"/>
            <w:shd w:fill="FFFFFF"/>
          </w:tcPr>
          <w:p>
            <w:pPr>
              <w:keepNext w:val="0"/>
              <w:spacing w:before="0" w:after="0" w:line="252" w:lineRule="auto"/>
              <w:jc w:val="left"/>
            </w:pPr>
            <w:r>
              <w:rPr>
                <w:rFonts w:ascii="Calibri" w:hAnsi="Calibri"/>
                <w:b w:val="0"/>
                <w:color w:val="000000"/>
                <w:sz w:val="19"/>
              </w:rPr>
              <w:t>Mixed camelCase names and a lowercase limit constant reduce consistency.</w:t>
            </w:r>
          </w:p>
        </w:tc>
        <w:tc>
          <w:tcPr>
            <w:tcW w:type="dxa" w:w="5674"/>
            <w:vAlign w:val="center"/>
            <w:shd w:fill="FFFFFF"/>
          </w:tcPr>
          <w:p>
            <w:pPr>
              <w:keepNext w:val="0"/>
              <w:spacing w:before="0" w:after="0" w:line="252" w:lineRule="auto"/>
              <w:jc w:val="left"/>
            </w:pPr>
            <w:r>
              <w:rPr>
                <w:rFonts w:ascii="Calibri" w:hAnsi="Calibri"/>
                <w:b w:val="0"/>
                <w:color w:val="000000"/>
                <w:sz w:val="19"/>
              </w:rPr>
              <w:t>Use snake_case function/argument/local names and uppercase names for module state containers and constants.</w:t>
            </w:r>
          </w:p>
        </w:tc>
      </w:tr>
      <w:tr>
        <w:trPr>
          <w:cantSplit/>
        </w:trPr>
        <w:tc>
          <w:tcPr>
            <w:tcW w:type="dxa" w:w="2592"/>
            <w:vAlign w:val="center"/>
            <w:shd w:fill="F4F7FA"/>
          </w:tcPr>
          <w:p>
            <w:pPr>
              <w:keepNext w:val="0"/>
              <w:spacing w:before="0" w:after="0" w:line="252" w:lineRule="auto"/>
              <w:jc w:val="left"/>
            </w:pPr>
            <w:r>
              <w:rPr>
                <w:rFonts w:ascii="Calibri" w:hAnsi="Calibri"/>
                <w:b w:val="0"/>
                <w:color w:val="000000"/>
                <w:sz w:val="19"/>
              </w:rPr>
              <w:t>C0114 / C0116 - missing documentation</w:t>
            </w:r>
          </w:p>
        </w:tc>
        <w:tc>
          <w:tcPr>
            <w:tcW w:type="dxa" w:w="1944"/>
            <w:vAlign w:val="center"/>
            <w:shd w:fill="F4F7FA"/>
          </w:tcPr>
          <w:p>
            <w:pPr>
              <w:keepNext w:val="0"/>
              <w:spacing w:before="0" w:after="0" w:line="252" w:lineRule="auto"/>
              <w:jc w:val="left"/>
            </w:pPr>
            <w:r>
              <w:rPr>
                <w:rFonts w:ascii="Calibri" w:hAnsi="Calibri"/>
                <w:b w:val="0"/>
                <w:color w:val="000000"/>
                <w:sz w:val="19"/>
              </w:rPr>
              <w:t>Pylint: convention</w:t>
            </w:r>
          </w:p>
        </w:tc>
        <w:tc>
          <w:tcPr>
            <w:tcW w:type="dxa" w:w="1080"/>
            <w:vAlign w:val="center"/>
            <w:shd w:fill="F4F7FA"/>
          </w:tcPr>
          <w:p>
            <w:pPr>
              <w:keepNext w:val="0"/>
              <w:spacing w:before="0" w:after="0" w:line="252" w:lineRule="auto"/>
              <w:jc w:val="center"/>
            </w:pPr>
            <w:r>
              <w:rPr>
                <w:rFonts w:ascii="Calibri" w:hAnsi="Calibri"/>
                <w:b w:val="0"/>
                <w:color w:val="000000"/>
                <w:sz w:val="19"/>
              </w:rPr>
              <w:t>1, 13, 17, 27, 32, 45, 50, 54, 58, 63</w:t>
            </w:r>
          </w:p>
        </w:tc>
        <w:tc>
          <w:tcPr>
            <w:tcW w:type="dxa" w:w="3816"/>
            <w:vAlign w:val="center"/>
            <w:shd w:fill="F4F7FA"/>
          </w:tcPr>
          <w:p>
            <w:pPr>
              <w:keepNext w:val="0"/>
              <w:spacing w:before="0" w:after="0" w:line="252" w:lineRule="auto"/>
              <w:jc w:val="left"/>
            </w:pPr>
            <w:r>
              <w:rPr>
                <w:rFonts w:ascii="Calibri" w:hAnsi="Calibri"/>
                <w:b w:val="0"/>
                <w:color w:val="000000"/>
                <w:sz w:val="19"/>
              </w:rPr>
              <w:t>The module and its functions have no docstrings.</w:t>
            </w:r>
          </w:p>
        </w:tc>
        <w:tc>
          <w:tcPr>
            <w:tcW w:type="dxa" w:w="5674"/>
            <w:vAlign w:val="center"/>
            <w:shd w:fill="F4F7FA"/>
          </w:tcPr>
          <w:p>
            <w:pPr>
              <w:keepNext w:val="0"/>
              <w:spacing w:before="0" w:after="0" w:line="252" w:lineRule="auto"/>
              <w:jc w:val="left"/>
            </w:pPr>
            <w:r>
              <w:rPr>
                <w:rFonts w:ascii="Calibri" w:hAnsi="Calibri"/>
                <w:b w:val="0"/>
                <w:color w:val="000000"/>
                <w:sz w:val="19"/>
              </w:rPr>
              <w:t>Document the demo, state model, validation, credential handling and receipt cleanup.</w:t>
            </w:r>
          </w:p>
        </w:tc>
      </w:tr>
      <w:tr>
        <w:trPr>
          <w:cantSplit/>
        </w:trPr>
        <w:tc>
          <w:tcPr>
            <w:tcW w:type="dxa" w:w="2592"/>
            <w:vAlign w:val="center"/>
            <w:shd w:fill="FFFFFF"/>
          </w:tcPr>
          <w:p>
            <w:pPr>
              <w:keepNext w:val="0"/>
              <w:spacing w:before="0" w:after="0" w:line="252" w:lineRule="auto"/>
              <w:jc w:val="left"/>
            </w:pPr>
            <w:r>
              <w:rPr>
                <w:rFonts w:ascii="Calibri" w:hAnsi="Calibri"/>
                <w:b w:val="0"/>
                <w:color w:val="000000"/>
                <w:sz w:val="19"/>
              </w:rPr>
              <w:t>E261 - inline comment spacing</w:t>
            </w:r>
          </w:p>
        </w:tc>
        <w:tc>
          <w:tcPr>
            <w:tcW w:type="dxa" w:w="1944"/>
            <w:vAlign w:val="center"/>
            <w:shd w:fill="FFFFFF"/>
          </w:tcPr>
          <w:p>
            <w:pPr>
              <w:keepNext w:val="0"/>
              <w:spacing w:before="0" w:after="0" w:line="252" w:lineRule="auto"/>
              <w:jc w:val="left"/>
            </w:pPr>
            <w:r>
              <w:rPr>
                <w:rFonts w:ascii="Calibri" w:hAnsi="Calibri"/>
                <w:b w:val="0"/>
                <w:color w:val="000000"/>
                <w:sz w:val="19"/>
              </w:rPr>
              <w:t>Flake8: style</w:t>
            </w:r>
          </w:p>
        </w:tc>
        <w:tc>
          <w:tcPr>
            <w:tcW w:type="dxa" w:w="1080"/>
            <w:vAlign w:val="center"/>
            <w:shd w:fill="FFFFFF"/>
          </w:tcPr>
          <w:p>
            <w:pPr>
              <w:keepNext w:val="0"/>
              <w:spacing w:before="0" w:after="0" w:line="252" w:lineRule="auto"/>
              <w:jc w:val="center"/>
            </w:pPr>
            <w:r>
              <w:rPr>
                <w:rFonts w:ascii="Calibri" w:hAnsi="Calibri"/>
                <w:b w:val="0"/>
                <w:color w:val="000000"/>
                <w:sz w:val="19"/>
              </w:rPr>
              <w:t>76</w:t>
            </w:r>
          </w:p>
        </w:tc>
        <w:tc>
          <w:tcPr>
            <w:tcW w:type="dxa" w:w="3816"/>
            <w:vAlign w:val="center"/>
            <w:shd w:fill="FFFFFF"/>
          </w:tcPr>
          <w:p>
            <w:pPr>
              <w:keepNext w:val="0"/>
              <w:spacing w:before="0" w:after="0" w:line="252" w:lineRule="auto"/>
              <w:jc w:val="left"/>
            </w:pPr>
            <w:r>
              <w:rPr>
                <w:rFonts w:ascii="Calibri" w:hAnsi="Calibri"/>
                <w:b w:val="0"/>
                <w:color w:val="000000"/>
                <w:sz w:val="19"/>
              </w:rPr>
              <w:t>Only one space precedes the inline comment.</w:t>
            </w:r>
          </w:p>
        </w:tc>
        <w:tc>
          <w:tcPr>
            <w:tcW w:type="dxa" w:w="5674"/>
            <w:vAlign w:val="center"/>
            <w:shd w:fill="FFFFFF"/>
          </w:tcPr>
          <w:p>
            <w:pPr>
              <w:keepNext w:val="0"/>
              <w:spacing w:before="0" w:after="0" w:line="252" w:lineRule="auto"/>
              <w:jc w:val="left"/>
            </w:pPr>
            <w:r>
              <w:rPr>
                <w:rFonts w:ascii="Calibri" w:hAnsi="Calibri"/>
                <w:b w:val="0"/>
                <w:color w:val="000000"/>
                <w:sz w:val="19"/>
              </w:rPr>
              <w:t>Insert the required two spaces.</w:t>
            </w:r>
          </w:p>
        </w:tc>
      </w:tr>
      <w:tr>
        <w:trPr>
          <w:cantSplit/>
        </w:trPr>
        <w:tc>
          <w:tcPr>
            <w:tcW w:type="dxa" w:w="2592"/>
            <w:vAlign w:val="center"/>
            <w:shd w:fill="F4F7FA"/>
          </w:tcPr>
          <w:p>
            <w:pPr>
              <w:keepNext w:val="0"/>
              <w:spacing w:before="0" w:after="0" w:line="252" w:lineRule="auto"/>
              <w:jc w:val="left"/>
            </w:pPr>
            <w:r>
              <w:rPr>
                <w:rFonts w:ascii="Calibri" w:hAnsi="Calibri"/>
                <w:b w:val="0"/>
                <w:color w:val="000000"/>
                <w:sz w:val="19"/>
              </w:rPr>
              <w:t>E225 - assignment spacing</w:t>
            </w:r>
          </w:p>
        </w:tc>
        <w:tc>
          <w:tcPr>
            <w:tcW w:type="dxa" w:w="1944"/>
            <w:vAlign w:val="center"/>
            <w:shd w:fill="F4F7FA"/>
          </w:tcPr>
          <w:p>
            <w:pPr>
              <w:keepNext w:val="0"/>
              <w:spacing w:before="0" w:after="0" w:line="252" w:lineRule="auto"/>
              <w:jc w:val="left"/>
            </w:pPr>
            <w:r>
              <w:rPr>
                <w:rFonts w:ascii="Calibri" w:hAnsi="Calibri"/>
                <w:b w:val="0"/>
                <w:color w:val="000000"/>
                <w:sz w:val="19"/>
              </w:rPr>
              <w:t>Flake8: style</w:t>
            </w:r>
          </w:p>
        </w:tc>
        <w:tc>
          <w:tcPr>
            <w:tcW w:type="dxa" w:w="1080"/>
            <w:vAlign w:val="center"/>
            <w:shd w:fill="F4F7FA"/>
          </w:tcPr>
          <w:p>
            <w:pPr>
              <w:keepNext w:val="0"/>
              <w:spacing w:before="0" w:after="0" w:line="252" w:lineRule="auto"/>
              <w:jc w:val="center"/>
            </w:pPr>
            <w:r>
              <w:rPr>
                <w:rFonts w:ascii="Calibri" w:hAnsi="Calibri"/>
                <w:b w:val="0"/>
                <w:color w:val="000000"/>
                <w:sz w:val="19"/>
              </w:rPr>
              <w:t>78</w:t>
            </w:r>
          </w:p>
        </w:tc>
        <w:tc>
          <w:tcPr>
            <w:tcW w:type="dxa" w:w="3816"/>
            <w:vAlign w:val="center"/>
            <w:shd w:fill="F4F7FA"/>
          </w:tcPr>
          <w:p>
            <w:pPr>
              <w:keepNext w:val="0"/>
              <w:spacing w:before="0" w:after="0" w:line="252" w:lineRule="auto"/>
              <w:jc w:val="left"/>
            </w:pPr>
            <w:r>
              <w:rPr>
                <w:rFonts w:ascii="Calibri" w:hAnsi="Calibri"/>
                <w:b w:val="0"/>
                <w:color w:val="000000"/>
                <w:sz w:val="19"/>
              </w:rPr>
              <w:t>Assignment has no surrounding spaces.</w:t>
            </w:r>
          </w:p>
        </w:tc>
        <w:tc>
          <w:tcPr>
            <w:tcW w:type="dxa" w:w="5674"/>
            <w:vAlign w:val="center"/>
            <w:shd w:fill="F4F7FA"/>
          </w:tcPr>
          <w:p>
            <w:pPr>
              <w:keepNext w:val="0"/>
              <w:spacing w:before="0" w:after="0" w:line="252" w:lineRule="auto"/>
              <w:jc w:val="left"/>
            </w:pPr>
            <w:r>
              <w:rPr>
                <w:rFonts w:ascii="Calibri" w:hAnsi="Calibri"/>
                <w:b w:val="0"/>
                <w:color w:val="000000"/>
                <w:sz w:val="19"/>
              </w:rPr>
              <w:t>Format the assignment with spaces and wrap the comprehension.</w:t>
            </w:r>
          </w:p>
        </w:tc>
      </w:tr>
      <w:tr>
        <w:trPr>
          <w:cantSplit/>
        </w:trPr>
        <w:tc>
          <w:tcPr>
            <w:tcW w:type="dxa" w:w="2592"/>
            <w:vAlign w:val="center"/>
            <w:shd w:fill="FFFFFF"/>
          </w:tcPr>
          <w:p>
            <w:pPr>
              <w:keepNext w:val="0"/>
              <w:spacing w:before="0" w:after="0" w:line="252" w:lineRule="auto"/>
              <w:jc w:val="left"/>
            </w:pPr>
            <w:r>
              <w:rPr>
                <w:rFonts w:ascii="Calibri" w:hAnsi="Calibri"/>
                <w:b w:val="0"/>
                <w:color w:val="000000"/>
                <w:sz w:val="19"/>
              </w:rPr>
              <w:t>E231 - comma spacing</w:t>
            </w:r>
          </w:p>
        </w:tc>
        <w:tc>
          <w:tcPr>
            <w:tcW w:type="dxa" w:w="1944"/>
            <w:vAlign w:val="center"/>
            <w:shd w:fill="FFFFFF"/>
          </w:tcPr>
          <w:p>
            <w:pPr>
              <w:keepNext w:val="0"/>
              <w:spacing w:before="0" w:after="0" w:line="252" w:lineRule="auto"/>
              <w:jc w:val="left"/>
            </w:pPr>
            <w:r>
              <w:rPr>
                <w:rFonts w:ascii="Calibri" w:hAnsi="Calibri"/>
                <w:b w:val="0"/>
                <w:color w:val="000000"/>
                <w:sz w:val="19"/>
              </w:rPr>
              <w:t>Flake8: style</w:t>
            </w:r>
          </w:p>
        </w:tc>
        <w:tc>
          <w:tcPr>
            <w:tcW w:type="dxa" w:w="1080"/>
            <w:vAlign w:val="center"/>
            <w:shd w:fill="FFFFFF"/>
          </w:tcPr>
          <w:p>
            <w:pPr>
              <w:keepNext w:val="0"/>
              <w:spacing w:before="0" w:after="0" w:line="252" w:lineRule="auto"/>
              <w:jc w:val="center"/>
            </w:pPr>
            <w:r>
              <w:rPr>
                <w:rFonts w:ascii="Calibri" w:hAnsi="Calibri"/>
                <w:b w:val="0"/>
                <w:color w:val="000000"/>
                <w:sz w:val="19"/>
              </w:rPr>
              <w:t>79</w:t>
            </w:r>
          </w:p>
        </w:tc>
        <w:tc>
          <w:tcPr>
            <w:tcW w:type="dxa" w:w="3816"/>
            <w:vAlign w:val="center"/>
            <w:shd w:fill="FFFFFF"/>
          </w:tcPr>
          <w:p>
            <w:pPr>
              <w:keepNext w:val="0"/>
              <w:spacing w:before="0" w:after="0" w:line="252" w:lineRule="auto"/>
              <w:jc w:val="left"/>
            </w:pPr>
            <w:r>
              <w:rPr>
                <w:rFonts w:ascii="Calibri" w:hAnsi="Calibri"/>
                <w:b w:val="0"/>
                <w:color w:val="000000"/>
                <w:sz w:val="19"/>
              </w:rPr>
              <w:t>The print call omits a space after a comma.</w:t>
            </w:r>
          </w:p>
        </w:tc>
        <w:tc>
          <w:tcPr>
            <w:tcW w:type="dxa" w:w="5674"/>
            <w:vAlign w:val="center"/>
            <w:shd w:fill="FFFFFF"/>
          </w:tcPr>
          <w:p>
            <w:pPr>
              <w:keepNext w:val="0"/>
              <w:spacing w:before="0" w:after="0" w:line="252" w:lineRule="auto"/>
              <w:jc w:val="left"/>
            </w:pPr>
            <w:r>
              <w:rPr>
                <w:rFonts w:ascii="Calibri" w:hAnsi="Calibri"/>
                <w:b w:val="0"/>
                <w:color w:val="000000"/>
                <w:sz w:val="19"/>
              </w:rPr>
              <w:t>Add the required space.</w:t>
            </w:r>
          </w:p>
        </w:tc>
      </w:tr>
      <w:tr>
        <w:trPr>
          <w:cantSplit/>
        </w:trPr>
        <w:tc>
          <w:tcPr>
            <w:tcW w:type="dxa" w:w="2592"/>
            <w:vAlign w:val="center"/>
            <w:shd w:fill="F4F7FA"/>
          </w:tcPr>
          <w:p>
            <w:pPr>
              <w:keepNext w:val="0"/>
              <w:spacing w:before="0" w:after="0" w:line="252" w:lineRule="auto"/>
              <w:jc w:val="left"/>
            </w:pPr>
            <w:r>
              <w:rPr>
                <w:rFonts w:ascii="Calibri" w:hAnsi="Calibri"/>
                <w:b w:val="0"/>
                <w:color w:val="000000"/>
                <w:sz w:val="19"/>
              </w:rPr>
              <w:t>E305 - missing blank lines</w:t>
            </w:r>
          </w:p>
        </w:tc>
        <w:tc>
          <w:tcPr>
            <w:tcW w:type="dxa" w:w="1944"/>
            <w:vAlign w:val="center"/>
            <w:shd w:fill="F4F7FA"/>
          </w:tcPr>
          <w:p>
            <w:pPr>
              <w:keepNext w:val="0"/>
              <w:spacing w:before="0" w:after="0" w:line="252" w:lineRule="auto"/>
              <w:jc w:val="left"/>
            </w:pPr>
            <w:r>
              <w:rPr>
                <w:rFonts w:ascii="Calibri" w:hAnsi="Calibri"/>
                <w:b w:val="0"/>
                <w:color w:val="000000"/>
                <w:sz w:val="19"/>
              </w:rPr>
              <w:t>Flake8: style</w:t>
            </w:r>
          </w:p>
        </w:tc>
        <w:tc>
          <w:tcPr>
            <w:tcW w:type="dxa" w:w="1080"/>
            <w:vAlign w:val="center"/>
            <w:shd w:fill="F4F7FA"/>
          </w:tcPr>
          <w:p>
            <w:pPr>
              <w:keepNext w:val="0"/>
              <w:spacing w:before="0" w:after="0" w:line="252" w:lineRule="auto"/>
              <w:jc w:val="center"/>
            </w:pPr>
            <w:r>
              <w:rPr>
                <w:rFonts w:ascii="Calibri" w:hAnsi="Calibri"/>
                <w:b w:val="0"/>
                <w:color w:val="000000"/>
                <w:sz w:val="19"/>
              </w:rPr>
              <w:t>80</w:t>
            </w:r>
          </w:p>
        </w:tc>
        <w:tc>
          <w:tcPr>
            <w:tcW w:type="dxa" w:w="3816"/>
            <w:vAlign w:val="center"/>
            <w:shd w:fill="F4F7FA"/>
          </w:tcPr>
          <w:p>
            <w:pPr>
              <w:keepNext w:val="0"/>
              <w:spacing w:before="0" w:after="0" w:line="252" w:lineRule="auto"/>
              <w:jc w:val="left"/>
            </w:pPr>
            <w:r>
              <w:rPr>
                <w:rFonts w:ascii="Calibri" w:hAnsi="Calibri"/>
                <w:b w:val="0"/>
                <w:color w:val="000000"/>
                <w:sz w:val="19"/>
              </w:rPr>
              <w:t>A module-level call immediately follows the function definition.</w:t>
            </w:r>
          </w:p>
        </w:tc>
        <w:tc>
          <w:tcPr>
            <w:tcW w:type="dxa" w:w="5674"/>
            <w:vAlign w:val="center"/>
            <w:shd w:fill="F4F7FA"/>
          </w:tcPr>
          <w:p>
            <w:pPr>
              <w:keepNext w:val="0"/>
              <w:spacing w:before="0" w:after="0" w:line="252" w:lineRule="auto"/>
              <w:jc w:val="left"/>
            </w:pPr>
            <w:r>
              <w:rPr>
                <w:rFonts w:ascii="Calibri" w:hAnsi="Calibri"/>
                <w:b w:val="0"/>
                <w:color w:val="000000"/>
                <w:sz w:val="19"/>
              </w:rPr>
              <w:t>Separate top-level blocks with two blank lines and use an if __name__ == "__main__" guard.</w:t>
            </w:r>
          </w:p>
        </w:tc>
      </w:tr>
    </w:tbl>
    <w:p>
      <w:pPr>
        <w:pStyle w:val="Heading1"/>
      </w:pPr>
      <w:r>
        <w:t>Verification</w:t>
      </w:r>
    </w:p>
    <w:p>
      <w:r>
        <w:t>Pylint improved from 5.69/10 with 25 messages to 10.00/10 with no messages. Bandit findings fell from four (one high, one medium and two low) to zero. Flake8 findings fell from four to zero. No rules were disabled. The preserved before and after tool reports provide the detailed evidence.</w:t>
      </w:r>
    </w:p>
    <w:p>
      <w:r>
        <w:t>Bandit severities above are taken from the tool output. The priority labels for Pylint are assessments for this lab; Pylint and Flake8 do not use the Bandit severity scale.</w:t>
      </w:r>
    </w:p>
    <w:sectPr w:rsidR="00FC693F" w:rsidRPr="0006063C" w:rsidSect="00034616">
      <w:footerReference w:type="default" r:id="rId9"/>
      <w:pgSz w:w="16834" w:h="11909" w:orient="landscape"/>
      <w:pgMar w:top="792" w:right="864" w:bottom="792" w:left="864"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Static Code Analysis Issues</dc:title>
  <dc:subject>Issues identified by Pylint Bandit and Flake8</dc:subject>
  <dc:creator>PES1UG24CS578</dc:creator>
  <cp:keywords/>
  <dc:description>generated by python-docx</dc:description>
  <cp:lastModifiedBy/>
  <cp:revision>1</cp:revision>
  <dcterms:created xsi:type="dcterms:W3CDTF">2013-12-23T23:15:00Z</dcterms:created>
  <dcterms:modified xsi:type="dcterms:W3CDTF">2013-12-23T23:15:00Z</dcterms:modified>
  <cp:category/>
</cp:coreProperties>
</file>