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B51C" w14:textId="5267EFB8" w:rsidR="004D6E8A" w:rsidRPr="006B779D" w:rsidRDefault="008D15EF" w:rsidP="006B779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  <w:u w:val="single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8"/>
          <w:szCs w:val="28"/>
          <w:u w:val="single"/>
          <w:lang w:eastAsia="fr-FR"/>
        </w:rPr>
        <w:t>Éligibilité</w:t>
      </w:r>
      <w:r w:rsidR="004D6E8A" w:rsidRPr="006B779D">
        <w:rPr>
          <w:rFonts w:ascii="Arial" w:eastAsia="Times New Roman" w:hAnsi="Arial" w:cs="Arial"/>
          <w:b/>
          <w:bCs/>
          <w:sz w:val="28"/>
          <w:szCs w:val="28"/>
          <w:u w:val="single"/>
          <w:lang w:eastAsia="fr-FR"/>
        </w:rPr>
        <w:t xml:space="preserve"> par service : Vérifier mon éligibilité</w:t>
      </w:r>
    </w:p>
    <w:p w14:paraId="50DE5D5D" w14:textId="2CA58D50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Avance sur facture</w:t>
      </w:r>
      <w:r w:rsidR="006B779D"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 : 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>prestations ou livraisons déjà réalisées, en attente de règlement.</w:t>
      </w:r>
    </w:p>
    <w:p w14:paraId="7DB09013" w14:textId="77777777" w:rsidR="004D6E8A" w:rsidRPr="006B779D" w:rsidRDefault="004D6E8A" w:rsidP="006B77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Marché (public ou privé) dont l'exécution est achevée, au moins partiellement</w:t>
      </w:r>
    </w:p>
    <w:p w14:paraId="79941A31" w14:textId="77777777" w:rsidR="004D6E8A" w:rsidRPr="006B779D" w:rsidRDefault="004D6E8A" w:rsidP="006B77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Facture émise et </w:t>
      </w:r>
      <w:r w:rsidRPr="006B779D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certifiée par le donneur d'ordre</w:t>
      </w:r>
    </w:p>
    <w:p w14:paraId="41BDBC37" w14:textId="77777777" w:rsidR="004D6E8A" w:rsidRPr="006B779D" w:rsidRDefault="004D6E8A" w:rsidP="006B77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Créance non encore réglée, dans les délais de paiement en cours</w:t>
      </w:r>
    </w:p>
    <w:p w14:paraId="0B20A8A7" w14:textId="77650955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Avance sur décomptes</w:t>
      </w:r>
      <w:r w:rsidRPr="006B779D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: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marché à paiement échelonné par phases.</w:t>
      </w:r>
    </w:p>
    <w:p w14:paraId="7EF2BA33" w14:textId="77777777" w:rsidR="004D6E8A" w:rsidRPr="006B779D" w:rsidRDefault="004D6E8A" w:rsidP="006B7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Marché dont le mode de paiement prévoit des tranches/phases successives (typique des marchés de travaux)</w:t>
      </w:r>
    </w:p>
    <w:p w14:paraId="40DE24D2" w14:textId="77777777" w:rsidR="004D6E8A" w:rsidRPr="006B779D" w:rsidRDefault="004D6E8A" w:rsidP="006B7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Décompte introduit auprès du donneur d'ordre, correspondant à un avancement réel des travaux/prestations</w:t>
      </w:r>
    </w:p>
    <w:p w14:paraId="25377484" w14:textId="77777777" w:rsidR="004D6E8A" w:rsidRPr="006B779D" w:rsidRDefault="004D6E8A" w:rsidP="006B7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Exécution en cours, sans rupture entre deux phases</w:t>
      </w:r>
    </w:p>
    <w:p w14:paraId="012884CC" w14:textId="14C1D05B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Rachat de créances</w:t>
      </w:r>
      <w:r w:rsidR="006B779D"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 : 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>créance détenue sur un donneur d'ordre, rachetée avec décote négociée.</w:t>
      </w:r>
    </w:p>
    <w:p w14:paraId="0A7B292E" w14:textId="77777777" w:rsidR="004D6E8A" w:rsidRPr="006B779D" w:rsidRDefault="004D6E8A" w:rsidP="006B77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Créance certaine et identifiable sur un donneur d'ordre (public ou privé)</w:t>
      </w:r>
    </w:p>
    <w:p w14:paraId="31E77D7D" w14:textId="77777777" w:rsidR="004D6E8A" w:rsidRPr="006B779D" w:rsidRDefault="004D6E8A" w:rsidP="006B77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Entreprise acceptant une décote négociée d'un commun accord</w:t>
      </w:r>
    </w:p>
    <w:p w14:paraId="18C5F719" w14:textId="77777777" w:rsidR="004D6E8A" w:rsidRPr="006B779D" w:rsidRDefault="004D6E8A" w:rsidP="006B77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Objectif d'accélérer le cycle de trésorerie / réduire l'exposition au risque de retard de paiement</w:t>
      </w:r>
    </w:p>
    <w:p w14:paraId="4479EC91" w14:textId="4B8CE4A6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Financement de l'exploitation</w:t>
      </w:r>
      <w:r w:rsidR="006B779D"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r w:rsidRPr="006B779D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: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couverture des charges incompressibles </w:t>
      </w:r>
      <w:r w:rsidR="00C301C8" w:rsidRPr="006B779D">
        <w:rPr>
          <w:rFonts w:ascii="Arial" w:eastAsia="Times New Roman" w:hAnsi="Arial" w:cs="Arial"/>
          <w:sz w:val="24"/>
          <w:szCs w:val="24"/>
          <w:lang w:eastAsia="fr-FR"/>
        </w:rPr>
        <w:t>(matières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premières, frais de fonctionnement, charges sociales</w:t>
      </w:r>
      <w:r w:rsidR="00C301C8">
        <w:rPr>
          <w:rFonts w:ascii="Arial" w:eastAsia="Times New Roman" w:hAnsi="Arial" w:cs="Arial"/>
          <w:sz w:val="24"/>
          <w:szCs w:val="24"/>
          <w:lang w:eastAsia="fr-FR"/>
        </w:rPr>
        <w:t>, Cycle cliente et fournisseurs, stock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14:paraId="14754787" w14:textId="77777777" w:rsidR="004D6E8A" w:rsidRPr="006B779D" w:rsidRDefault="004D6E8A" w:rsidP="006B77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Entreprise en activité avec charges courantes récurrentes à honorer</w:t>
      </w:r>
    </w:p>
    <w:p w14:paraId="7245B924" w14:textId="5085BC0F" w:rsidR="004D6E8A" w:rsidRPr="006B779D" w:rsidRDefault="004D6E8A" w:rsidP="006B77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Besoin justifié par des pièces </w:t>
      </w:r>
      <w:r w:rsidR="00C301C8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C301C8" w:rsidRPr="006B779D">
        <w:rPr>
          <w:rFonts w:ascii="Arial" w:eastAsia="Times New Roman" w:hAnsi="Arial" w:cs="Arial"/>
          <w:sz w:val="24"/>
          <w:szCs w:val="24"/>
          <w:lang w:eastAsia="fr-FR"/>
        </w:rPr>
        <w:t>factures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fournisseurs, charges sociales, etc.)</w:t>
      </w:r>
    </w:p>
    <w:p w14:paraId="77DC95A2" w14:textId="77777777" w:rsidR="004D6E8A" w:rsidRPr="006B779D" w:rsidRDefault="004D6E8A" w:rsidP="006B77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Continuité d'activité menacée par un décalage de trésorerie plutôt que par un déficit structurel</w:t>
      </w:r>
    </w:p>
    <w:p w14:paraId="1E9E1222" w14:textId="11EF4806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Financement de l'investissement</w:t>
      </w:r>
      <w:r w:rsidR="006B779D"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r w:rsidRPr="006B779D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: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projets à long terme adaptés "aux ambitions et à la capacité de remboursement" de l'entreprise.</w:t>
      </w:r>
    </w:p>
    <w:p w14:paraId="312A5C33" w14:textId="77777777" w:rsidR="004D6E8A" w:rsidRPr="006B779D" w:rsidRDefault="004D6E8A" w:rsidP="006B77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Projet identifié : acquisition d'équipements, développement de capacités productives, modernisation d'infrastructures</w:t>
      </w:r>
    </w:p>
    <w:p w14:paraId="411FCCB2" w14:textId="55C94660" w:rsidR="004D6E8A" w:rsidRPr="006B779D" w:rsidRDefault="004D6E8A" w:rsidP="006B77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Capacité de remboursement démontrée </w:t>
      </w:r>
    </w:p>
    <w:p w14:paraId="7BFC9D08" w14:textId="77777777" w:rsidR="004D6E8A" w:rsidRPr="006B779D" w:rsidRDefault="004D6E8A" w:rsidP="006B77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Cohérence entre l'investissement et la stratégie de croissance de la PME</w:t>
      </w:r>
    </w:p>
    <w:p w14:paraId="04542F38" w14:textId="6078A713" w:rsidR="004D6E8A" w:rsidRPr="006B779D" w:rsidRDefault="004D6E8A" w:rsidP="006B779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Financement de l'agriculture</w:t>
      </w:r>
      <w:r w:rsidR="006B779D" w:rsidRPr="006B779D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r w:rsidRPr="006B779D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:</w:t>
      </w:r>
      <w:r w:rsidRPr="006B779D">
        <w:rPr>
          <w:rFonts w:ascii="Arial" w:eastAsia="Times New Roman" w:hAnsi="Arial" w:cs="Arial"/>
          <w:sz w:val="24"/>
          <w:szCs w:val="24"/>
          <w:lang w:eastAsia="fr-FR"/>
        </w:rPr>
        <w:t xml:space="preserve"> acteurs du secteur agricole confrontés à l'accès limité au financement, à la vulnérabilité climatique et au manque d'équipements.</w:t>
      </w:r>
    </w:p>
    <w:p w14:paraId="2CA43131" w14:textId="77777777" w:rsidR="004D6E8A" w:rsidRPr="006B779D" w:rsidRDefault="004D6E8A" w:rsidP="006B77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Acteur du secteur agricole (exploitant, coopérative, structure de transformation)</w:t>
      </w:r>
    </w:p>
    <w:p w14:paraId="31FFE0F8" w14:textId="77777777" w:rsidR="004D6E8A" w:rsidRPr="006B779D" w:rsidRDefault="004D6E8A" w:rsidP="006B77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Besoin lié à l'un des postes cités : équipements, infrastructures de stockage/transformation, semences, intrants</w:t>
      </w:r>
    </w:p>
    <w:p w14:paraId="2FEC8031" w14:textId="5429FBAD" w:rsidR="00EE1AF3" w:rsidRPr="006B779D" w:rsidRDefault="004D6E8A" w:rsidP="006B77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6B779D">
        <w:rPr>
          <w:rFonts w:ascii="Arial" w:eastAsia="Times New Roman" w:hAnsi="Arial" w:cs="Arial"/>
          <w:sz w:val="24"/>
          <w:szCs w:val="24"/>
          <w:lang w:eastAsia="fr-FR"/>
        </w:rPr>
        <w:t>Volonté de couvrir les risques de fluctuation de marché ou climatiques associés</w:t>
      </w:r>
    </w:p>
    <w:sectPr w:rsidR="00EE1AF3" w:rsidRPr="006B7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3C5"/>
    <w:multiLevelType w:val="multilevel"/>
    <w:tmpl w:val="CAE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6CAA"/>
    <w:multiLevelType w:val="multilevel"/>
    <w:tmpl w:val="075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07C32"/>
    <w:multiLevelType w:val="hybridMultilevel"/>
    <w:tmpl w:val="F61C4C4E"/>
    <w:lvl w:ilvl="0" w:tplc="2CC01A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45912"/>
    <w:multiLevelType w:val="multilevel"/>
    <w:tmpl w:val="09D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07158"/>
    <w:multiLevelType w:val="multilevel"/>
    <w:tmpl w:val="1B0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168F9"/>
    <w:multiLevelType w:val="multilevel"/>
    <w:tmpl w:val="C7F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57E06"/>
    <w:multiLevelType w:val="multilevel"/>
    <w:tmpl w:val="109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808579">
    <w:abstractNumId w:val="3"/>
  </w:num>
  <w:num w:numId="2" w16cid:durableId="2041975087">
    <w:abstractNumId w:val="0"/>
  </w:num>
  <w:num w:numId="3" w16cid:durableId="1837575292">
    <w:abstractNumId w:val="6"/>
  </w:num>
  <w:num w:numId="4" w16cid:durableId="1257060921">
    <w:abstractNumId w:val="4"/>
  </w:num>
  <w:num w:numId="5" w16cid:durableId="1606380254">
    <w:abstractNumId w:val="5"/>
  </w:num>
  <w:num w:numId="6" w16cid:durableId="1966813987">
    <w:abstractNumId w:val="1"/>
  </w:num>
  <w:num w:numId="7" w16cid:durableId="1018775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8A"/>
    <w:rsid w:val="004C6F0E"/>
    <w:rsid w:val="004D6E8A"/>
    <w:rsid w:val="006B779D"/>
    <w:rsid w:val="008D15EF"/>
    <w:rsid w:val="008F16C7"/>
    <w:rsid w:val="00C301C8"/>
    <w:rsid w:val="00EA6B82"/>
    <w:rsid w:val="00E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4C74"/>
  <w15:chartTrackingRefBased/>
  <w15:docId w15:val="{F1F07C5F-4422-4544-9D39-BF24DC0D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CF774087FEB4FA75E87C2EF87792A" ma:contentTypeVersion="13" ma:contentTypeDescription="Crée un document." ma:contentTypeScope="" ma:versionID="174eebc8da771bde7e493f667b4e7cd7">
  <xsd:schema xmlns:xsd="http://www.w3.org/2001/XMLSchema" xmlns:xs="http://www.w3.org/2001/XMLSchema" xmlns:p="http://schemas.microsoft.com/office/2006/metadata/properties" xmlns:ns2="d19407f6-c921-44a1-b585-ead61e7a3459" xmlns:ns3="ac006ac0-7496-4b68-90a3-32f4619d30fe" targetNamespace="http://schemas.microsoft.com/office/2006/metadata/properties" ma:root="true" ma:fieldsID="8ec4384cb4d75ad71f329d7fbfe893a5" ns2:_="" ns3:_="">
    <xsd:import namespace="d19407f6-c921-44a1-b585-ead61e7a3459"/>
    <xsd:import namespace="ac006ac0-7496-4b68-90a3-32f4619d3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7f6-c921-44a1-b585-ead61e7a3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f9a39de-f8b1-4e5d-a2de-b6745b9f5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06ac0-7496-4b68-90a3-32f4619d30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b24fc8-077b-4d9a-9b36-cd52f94eb6bf}" ma:internalName="TaxCatchAll" ma:showField="CatchAllData" ma:web="ac006ac0-7496-4b68-90a3-32f4619d3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06ac0-7496-4b68-90a3-32f4619d30fe" xsi:nil="true"/>
    <lcf76f155ced4ddcb4097134ff3c332f xmlns="d19407f6-c921-44a1-b585-ead61e7a34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443D8A-BEEA-455F-B64B-ED570E402FE0}"/>
</file>

<file path=customXml/itemProps2.xml><?xml version="1.0" encoding="utf-8"?>
<ds:datastoreItem xmlns:ds="http://schemas.openxmlformats.org/officeDocument/2006/customXml" ds:itemID="{DFACD9DE-438D-47C6-9254-5581623D4966}"/>
</file>

<file path=customXml/itemProps3.xml><?xml version="1.0" encoding="utf-8"?>
<ds:datastoreItem xmlns:ds="http://schemas.openxmlformats.org/officeDocument/2006/customXml" ds:itemID="{92129EFA-961D-4A2C-9735-5A60111C7A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Rouguiyatou DIA</dc:creator>
  <cp:keywords/>
  <dc:description/>
  <cp:lastModifiedBy>Rouguiyatou DIA</cp:lastModifiedBy>
  <cp:revision>2</cp:revision>
  <dcterms:created xsi:type="dcterms:W3CDTF">2026-07-31T09:58:00Z</dcterms:created>
  <dcterms:modified xsi:type="dcterms:W3CDTF">2026-08-04T12:07:00Z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0x0101000A2CF774087FEB4FA75E87C2EF87792A</vt:lpwstr>
  </property>
</Properties>
</file>