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45B9D" w14:textId="77777777" w:rsidR="00CA7971" w:rsidRDefault="00CA7971" w:rsidP="00CA7971">
      <w:pPr>
        <w:jc w:val="center"/>
        <w:rPr>
          <w:rFonts w:ascii="Helvetica" w:eastAsia="Calibri" w:hAnsi="Helvetica" w:cs="Helvetica"/>
          <w:b/>
          <w:bCs/>
          <w:color w:val="000000"/>
          <w:kern w:val="0"/>
          <w:sz w:val="28"/>
          <w:szCs w:val="28"/>
          <w:lang w:eastAsia="zh-CN" w:bidi="hi-IN"/>
          <w14:ligatures w14:val="none"/>
        </w:rPr>
      </w:pPr>
      <w:r>
        <w:rPr>
          <w:rFonts w:ascii="Helvetica" w:eastAsia="Calibri" w:hAnsi="Helvetica" w:cs="Helvetica"/>
          <w:b/>
          <w:bCs/>
          <w:color w:val="000000"/>
          <w:kern w:val="0"/>
          <w:sz w:val="28"/>
          <w:szCs w:val="28"/>
          <w:lang w:eastAsia="zh-CN" w:bidi="hi-IN"/>
          <w14:ligatures w14:val="none"/>
        </w:rPr>
        <w:t>Convention de partenariat CDMP SA &amp; FERA</w:t>
      </w:r>
    </w:p>
    <w:p w14:paraId="27FDE138" w14:textId="1A5626F2" w:rsidR="00D30648" w:rsidRDefault="00CA7971" w:rsidP="00CA7971">
      <w:pPr>
        <w:jc w:val="both"/>
      </w:pPr>
      <w:r>
        <w:t>Le 2 avril 2024, la Caisse des Marchés Publics (CDMP), filiale de la Caisse des Dépôts et Consignations (CDC), a conclu un accord de partenariat avec le Fonds d'Entretien Routier Autonome (FERA). Cet accord a pour objet de proposer des solutions de financement complémentaires aux PME attributaires de marchés financés par le FERA, dans le strict respect du code des marchés publics de la République du Sénégal.</w:t>
      </w:r>
    </w:p>
    <w:p w14:paraId="69E4D2A3" w14:textId="77777777" w:rsidR="00CA7971" w:rsidRDefault="00CA7971" w:rsidP="00CA7971">
      <w:pPr>
        <w:jc w:val="both"/>
      </w:pPr>
    </w:p>
    <w:p w14:paraId="1CE56612" w14:textId="77777777" w:rsidR="0075299C" w:rsidRDefault="0075299C" w:rsidP="0075299C">
      <w:pPr>
        <w:jc w:val="center"/>
        <w:rPr>
          <w:rFonts w:ascii="Helvetica" w:eastAsia="Calibri" w:hAnsi="Helvetica" w:cs="Helvetica"/>
          <w:b/>
          <w:bCs/>
          <w:color w:val="000000"/>
          <w:kern w:val="0"/>
          <w:sz w:val="28"/>
          <w:szCs w:val="28"/>
          <w:lang w:eastAsia="zh-CN" w:bidi="hi-IN"/>
          <w14:ligatures w14:val="none"/>
        </w:rPr>
      </w:pPr>
      <w:r>
        <w:rPr>
          <w:rFonts w:ascii="Helvetica" w:eastAsia="Calibri" w:hAnsi="Helvetica" w:cs="Helvetica"/>
          <w:b/>
          <w:bCs/>
          <w:color w:val="000000"/>
          <w:kern w:val="0"/>
          <w:sz w:val="28"/>
          <w:szCs w:val="28"/>
          <w:lang w:eastAsia="zh-CN" w:bidi="hi-IN"/>
          <w14:ligatures w14:val="none"/>
        </w:rPr>
        <w:t>Convention de partenariat CDMP SA &amp; ORYA TECHNOLOGIES</w:t>
      </w:r>
    </w:p>
    <w:p w14:paraId="464EA449" w14:textId="7AEA1338" w:rsidR="00CA7971" w:rsidRDefault="0075299C" w:rsidP="00CA7971">
      <w:pPr>
        <w:jc w:val="both"/>
      </w:pPr>
      <w:r>
        <w:t>Le 15 mai 2025, la Caisse des Marchés Publics (CDMP), filiale de la Caisse des Dépôts et Consignations (CDC), et ORYA TECHNOLOGIES ont conclu un accord de partenariat. Il a pour objet de déployer, via la plateforme FINTRA, un dispositif d'avances sur salaire destiné aux salariés des structures adhérentes.</w:t>
      </w:r>
    </w:p>
    <w:p w14:paraId="2CC5A2C4" w14:textId="77777777" w:rsidR="0075299C" w:rsidRDefault="0075299C" w:rsidP="00CA7971">
      <w:pPr>
        <w:jc w:val="both"/>
      </w:pPr>
    </w:p>
    <w:p w14:paraId="029FB43C" w14:textId="77777777" w:rsidR="0075299C" w:rsidRDefault="0075299C" w:rsidP="0075299C">
      <w:pPr>
        <w:jc w:val="center"/>
        <w:rPr>
          <w:rFonts w:ascii="Helvetica" w:eastAsia="Calibri" w:hAnsi="Helvetica" w:cs="Helvetica"/>
          <w:b/>
          <w:bCs/>
          <w:color w:val="000000"/>
          <w:kern w:val="0"/>
          <w:sz w:val="28"/>
          <w:szCs w:val="28"/>
          <w:lang w:eastAsia="zh-CN" w:bidi="hi-IN"/>
          <w14:ligatures w14:val="none"/>
        </w:rPr>
      </w:pPr>
      <w:r>
        <w:rPr>
          <w:rFonts w:ascii="Helvetica" w:eastAsia="Calibri" w:hAnsi="Helvetica" w:cs="Helvetica"/>
          <w:b/>
          <w:bCs/>
          <w:color w:val="000000"/>
          <w:kern w:val="0"/>
          <w:sz w:val="28"/>
          <w:szCs w:val="28"/>
          <w:lang w:eastAsia="zh-CN" w:bidi="hi-IN"/>
          <w14:ligatures w14:val="none"/>
        </w:rPr>
        <w:t>Convention de partenariat CDMP SA &amp; PROBOUTIK</w:t>
      </w:r>
    </w:p>
    <w:p w14:paraId="28C17FC7" w14:textId="7DC13FF1" w:rsidR="0075299C" w:rsidRDefault="0075299C" w:rsidP="00CA7971">
      <w:pPr>
        <w:jc w:val="both"/>
      </w:pPr>
      <w:r>
        <w:t>La Caisse des Marchés Publics (CDMP), filiale de la Caisse des Dépôts et Consignations (CDC), et ORYA TECHNOLOGIES ont conclu un accord de partenariat le 15 mai 2025. Il a pour objet de déployer, via la plateforme FINTRA, un dispositif d'avances sur salaire destiné aux salariés des structures adhérentes.</w:t>
      </w:r>
    </w:p>
    <w:p w14:paraId="12C22EB7" w14:textId="77777777" w:rsidR="0075299C" w:rsidRDefault="0075299C" w:rsidP="00CA7971">
      <w:pPr>
        <w:jc w:val="both"/>
      </w:pPr>
    </w:p>
    <w:p w14:paraId="686B88BA" w14:textId="77777777" w:rsidR="0075299C" w:rsidRDefault="0075299C" w:rsidP="0075299C">
      <w:pPr>
        <w:jc w:val="center"/>
        <w:rPr>
          <w:rFonts w:ascii="Helvetica" w:eastAsia="Calibri" w:hAnsi="Helvetica" w:cs="Helvetica"/>
          <w:b/>
          <w:bCs/>
          <w:color w:val="000000"/>
          <w:kern w:val="0"/>
          <w:sz w:val="28"/>
          <w:szCs w:val="28"/>
          <w:lang w:eastAsia="zh-CN" w:bidi="hi-IN"/>
          <w14:ligatures w14:val="none"/>
        </w:rPr>
      </w:pPr>
      <w:r>
        <w:rPr>
          <w:rFonts w:ascii="Helvetica" w:eastAsia="Calibri" w:hAnsi="Helvetica" w:cs="Helvetica"/>
          <w:b/>
          <w:bCs/>
          <w:color w:val="000000"/>
          <w:kern w:val="0"/>
          <w:sz w:val="28"/>
          <w:szCs w:val="28"/>
          <w:lang w:eastAsia="zh-CN" w:bidi="hi-IN"/>
          <w14:ligatures w14:val="none"/>
        </w:rPr>
        <w:t>Convention CDMP SA &amp; Al Rahma Microfinance Islamique</w:t>
      </w:r>
    </w:p>
    <w:p w14:paraId="58154F4B" w14:textId="26237825" w:rsidR="0075299C" w:rsidRDefault="0075299C" w:rsidP="00CA7971">
      <w:pPr>
        <w:jc w:val="both"/>
      </w:pPr>
      <w:r>
        <w:t>La Caisse des Marchés Publics (CDMP), filiale de la Caisse des Dépôts et Consignations (CDC) Sénégal, et Al Rahma Microfinance Islamique, filiale de la Banque Nationale de Développement Économique (BNDE), ont scellé un partenariat stratégique par une convention signée le 29 août 2025. Cet accord traduit leur engagement commun en faveur des politiques publiques de développement de l'entrepreneuriat. Il s'est concrétisé par la mise en place d'une première ligne de financement au profit d'Al Rahma Microfinance Islamique, destinée aux TPE et PME.</w:t>
      </w:r>
    </w:p>
    <w:p w14:paraId="41D222DC" w14:textId="77777777" w:rsidR="0075299C" w:rsidRDefault="0075299C" w:rsidP="00CA7971">
      <w:pPr>
        <w:jc w:val="both"/>
      </w:pPr>
    </w:p>
    <w:p w14:paraId="09C1AF52" w14:textId="2E80D912" w:rsidR="0075299C" w:rsidRDefault="00CF7017" w:rsidP="0075299C">
      <w:pPr>
        <w:jc w:val="center"/>
        <w:rPr>
          <w:rFonts w:ascii="Helvetica" w:eastAsia="Calibri" w:hAnsi="Helvetica" w:cs="Helvetica"/>
          <w:b/>
          <w:bCs/>
          <w:color w:val="000000"/>
          <w:kern w:val="0"/>
          <w:sz w:val="28"/>
          <w:szCs w:val="28"/>
          <w:lang w:eastAsia="zh-CN" w:bidi="hi-IN"/>
          <w14:ligatures w14:val="none"/>
        </w:rPr>
      </w:pPr>
      <w:r>
        <w:rPr>
          <w:rFonts w:ascii="Helvetica" w:eastAsia="Calibri" w:hAnsi="Helvetica" w:cs="Helvetica"/>
          <w:b/>
          <w:bCs/>
          <w:color w:val="000000"/>
          <w:kern w:val="0"/>
          <w:sz w:val="28"/>
          <w:szCs w:val="28"/>
          <w:lang w:eastAsia="zh-CN" w:bidi="hi-IN"/>
          <w14:ligatures w14:val="none"/>
        </w:rPr>
        <w:t xml:space="preserve">Convention De Refinancement Entre </w:t>
      </w:r>
      <w:proofErr w:type="spellStart"/>
      <w:r>
        <w:rPr>
          <w:rFonts w:ascii="Helvetica" w:eastAsia="Calibri" w:hAnsi="Helvetica" w:cs="Helvetica"/>
          <w:b/>
          <w:bCs/>
          <w:color w:val="000000"/>
          <w:kern w:val="0"/>
          <w:sz w:val="28"/>
          <w:szCs w:val="28"/>
          <w:lang w:eastAsia="zh-CN" w:bidi="hi-IN"/>
          <w14:ligatures w14:val="none"/>
        </w:rPr>
        <w:t>Cdmp</w:t>
      </w:r>
      <w:proofErr w:type="spellEnd"/>
      <w:r>
        <w:rPr>
          <w:rFonts w:ascii="Helvetica" w:eastAsia="Calibri" w:hAnsi="Helvetica" w:cs="Helvetica"/>
          <w:b/>
          <w:bCs/>
          <w:color w:val="000000"/>
          <w:kern w:val="0"/>
          <w:sz w:val="28"/>
          <w:szCs w:val="28"/>
          <w:lang w:eastAsia="zh-CN" w:bidi="hi-IN"/>
          <w14:ligatures w14:val="none"/>
        </w:rPr>
        <w:t xml:space="preserve"> Sa &amp; U-</w:t>
      </w:r>
      <w:proofErr w:type="spellStart"/>
      <w:r>
        <w:rPr>
          <w:rFonts w:ascii="Helvetica" w:eastAsia="Calibri" w:hAnsi="Helvetica" w:cs="Helvetica"/>
          <w:b/>
          <w:bCs/>
          <w:color w:val="000000"/>
          <w:kern w:val="0"/>
          <w:sz w:val="28"/>
          <w:szCs w:val="28"/>
          <w:lang w:eastAsia="zh-CN" w:bidi="hi-IN"/>
          <w14:ligatures w14:val="none"/>
        </w:rPr>
        <w:t>Imcec</w:t>
      </w:r>
      <w:proofErr w:type="spellEnd"/>
    </w:p>
    <w:p w14:paraId="60C62038" w14:textId="2D9F23EA" w:rsidR="0075299C" w:rsidRDefault="00AE3D98" w:rsidP="0075299C">
      <w:r>
        <w:t xml:space="preserve">La Caisse des Marchés Publics (CDMP), filiale de la Caisse des Dépôts et Consignations (CDC) Sénégal, et l'Union des Institutions Mutualistes Communautaires d'Épargne et de Crédit (U-IMCEC) ont conclu une convention de partenariat le 10 septembre 2025. Celle-ci prévoit la mise en place d'une ligne de refinancement destinée à soutenir l'investissement et le fonds de roulement des GIE bénéficiaires du « Projet de redynamisation des blocs maraîchers », mené dans la zone Sud du Sénégal dans le cadre du programme Millennium Challenge </w:t>
      </w:r>
      <w:proofErr w:type="spellStart"/>
      <w:r>
        <w:t>Account</w:t>
      </w:r>
      <w:proofErr w:type="spellEnd"/>
      <w:r>
        <w:t xml:space="preserve"> (MCA).</w:t>
      </w:r>
    </w:p>
    <w:p w14:paraId="4B5AE356" w14:textId="77777777" w:rsidR="00AE3D98" w:rsidRDefault="00AE3D98" w:rsidP="0075299C"/>
    <w:p w14:paraId="4BB04A4A" w14:textId="77777777" w:rsidR="00AE3D98" w:rsidRDefault="00AE3D98" w:rsidP="00AE3D98">
      <w:pPr>
        <w:jc w:val="center"/>
        <w:rPr>
          <w:rFonts w:ascii="Helvetica" w:eastAsia="Calibri" w:hAnsi="Helvetica" w:cs="Helvetica"/>
          <w:b/>
          <w:bCs/>
          <w:color w:val="000000"/>
          <w:kern w:val="0"/>
          <w:sz w:val="28"/>
          <w:szCs w:val="28"/>
          <w:lang w:eastAsia="zh-CN" w:bidi="hi-IN"/>
          <w14:ligatures w14:val="none"/>
        </w:rPr>
      </w:pPr>
      <w:r>
        <w:rPr>
          <w:rFonts w:ascii="Helvetica" w:eastAsia="Calibri" w:hAnsi="Helvetica" w:cs="Helvetica"/>
          <w:b/>
          <w:bCs/>
          <w:color w:val="000000"/>
          <w:kern w:val="0"/>
          <w:sz w:val="28"/>
          <w:szCs w:val="28"/>
          <w:lang w:eastAsia="zh-CN" w:bidi="hi-IN"/>
          <w14:ligatures w14:val="none"/>
        </w:rPr>
        <w:t>CONVENTION CDMP SA &amp; FONAMIF</w:t>
      </w:r>
    </w:p>
    <w:p w14:paraId="741D09D7" w14:textId="47815F14" w:rsidR="0075299C" w:rsidRPr="00CF7017" w:rsidRDefault="00386199" w:rsidP="00CA7971">
      <w:pPr>
        <w:jc w:val="both"/>
        <w:rPr>
          <w:rFonts w:ascii="Helvetica" w:eastAsia="Calibri" w:hAnsi="Helvetica" w:cs="Helvetica"/>
          <w:b/>
          <w:bCs/>
          <w:color w:val="000000"/>
          <w:kern w:val="0"/>
          <w:sz w:val="28"/>
          <w:szCs w:val="28"/>
          <w:lang w:eastAsia="zh-CN" w:bidi="hi-IN"/>
          <w14:ligatures w14:val="none"/>
        </w:rPr>
      </w:pPr>
      <w:r>
        <w:t>Le 7 août 2026, la CDMP (filiale de la CDC Sénégal) et le FONAMIF ont signé une convention-cadre instituant une ligne de refinancement de 2 milliards de FCFA pour les IMF. Adossée au PACTIFU et à la Vision Sénégal 2050, elle doit renforcer le financement des entrepreneurs, PME, femmes, jeunes, coopératives et acteurs de l’ESS, afin de promouvoir l’inclusion financière.</w:t>
      </w:r>
    </w:p>
    <w:sectPr w:rsidR="0075299C" w:rsidRPr="00CF70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71"/>
    <w:rsid w:val="00266552"/>
    <w:rsid w:val="00386199"/>
    <w:rsid w:val="00522787"/>
    <w:rsid w:val="005F5B74"/>
    <w:rsid w:val="0075299C"/>
    <w:rsid w:val="00AE3D98"/>
    <w:rsid w:val="00CA7971"/>
    <w:rsid w:val="00CF7017"/>
    <w:rsid w:val="00D30648"/>
    <w:rsid w:val="00D7050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58FBA"/>
  <w15:chartTrackingRefBased/>
  <w15:docId w15:val="{E2CFD1BF-4C86-4B5F-9F5D-1172347232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7971"/>
    <w:pPr>
      <w:spacing w:line="256" w:lineRule="auto"/>
    </w:pPr>
    <w:rPr>
      <w:kern w:val="2"/>
      <w14:ligatures w14:val="standardContextual"/>
    </w:rPr>
  </w:style>
  <w:style w:type="paragraph" w:styleId="Heading1">
    <w:name w:val="heading 1"/>
    <w:basedOn w:val="Normal"/>
    <w:next w:val="Normal"/>
    <w:link w:val="Heading1Char"/>
    <w:uiPriority w:val="9"/>
    <w:qFormat/>
    <w:rsid w:val="00CA7971"/>
    <w:pPr>
      <w:keepNext/>
      <w:keepLines/>
      <w:spacing w:before="360" w:after="80" w:line="259" w:lineRule="auto"/>
      <w:outlineLvl w:val="0"/>
    </w:pPr>
    <w:rPr>
      <w:rFonts w:asciiTheme="majorHAnsi" w:eastAsiaTheme="majorEastAsia" w:hAnsiTheme="majorHAnsi" w:cstheme="majorBidi"/>
      <w:color w:val="2E74B5" w:themeColor="accent1" w:themeShade="BF"/>
      <w:kern w:val="0"/>
      <w:sz w:val="40"/>
      <w:szCs w:val="40"/>
      <w14:ligatures w14:val="none"/>
    </w:rPr>
  </w:style>
  <w:style w:type="paragraph" w:styleId="Heading2">
    <w:name w:val="heading 2"/>
    <w:basedOn w:val="Normal"/>
    <w:next w:val="Normal"/>
    <w:link w:val="Heading2Char"/>
    <w:uiPriority w:val="9"/>
    <w:semiHidden/>
    <w:unhideWhenUsed/>
    <w:qFormat/>
    <w:rsid w:val="00CA7971"/>
    <w:pPr>
      <w:keepNext/>
      <w:keepLines/>
      <w:spacing w:before="160" w:after="80" w:line="259" w:lineRule="auto"/>
      <w:outlineLvl w:val="1"/>
    </w:pPr>
    <w:rPr>
      <w:rFonts w:asciiTheme="majorHAnsi" w:eastAsiaTheme="majorEastAsia" w:hAnsiTheme="majorHAnsi" w:cstheme="majorBidi"/>
      <w:color w:val="2E74B5" w:themeColor="accent1" w:themeShade="BF"/>
      <w:kern w:val="0"/>
      <w:sz w:val="32"/>
      <w:szCs w:val="32"/>
      <w14:ligatures w14:val="none"/>
    </w:rPr>
  </w:style>
  <w:style w:type="paragraph" w:styleId="Heading3">
    <w:name w:val="heading 3"/>
    <w:basedOn w:val="Normal"/>
    <w:next w:val="Normal"/>
    <w:link w:val="Heading3Char"/>
    <w:uiPriority w:val="9"/>
    <w:semiHidden/>
    <w:unhideWhenUsed/>
    <w:qFormat/>
    <w:rsid w:val="00CA7971"/>
    <w:pPr>
      <w:keepNext/>
      <w:keepLines/>
      <w:spacing w:before="160" w:after="80" w:line="259" w:lineRule="auto"/>
      <w:outlineLvl w:val="2"/>
    </w:pPr>
    <w:rPr>
      <w:rFonts w:eastAsiaTheme="majorEastAsia" w:cstheme="majorBidi"/>
      <w:color w:val="2E74B5" w:themeColor="accent1" w:themeShade="BF"/>
      <w:kern w:val="0"/>
      <w:sz w:val="28"/>
      <w:szCs w:val="28"/>
      <w14:ligatures w14:val="none"/>
    </w:rPr>
  </w:style>
  <w:style w:type="paragraph" w:styleId="Heading4">
    <w:name w:val="heading 4"/>
    <w:basedOn w:val="Normal"/>
    <w:next w:val="Normal"/>
    <w:link w:val="Heading4Char"/>
    <w:uiPriority w:val="9"/>
    <w:semiHidden/>
    <w:unhideWhenUsed/>
    <w:qFormat/>
    <w:rsid w:val="00CA7971"/>
    <w:pPr>
      <w:keepNext/>
      <w:keepLines/>
      <w:spacing w:before="80" w:after="40" w:line="259" w:lineRule="auto"/>
      <w:outlineLvl w:val="3"/>
    </w:pPr>
    <w:rPr>
      <w:rFonts w:eastAsiaTheme="majorEastAsia" w:cstheme="majorBidi"/>
      <w:i/>
      <w:iCs/>
      <w:color w:val="2E74B5" w:themeColor="accent1" w:themeShade="BF"/>
      <w:kern w:val="0"/>
      <w14:ligatures w14:val="none"/>
    </w:rPr>
  </w:style>
  <w:style w:type="paragraph" w:styleId="Heading5">
    <w:name w:val="heading 5"/>
    <w:basedOn w:val="Normal"/>
    <w:next w:val="Normal"/>
    <w:link w:val="Heading5Char"/>
    <w:uiPriority w:val="9"/>
    <w:semiHidden/>
    <w:unhideWhenUsed/>
    <w:qFormat/>
    <w:rsid w:val="00CA7971"/>
    <w:pPr>
      <w:keepNext/>
      <w:keepLines/>
      <w:spacing w:before="80" w:after="40" w:line="259" w:lineRule="auto"/>
      <w:outlineLvl w:val="4"/>
    </w:pPr>
    <w:rPr>
      <w:rFonts w:eastAsiaTheme="majorEastAsia" w:cstheme="majorBidi"/>
      <w:color w:val="2E74B5" w:themeColor="accent1" w:themeShade="BF"/>
      <w:kern w:val="0"/>
      <w14:ligatures w14:val="none"/>
    </w:rPr>
  </w:style>
  <w:style w:type="paragraph" w:styleId="Heading6">
    <w:name w:val="heading 6"/>
    <w:basedOn w:val="Normal"/>
    <w:next w:val="Normal"/>
    <w:link w:val="Heading6Char"/>
    <w:uiPriority w:val="9"/>
    <w:semiHidden/>
    <w:unhideWhenUsed/>
    <w:qFormat/>
    <w:rsid w:val="00CA7971"/>
    <w:pPr>
      <w:keepNext/>
      <w:keepLines/>
      <w:spacing w:before="40" w:after="0" w:line="259" w:lineRule="auto"/>
      <w:outlineLvl w:val="5"/>
    </w:pPr>
    <w:rPr>
      <w:rFonts w:eastAsiaTheme="majorEastAsia" w:cstheme="majorBidi"/>
      <w:i/>
      <w:iCs/>
      <w:color w:val="595959" w:themeColor="text1" w:themeTint="A6"/>
      <w:kern w:val="0"/>
      <w14:ligatures w14:val="none"/>
    </w:rPr>
  </w:style>
  <w:style w:type="paragraph" w:styleId="Heading7">
    <w:name w:val="heading 7"/>
    <w:basedOn w:val="Normal"/>
    <w:next w:val="Normal"/>
    <w:link w:val="Heading7Char"/>
    <w:uiPriority w:val="9"/>
    <w:semiHidden/>
    <w:unhideWhenUsed/>
    <w:qFormat/>
    <w:rsid w:val="00CA7971"/>
    <w:pPr>
      <w:keepNext/>
      <w:keepLines/>
      <w:spacing w:before="40" w:after="0" w:line="259" w:lineRule="auto"/>
      <w:outlineLvl w:val="6"/>
    </w:pPr>
    <w:rPr>
      <w:rFonts w:eastAsiaTheme="majorEastAsia" w:cstheme="majorBidi"/>
      <w:color w:val="595959" w:themeColor="text1" w:themeTint="A6"/>
      <w:kern w:val="0"/>
      <w14:ligatures w14:val="none"/>
    </w:rPr>
  </w:style>
  <w:style w:type="paragraph" w:styleId="Heading8">
    <w:name w:val="heading 8"/>
    <w:basedOn w:val="Normal"/>
    <w:next w:val="Normal"/>
    <w:link w:val="Heading8Char"/>
    <w:uiPriority w:val="9"/>
    <w:semiHidden/>
    <w:unhideWhenUsed/>
    <w:qFormat/>
    <w:rsid w:val="00CA7971"/>
    <w:pPr>
      <w:keepNext/>
      <w:keepLines/>
      <w:spacing w:after="0" w:line="259" w:lineRule="auto"/>
      <w:outlineLvl w:val="7"/>
    </w:pPr>
    <w:rPr>
      <w:rFonts w:eastAsiaTheme="majorEastAsia" w:cstheme="majorBidi"/>
      <w:i/>
      <w:iCs/>
      <w:color w:val="272727" w:themeColor="text1" w:themeTint="D8"/>
      <w:kern w:val="0"/>
      <w14:ligatures w14:val="none"/>
    </w:rPr>
  </w:style>
  <w:style w:type="paragraph" w:styleId="Heading9">
    <w:name w:val="heading 9"/>
    <w:basedOn w:val="Normal"/>
    <w:next w:val="Normal"/>
    <w:link w:val="Heading9Char"/>
    <w:uiPriority w:val="9"/>
    <w:semiHidden/>
    <w:unhideWhenUsed/>
    <w:qFormat/>
    <w:rsid w:val="00CA7971"/>
    <w:pPr>
      <w:keepNext/>
      <w:keepLines/>
      <w:spacing w:after="0" w:line="259" w:lineRule="auto"/>
      <w:outlineLvl w:val="8"/>
    </w:pPr>
    <w:rPr>
      <w:rFonts w:eastAsiaTheme="majorEastAsia" w:cstheme="majorBidi"/>
      <w:color w:val="272727" w:themeColor="text1" w:themeTint="D8"/>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7971"/>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CA7971"/>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CA7971"/>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CA7971"/>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CA7971"/>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79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9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9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971"/>
    <w:rPr>
      <w:rFonts w:eastAsiaTheme="majorEastAsia" w:cstheme="majorBidi"/>
      <w:color w:val="272727" w:themeColor="text1" w:themeTint="D8"/>
    </w:rPr>
  </w:style>
  <w:style w:type="paragraph" w:styleId="Title">
    <w:name w:val="Title"/>
    <w:basedOn w:val="Normal"/>
    <w:next w:val="Normal"/>
    <w:link w:val="TitleChar"/>
    <w:uiPriority w:val="10"/>
    <w:qFormat/>
    <w:rsid w:val="00CA7971"/>
    <w:pPr>
      <w:spacing w:after="80" w:line="240" w:lineRule="auto"/>
      <w:contextualSpacing/>
    </w:pPr>
    <w:rPr>
      <w:rFonts w:asciiTheme="majorHAnsi" w:eastAsiaTheme="majorEastAsia" w:hAnsiTheme="majorHAnsi" w:cstheme="majorBidi"/>
      <w:spacing w:val="-10"/>
      <w:kern w:val="28"/>
      <w:sz w:val="56"/>
      <w:szCs w:val="56"/>
      <w14:ligatures w14:val="none"/>
    </w:rPr>
  </w:style>
  <w:style w:type="character" w:customStyle="1" w:styleId="TitleChar">
    <w:name w:val="Title Char"/>
    <w:basedOn w:val="DefaultParagraphFont"/>
    <w:link w:val="Title"/>
    <w:uiPriority w:val="10"/>
    <w:rsid w:val="00CA79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971"/>
    <w:pPr>
      <w:numPr>
        <w:ilvl w:val="1"/>
      </w:numPr>
      <w:spacing w:line="259" w:lineRule="auto"/>
    </w:pPr>
    <w:rPr>
      <w:rFonts w:eastAsiaTheme="majorEastAsia" w:cstheme="majorBidi"/>
      <w:color w:val="595959" w:themeColor="text1" w:themeTint="A6"/>
      <w:spacing w:val="15"/>
      <w:kern w:val="0"/>
      <w:sz w:val="28"/>
      <w:szCs w:val="28"/>
      <w14:ligatures w14:val="none"/>
    </w:rPr>
  </w:style>
  <w:style w:type="character" w:customStyle="1" w:styleId="SubtitleChar">
    <w:name w:val="Subtitle Char"/>
    <w:basedOn w:val="DefaultParagraphFont"/>
    <w:link w:val="Subtitle"/>
    <w:uiPriority w:val="11"/>
    <w:rsid w:val="00CA79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971"/>
    <w:pPr>
      <w:spacing w:before="160" w:line="259" w:lineRule="auto"/>
      <w:jc w:val="center"/>
    </w:pPr>
    <w:rPr>
      <w:i/>
      <w:iCs/>
      <w:color w:val="404040" w:themeColor="text1" w:themeTint="BF"/>
      <w:kern w:val="0"/>
      <w14:ligatures w14:val="none"/>
    </w:rPr>
  </w:style>
  <w:style w:type="character" w:customStyle="1" w:styleId="QuoteChar">
    <w:name w:val="Quote Char"/>
    <w:basedOn w:val="DefaultParagraphFont"/>
    <w:link w:val="Quote"/>
    <w:uiPriority w:val="29"/>
    <w:rsid w:val="00CA7971"/>
    <w:rPr>
      <w:i/>
      <w:iCs/>
      <w:color w:val="404040" w:themeColor="text1" w:themeTint="BF"/>
    </w:rPr>
  </w:style>
  <w:style w:type="paragraph" w:styleId="ListParagraph">
    <w:name w:val="List Paragraph"/>
    <w:basedOn w:val="Normal"/>
    <w:uiPriority w:val="34"/>
    <w:qFormat/>
    <w:rsid w:val="00CA7971"/>
    <w:pPr>
      <w:spacing w:line="259" w:lineRule="auto"/>
      <w:ind w:left="720"/>
      <w:contextualSpacing/>
    </w:pPr>
    <w:rPr>
      <w:kern w:val="0"/>
      <w14:ligatures w14:val="none"/>
    </w:rPr>
  </w:style>
  <w:style w:type="character" w:styleId="IntenseEmphasis">
    <w:name w:val="Intense Emphasis"/>
    <w:basedOn w:val="DefaultParagraphFont"/>
    <w:uiPriority w:val="21"/>
    <w:qFormat/>
    <w:rsid w:val="00CA7971"/>
    <w:rPr>
      <w:i/>
      <w:iCs/>
      <w:color w:val="2E74B5" w:themeColor="accent1" w:themeShade="BF"/>
    </w:rPr>
  </w:style>
  <w:style w:type="paragraph" w:styleId="IntenseQuote">
    <w:name w:val="Intense Quote"/>
    <w:basedOn w:val="Normal"/>
    <w:next w:val="Normal"/>
    <w:link w:val="IntenseQuoteChar"/>
    <w:uiPriority w:val="30"/>
    <w:qFormat/>
    <w:rsid w:val="00CA7971"/>
    <w:pPr>
      <w:pBdr>
        <w:top w:val="single" w:sz="4" w:space="10" w:color="2E74B5" w:themeColor="accent1" w:themeShade="BF"/>
        <w:bottom w:val="single" w:sz="4" w:space="10" w:color="2E74B5" w:themeColor="accent1" w:themeShade="BF"/>
      </w:pBdr>
      <w:spacing w:before="360" w:after="360" w:line="259" w:lineRule="auto"/>
      <w:ind w:left="864" w:right="864"/>
      <w:jc w:val="center"/>
    </w:pPr>
    <w:rPr>
      <w:i/>
      <w:iCs/>
      <w:color w:val="2E74B5" w:themeColor="accent1" w:themeShade="BF"/>
      <w:kern w:val="0"/>
      <w14:ligatures w14:val="none"/>
    </w:rPr>
  </w:style>
  <w:style w:type="character" w:customStyle="1" w:styleId="IntenseQuoteChar">
    <w:name w:val="Intense Quote Char"/>
    <w:basedOn w:val="DefaultParagraphFont"/>
    <w:link w:val="IntenseQuote"/>
    <w:uiPriority w:val="30"/>
    <w:rsid w:val="00CA7971"/>
    <w:rPr>
      <w:i/>
      <w:iCs/>
      <w:color w:val="2E74B5" w:themeColor="accent1" w:themeShade="BF"/>
    </w:rPr>
  </w:style>
  <w:style w:type="character" w:styleId="IntenseReference">
    <w:name w:val="Intense Reference"/>
    <w:basedOn w:val="DefaultParagraphFont"/>
    <w:uiPriority w:val="32"/>
    <w:qFormat/>
    <w:rsid w:val="00CA797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A2CF774087FEB4FA75E87C2EF87792A" ma:contentTypeVersion="13" ma:contentTypeDescription="Crée un document." ma:contentTypeScope="" ma:versionID="174eebc8da771bde7e493f667b4e7cd7">
  <xsd:schema xmlns:xsd="http://www.w3.org/2001/XMLSchema" xmlns:xs="http://www.w3.org/2001/XMLSchema" xmlns:p="http://schemas.microsoft.com/office/2006/metadata/properties" xmlns:ns2="d19407f6-c921-44a1-b585-ead61e7a3459" xmlns:ns3="ac006ac0-7496-4b68-90a3-32f4619d30fe" targetNamespace="http://schemas.microsoft.com/office/2006/metadata/properties" ma:root="true" ma:fieldsID="8ec4384cb4d75ad71f329d7fbfe893a5" ns2:_="" ns3:_="">
    <xsd:import namespace="d19407f6-c921-44a1-b585-ead61e7a3459"/>
    <xsd:import namespace="ac006ac0-7496-4b68-90a3-32f4619d30f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9407f6-c921-44a1-b585-ead61e7a345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Balises d’images" ma:readOnly="false" ma:fieldId="{5cf76f15-5ced-4ddc-b409-7134ff3c332f}" ma:taxonomyMulti="true" ma:sspId="af9a39de-f8b1-4e5d-a2de-b6745b9f5c55"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c006ac0-7496-4b68-90a3-32f4619d30f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db24fc8-077b-4d9a-9b36-cd52f94eb6bf}" ma:internalName="TaxCatchAll" ma:showField="CatchAllData" ma:web="ac006ac0-7496-4b68-90a3-32f4619d30f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ac006ac0-7496-4b68-90a3-32f4619d30fe" xsi:nil="true"/>
    <lcf76f155ced4ddcb4097134ff3c332f xmlns="d19407f6-c921-44a1-b585-ead61e7a3459">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620FC7D8-1DA1-4A5C-9B09-DC6337276608}"/>
</file>

<file path=customXml/itemProps2.xml><?xml version="1.0" encoding="utf-8"?>
<ds:datastoreItem xmlns:ds="http://schemas.openxmlformats.org/officeDocument/2006/customXml" ds:itemID="{7CEF15A8-7CAD-4825-A549-29100388C0DE}"/>
</file>

<file path=customXml/itemProps3.xml><?xml version="1.0" encoding="utf-8"?>
<ds:datastoreItem xmlns:ds="http://schemas.openxmlformats.org/officeDocument/2006/customXml" ds:itemID="{CFEBF015-1C5A-4E51-9D91-AD7437A62D2B}"/>
</file>

<file path=docProps/app.xml><?xml version="1.0" encoding="utf-8"?>
<Properties xmlns="http://schemas.openxmlformats.org/officeDocument/2006/extended-properties" xmlns:vt="http://schemas.openxmlformats.org/officeDocument/2006/docPropsVTypes">
  <Template>Normal</Template>
  <TotalTime>291</TotalTime>
  <Pages>1</Pages>
  <Words>427</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Rouguiyatou DIA</dc:creator>
  <cp:keywords/>
  <dc:description/>
  <cp:lastModifiedBy>Rouguiyatou DIA</cp:lastModifiedBy>
  <cp:revision>3</cp:revision>
  <dcterms:created xsi:type="dcterms:W3CDTF">2026-10-02T11:09:00Z</dcterms:created>
  <dcterms:modified xsi:type="dcterms:W3CDTF">2026-10-12T17:04:00Z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0x0101000A2CF774087FEB4FA75E87C2EF87792A</vt:lpwstr>
  </property>
</Properties>
</file>