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HR Analytics – Exploratory Data Analysis Report</w:t>
      </w:r>
    </w:p>
    <w:p>
      <w:pPr>
        <w:jc w:val="center"/>
      </w:pPr>
      <w:r>
        <w:t>Employee Attrition Analysis | Dataset: HR_Analytics.csv</w:t>
      </w:r>
    </w:p>
    <w:p>
      <w:pPr>
        <w:pStyle w:val="Heading1"/>
      </w:pPr>
      <w:r>
        <w:t>1. Executive Summary</w:t>
      </w:r>
    </w:p>
    <w:p>
      <w:r>
        <w:t>This report explores employee attrition patterns across department, job role, overtime, age group, salary slab, satisfaction, business travel, and tenure. The original file contains 1,480 rows and 38 columns. It records 238 employees as having left, equivalent to 16.08% of the rows in the original dataset. The strongest descriptive differences observed include higher attrition among employees working overtime, employees in the youngest age group, employees with shorter company tenure, and selected job roles. These are associations in this dataset and do not establish that any factor causes attrition.</w:t>
      </w:r>
    </w:p>
    <w:p>
      <w:pPr>
        <w:pStyle w:val="Heading1"/>
      </w:pPr>
      <w:r>
        <w:t>2. Data Quality Notes</w:t>
      </w:r>
    </w:p>
    <w:p>
      <w:pPr>
        <w:pStyle w:val="ListBullet"/>
      </w:pPr>
      <w:r>
        <w:t>Original dataset size: 1,480 rows × 38 columns.</w:t>
      </w:r>
    </w:p>
    <w:p>
      <w:pPr>
        <w:pStyle w:val="ListBullet"/>
      </w:pPr>
      <w:r>
        <w:t>Attrition labels: 238 Yes and 1,242 No (16.08% Yes in the original file).</w:t>
      </w:r>
    </w:p>
    <w:p>
      <w:pPr>
        <w:pStyle w:val="ListBullet"/>
      </w:pPr>
      <w:r>
        <w:t>Missing values: 57 in YearsWithCurrManager; no other columns show missing values.</w:t>
      </w:r>
    </w:p>
    <w:p>
      <w:pPr>
        <w:pStyle w:val="ListBullet"/>
      </w:pPr>
      <w:r>
        <w:t>Exact duplicate rows: 7. EmpID has 10 repeated entries, which should be investigated separately.</w:t>
      </w:r>
    </w:p>
    <w:p>
      <w:pPr>
        <w:pStyle w:val="ListBullet"/>
      </w:pPr>
      <w:r>
        <w:t>BusinessTravel includes both 'Travel_Rarely' and 'TravelRarely'; standardize only after confirming they mean the same category.</w:t>
      </w:r>
    </w:p>
    <w:p>
      <w:pPr>
        <w:pStyle w:val="ListBullet"/>
      </w:pPr>
      <w:r>
        <w:t>The findings below are calculated on the original, uncleaned data. Recalculate after resolving duplicate rows/IDs and category inconsistencies.</w:t>
      </w:r>
    </w:p>
    <w:p>
      <w:pPr>
        <w:pStyle w:val="Heading1"/>
      </w:pPr>
      <w:r>
        <w:t>3. Key Findings, Evidence, Interpretation and Recommendations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Finding</w:t>
            </w:r>
          </w:p>
        </w:tc>
        <w:tc>
          <w:tcPr>
            <w:tcW w:type="dxa" w:w="2556"/>
            <w:vAlign w:val="center"/>
          </w:tcPr>
          <w:p>
            <w:r>
              <w:rPr>
                <w:b/>
              </w:rPr>
              <w:t>Evidence (original data)</w:t>
            </w:r>
          </w:p>
        </w:tc>
        <w:tc>
          <w:tcPr>
            <w:tcW w:type="dxa" w:w="2556"/>
            <w:vAlign w:val="center"/>
          </w:tcPr>
          <w:p>
            <w:r>
              <w:rPr>
                <w:b/>
              </w:rPr>
              <w:t>Interpretation</w:t>
            </w:r>
          </w:p>
        </w:tc>
        <w:tc>
          <w:tcPr>
            <w:tcW w:type="dxa" w:w="2556"/>
            <w:vAlign w:val="center"/>
          </w:tcPr>
          <w:p>
            <w:r>
              <w:rPr>
                <w:b/>
              </w:rPr>
              <w:t>Recommendation</w:t>
            </w:r>
          </w:p>
        </w:tc>
      </w:tr>
      <w:tr>
        <w:tc>
          <w:tcPr>
            <w:tcW w:type="dxa" w:w="2556"/>
            <w:vAlign w:val="top"/>
          </w:tcPr>
          <w:p>
            <w:r>
              <w:t>Overall attrition</w:t>
            </w:r>
          </w:p>
        </w:tc>
        <w:tc>
          <w:tcPr>
            <w:tcW w:type="dxa" w:w="2556"/>
            <w:vAlign w:val="top"/>
          </w:tcPr>
          <w:p>
            <w:r>
              <w:t>238 of 1,480 records are marked Attrition = Yes (16.08%).</w:t>
            </w:r>
          </w:p>
        </w:tc>
        <w:tc>
          <w:tcPr>
            <w:tcW w:type="dxa" w:w="2556"/>
            <w:vAlign w:val="top"/>
          </w:tcPr>
          <w:p>
            <w:r>
              <w:t>Around one in six records is marked as an employee departure. This is a dataset-level proportion, not an annual turnover rate because a reporting period is not specified.</w:t>
            </w:r>
          </w:p>
        </w:tc>
        <w:tc>
          <w:tcPr>
            <w:tcW w:type="dxa" w:w="2556"/>
            <w:vAlign w:val="top"/>
          </w:tcPr>
          <w:p>
            <w:r>
              <w:t>Use 16.08% as the baseline for this dataset, then monitor attrition consistently over defined reporting periods in a real HR setting.</w:t>
            </w:r>
          </w:p>
        </w:tc>
      </w:tr>
      <w:tr>
        <w:tc>
          <w:tcPr>
            <w:tcW w:type="dxa" w:w="2556"/>
            <w:vAlign w:val="top"/>
          </w:tcPr>
          <w:p>
            <w:r>
              <w:t>Overtime</w:t>
            </w:r>
          </w:p>
        </w:tc>
        <w:tc>
          <w:tcPr>
            <w:tcW w:type="dxa" w:w="2556"/>
            <w:vAlign w:val="top"/>
          </w:tcPr>
          <w:p>
            <w:r>
              <w:t>Attrition is 30.62% for employees with OverTime = Yes (128/418), versus 10.36% for OverTime = No (110/1,062).</w:t>
            </w:r>
          </w:p>
        </w:tc>
        <w:tc>
          <w:tcPr>
            <w:tcW w:type="dxa" w:w="2556"/>
            <w:vAlign w:val="top"/>
          </w:tcPr>
          <w:p>
            <w:r>
              <w:t>The attrition rate is about three times as high among the overtime group. This is an association and may overlap with job role, workload, or other factors.</w:t>
            </w:r>
          </w:p>
        </w:tc>
        <w:tc>
          <w:tcPr>
            <w:tcW w:type="dxa" w:w="2556"/>
            <w:vAlign w:val="top"/>
          </w:tcPr>
          <w:p>
            <w:r>
              <w:t>Review overtime frequency, workload distribution, staffing, recovery time, and employee feedback; compare patterns by department and role before deciding on interventions.</w:t>
            </w:r>
          </w:p>
        </w:tc>
      </w:tr>
      <w:tr>
        <w:tc>
          <w:tcPr>
            <w:tcW w:type="dxa" w:w="2556"/>
            <w:vAlign w:val="top"/>
          </w:tcPr>
          <w:p>
            <w:r>
              <w:t>Department</w:t>
            </w:r>
          </w:p>
        </w:tc>
        <w:tc>
          <w:tcPr>
            <w:tcW w:type="dxa" w:w="2556"/>
            <w:vAlign w:val="top"/>
          </w:tcPr>
          <w:p>
            <w:r>
              <w:t>Sales: 20.67% (93/450); Human Resources: 19.05% (12/63); Research &amp; Development: 13.75% (133/967).</w:t>
            </w:r>
          </w:p>
        </w:tc>
        <w:tc>
          <w:tcPr>
            <w:tcW w:type="dxa" w:w="2556"/>
            <w:vAlign w:val="top"/>
          </w:tcPr>
          <w:p>
            <w:r>
              <w:t>Sales has the highest department-level rate in the original dataset. R&amp;D has the largest number of departures because it is also the largest department.</w:t>
            </w:r>
          </w:p>
        </w:tc>
        <w:tc>
          <w:tcPr>
            <w:tcW w:type="dxa" w:w="2556"/>
            <w:vAlign w:val="top"/>
          </w:tcPr>
          <w:p>
            <w:r>
              <w:t>Review sales workload, targets, incentives, manager support, and onboarding. Interpret the HR rate cautiously because its sample is small.</w:t>
            </w:r>
          </w:p>
        </w:tc>
      </w:tr>
      <w:tr>
        <w:tc>
          <w:tcPr>
            <w:tcW w:type="dxa" w:w="2556"/>
            <w:vAlign w:val="top"/>
          </w:tcPr>
          <w:p>
            <w:r>
              <w:t>Job role</w:t>
            </w:r>
          </w:p>
        </w:tc>
        <w:tc>
          <w:tcPr>
            <w:tcW w:type="dxa" w:w="2556"/>
            <w:vAlign w:val="top"/>
          </w:tcPr>
          <w:p>
            <w:r>
              <w:t>Sales Representative: 39.29% (33/84); Laboratory Technician: 23.75% (62/261); Human Resources: 23.08% (12/52). Manager: 4.90% (5/102); Research Director: 2.50% (2/80).</w:t>
            </w:r>
          </w:p>
        </w:tc>
        <w:tc>
          <w:tcPr>
            <w:tcW w:type="dxa" w:w="2556"/>
            <w:vAlign w:val="top"/>
          </w:tcPr>
          <w:p>
            <w:r>
              <w:t>Attrition differs substantially by role. Sales Representatives have the highest observed rate; role mix and sample sizes should be considered.</w:t>
            </w:r>
          </w:p>
        </w:tc>
        <w:tc>
          <w:tcPr>
            <w:tcW w:type="dxa" w:w="2556"/>
            <w:vAlign w:val="top"/>
          </w:tcPr>
          <w:p>
            <w:r>
              <w:t>Prioritize a role-specific review for Sales Representatives and Laboratory Technicians, including workload, career progression, pay, training, and exit feedback.</w:t>
            </w:r>
          </w:p>
        </w:tc>
      </w:tr>
      <w:tr>
        <w:tc>
          <w:tcPr>
            <w:tcW w:type="dxa" w:w="2556"/>
            <w:vAlign w:val="top"/>
          </w:tcPr>
          <w:p>
            <w:r>
              <w:t>Age group</w:t>
            </w:r>
          </w:p>
        </w:tc>
        <w:tc>
          <w:tcPr>
            <w:tcW w:type="dxa" w:w="2556"/>
            <w:vAlign w:val="top"/>
          </w:tcPr>
          <w:p>
            <w:r>
              <w:t>Age 18–25: 35.77% (44/123); age 26–35: 18.99% (116/611); age 36–45: 9.13% (43/471).</w:t>
            </w:r>
          </w:p>
        </w:tc>
        <w:tc>
          <w:tcPr>
            <w:tcW w:type="dxa" w:w="2556"/>
            <w:vAlign w:val="top"/>
          </w:tcPr>
          <w:p>
            <w:r>
              <w:t>The youngest age group has the highest observed attrition rate, while the 36–45 group has the lowest among these groups.</w:t>
            </w:r>
          </w:p>
        </w:tc>
        <w:tc>
          <w:tcPr>
            <w:tcW w:type="dxa" w:w="2556"/>
            <w:vAlign w:val="top"/>
          </w:tcPr>
          <w:p>
            <w:r>
              <w:t>Review early-career onboarding, manager check-ins, learning opportunities, and career pathways. Avoid assuming age itself causes departures.</w:t>
            </w:r>
          </w:p>
        </w:tc>
      </w:tr>
      <w:tr>
        <w:tc>
          <w:tcPr>
            <w:tcW w:type="dxa" w:w="2556"/>
            <w:vAlign w:val="top"/>
          </w:tcPr>
          <w:p>
            <w:r>
              <w:t>Company tenure</w:t>
            </w:r>
          </w:p>
        </w:tc>
        <w:tc>
          <w:tcPr>
            <w:tcW w:type="dxa" w:w="2556"/>
            <w:vAlign w:val="top"/>
          </w:tcPr>
          <w:p>
            <w:r>
              <w:t>Employees with 0–1 years at the company: 34.88% (75/215); 2–3 years: 18.75% (48/256); 11+ years: 8.10% (20/247).</w:t>
            </w:r>
          </w:p>
        </w:tc>
        <w:tc>
          <w:tcPr>
            <w:tcW w:type="dxa" w:w="2556"/>
            <w:vAlign w:val="top"/>
          </w:tcPr>
          <w:p>
            <w:r>
              <w:t>Attrition is highest among employees with the shortest tenure and generally lower among longer-tenured employees in these grouped results.</w:t>
            </w:r>
          </w:p>
        </w:tc>
        <w:tc>
          <w:tcPr>
            <w:tcW w:type="dxa" w:w="2556"/>
            <w:vAlign w:val="top"/>
          </w:tcPr>
          <w:p>
            <w:r>
              <w:t>Strengthen onboarding and probation check-ins, clarify role expectations, assign mentors, and review early-tenure exit feedback.</w:t>
            </w:r>
          </w:p>
        </w:tc>
      </w:tr>
      <w:tr>
        <w:tc>
          <w:tcPr>
            <w:tcW w:type="dxa" w:w="2556"/>
            <w:vAlign w:val="top"/>
          </w:tcPr>
          <w:p>
            <w:r>
              <w:t>Salary slab</w:t>
            </w:r>
          </w:p>
        </w:tc>
        <w:tc>
          <w:tcPr>
            <w:tcW w:type="dxa" w:w="2556"/>
            <w:vAlign w:val="top"/>
          </w:tcPr>
          <w:p>
            <w:r>
              <w:t>Up to 5k: 21.65% (163/753); 5k–10k: 11.04% (49/444); 10k–15k: 14.00% (21/150); 15k+: 3.76% (5/133).</w:t>
            </w:r>
          </w:p>
        </w:tc>
        <w:tc>
          <w:tcPr>
            <w:tcW w:type="dxa" w:w="2556"/>
            <w:vAlign w:val="top"/>
          </w:tcPr>
          <w:p>
            <w:r>
              <w:t>The lowest salary slab has the highest observed rate, and the highest slab has the lowest. The pattern is not perfectly monotonic across the middle slabs and may be confounded by job level or role.</w:t>
            </w:r>
          </w:p>
        </w:tc>
        <w:tc>
          <w:tcPr>
            <w:tcW w:type="dxa" w:w="2556"/>
            <w:vAlign w:val="top"/>
          </w:tcPr>
          <w:p>
            <w:r>
              <w:t>Assess compensation alongside job role, job level, tenure, location, and performance; do not conclude salary alone drives attrition.</w:t>
            </w:r>
          </w:p>
        </w:tc>
      </w:tr>
      <w:tr>
        <w:tc>
          <w:tcPr>
            <w:tcW w:type="dxa" w:w="2556"/>
            <w:vAlign w:val="top"/>
          </w:tcPr>
          <w:p>
            <w:r>
              <w:t>Job satisfaction</w:t>
            </w:r>
          </w:p>
        </w:tc>
        <w:tc>
          <w:tcPr>
            <w:tcW w:type="dxa" w:w="2556"/>
            <w:vAlign w:val="top"/>
          </w:tcPr>
          <w:p>
            <w:r>
              <w:t>Attrition rate is 22.87% for satisfaction level 1 (67/293) and 11.28% for level 4 (52/461).</w:t>
            </w:r>
          </w:p>
        </w:tc>
        <w:tc>
          <w:tcPr>
            <w:tcW w:type="dxa" w:w="2556"/>
            <w:vAlign w:val="top"/>
          </w:tcPr>
          <w:p>
            <w:r>
              <w:t>The lowest satisfaction category has roughly twice the attrition rate of the highest category in this dataset.</w:t>
            </w:r>
          </w:p>
        </w:tc>
        <w:tc>
          <w:tcPr>
            <w:tcW w:type="dxa" w:w="2556"/>
            <w:vAlign w:val="top"/>
          </w:tcPr>
          <w:p>
            <w:r>
              <w:t>Review survey feedback, manager relationships, workload, recognition, and growth opportunities; track whether improvements correlate with later retention.</w:t>
            </w:r>
          </w:p>
        </w:tc>
      </w:tr>
      <w:tr>
        <w:tc>
          <w:tcPr>
            <w:tcW w:type="dxa" w:w="2556"/>
            <w:vAlign w:val="top"/>
          </w:tcPr>
          <w:p>
            <w:r>
              <w:t>Work-life balance</w:t>
            </w:r>
          </w:p>
        </w:tc>
        <w:tc>
          <w:tcPr>
            <w:tcW w:type="dxa" w:w="2556"/>
            <w:vAlign w:val="top"/>
          </w:tcPr>
          <w:p>
            <w:r>
              <w:t>Attrition rate is 30.86% at score 1 (25/81), compared with 14.24% at score 3 (128/899).</w:t>
            </w:r>
          </w:p>
        </w:tc>
        <w:tc>
          <w:tcPr>
            <w:tcW w:type="dxa" w:w="2556"/>
            <w:vAlign w:val="top"/>
          </w:tcPr>
          <w:p>
            <w:r>
              <w:t>The lowest work-life-balance group has a higher observed attrition rate. The score-1 group is relatively small.</w:t>
            </w:r>
          </w:p>
        </w:tc>
        <w:tc>
          <w:tcPr>
            <w:tcW w:type="dxa" w:w="2556"/>
            <w:vAlign w:val="top"/>
          </w:tcPr>
          <w:p>
            <w:r>
              <w:t>Investigate scheduling, workload, flexibility, and overtime in the low-score group; validate with employee feedback and segment-level analysis.</w:t>
            </w:r>
          </w:p>
        </w:tc>
      </w:tr>
      <w:tr>
        <w:tc>
          <w:tcPr>
            <w:tcW w:type="dxa" w:w="2556"/>
            <w:vAlign w:val="top"/>
          </w:tcPr>
          <w:p>
            <w:r>
              <w:t>Business travel</w:t>
            </w:r>
          </w:p>
        </w:tc>
        <w:tc>
          <w:tcPr>
            <w:tcW w:type="dxa" w:w="2556"/>
            <w:vAlign w:val="top"/>
          </w:tcPr>
          <w:p>
            <w:r>
              <w:t>Travel_Frequently: 24.73% (69/279); Travel_Rarely: 15.07% (157/1,042); Non-Travel: 7.95% (12/151).</w:t>
            </w:r>
          </w:p>
        </w:tc>
        <w:tc>
          <w:tcPr>
            <w:tcW w:type="dxa" w:w="2556"/>
            <w:vAlign w:val="top"/>
          </w:tcPr>
          <w:p>
            <w:r>
              <w:t>Employees marked as frequent travelers have a higher observed attrition rate than the other travel groups.</w:t>
            </w:r>
          </w:p>
        </w:tc>
        <w:tc>
          <w:tcPr>
            <w:tcW w:type="dxa" w:w="2556"/>
            <w:vAlign w:val="top"/>
          </w:tcPr>
          <w:p>
            <w:r>
              <w:t>Review travel intensity, notice periods, expenses, recovery time, and support for frequently traveling employees. Standardize the rare-travel label before final reporting.</w:t>
            </w:r>
          </w:p>
        </w:tc>
      </w:tr>
      <w:tr>
        <w:tc>
          <w:tcPr>
            <w:tcW w:type="dxa" w:w="2556"/>
            <w:vAlign w:val="top"/>
          </w:tcPr>
          <w:p>
            <w:r>
              <w:t>Distance from home</w:t>
            </w:r>
          </w:p>
        </w:tc>
        <w:tc>
          <w:tcPr>
            <w:tcW w:type="dxa" w:w="2556"/>
            <w:vAlign w:val="top"/>
          </w:tcPr>
          <w:p>
            <w:r>
              <w:t>Distance 21+ units: 22.12% (46/208); distance 0–5: 13.68% (87/636).</w:t>
            </w:r>
          </w:p>
        </w:tc>
        <w:tc>
          <w:tcPr>
            <w:tcW w:type="dxa" w:w="2556"/>
            <w:vAlign w:val="top"/>
          </w:tcPr>
          <w:p>
            <w:r>
              <w:t>Longer commuting distance is associated with a higher observed rate in these grouped data; the variable's unit should be confirmed from the data documentation.</w:t>
            </w:r>
          </w:p>
        </w:tc>
        <w:tc>
          <w:tcPr>
            <w:tcW w:type="dxa" w:w="2556"/>
            <w:vAlign w:val="top"/>
          </w:tcPr>
          <w:p>
            <w:r>
              <w:t>Explore commute burden and flexible-work options where feasible, and test whether the pattern remains after controlling for department and role.</w:t>
            </w:r>
          </w:p>
        </w:tc>
      </w:tr>
      <w:tr>
        <w:tc>
          <w:tcPr>
            <w:tcW w:type="dxa" w:w="2556"/>
            <w:vAlign w:val="top"/>
          </w:tcPr>
          <w:p>
            <w:r>
              <w:t>Environment satisfaction</w:t>
            </w:r>
          </w:p>
        </w:tc>
        <w:tc>
          <w:tcPr>
            <w:tcW w:type="dxa" w:w="2556"/>
            <w:vAlign w:val="top"/>
          </w:tcPr>
          <w:p>
            <w:r>
              <w:t>Attrition is 25.35% at satisfaction level 1 (72/284), compared with 13.53% at level 4 (61/451).</w:t>
            </w:r>
          </w:p>
        </w:tc>
        <w:tc>
          <w:tcPr>
            <w:tcW w:type="dxa" w:w="2556"/>
            <w:vAlign w:val="top"/>
          </w:tcPr>
          <w:p>
            <w:r>
              <w:t>Employees reporting the lowest environment satisfaction have a higher observed attrition rate.</w:t>
            </w:r>
          </w:p>
        </w:tc>
        <w:tc>
          <w:tcPr>
            <w:tcW w:type="dxa" w:w="2556"/>
            <w:vAlign w:val="top"/>
          </w:tcPr>
          <w:p>
            <w:r>
              <w:t>Investigate team climate, manager support, work conditions, and feedback channels in low-scoring groups.</w:t>
            </w:r>
          </w:p>
        </w:tc>
      </w:tr>
    </w:tbl>
    <w:p>
      <w:pPr>
        <w:pStyle w:val="Heading1"/>
      </w:pPr>
      <w:r>
        <w:t>4. Recommended Priority Actions</w:t>
      </w:r>
    </w:p>
    <w:p>
      <w:pPr>
        <w:pStyle w:val="ListNumber"/>
      </w:pPr>
      <w:r>
        <w:t>Priority 1 – Early-tenure retention: examine departures in the first 12 months, onboarding quality, role clarity, and manager check-ins.</w:t>
      </w:r>
    </w:p>
    <w:p>
      <w:pPr>
        <w:pStyle w:val="ListNumber"/>
      </w:pPr>
      <w:r>
        <w:t>Priority 2 – Overtime and workload: compare overtime-related attrition by department and job role; review staffing and workload distribution.</w:t>
      </w:r>
    </w:p>
    <w:p>
      <w:pPr>
        <w:pStyle w:val="ListNumber"/>
      </w:pPr>
      <w:r>
        <w:t>Priority 3 – Role-specific analysis: investigate Sales Representatives and Laboratory Technicians using pay, tenure, satisfaction, and exit feedback.</w:t>
      </w:r>
    </w:p>
    <w:p>
      <w:pPr>
        <w:pStyle w:val="ListNumber"/>
      </w:pPr>
      <w:r>
        <w:t>Priority 4 – Employee experience: review low job-satisfaction, low work-life-balance, and low environment-satisfaction groups.</w:t>
      </w:r>
    </w:p>
    <w:p>
      <w:pPr>
        <w:pStyle w:val="ListNumber"/>
      </w:pPr>
      <w:r>
        <w:t>Priority 5 – Measure impact: define a reporting period, establish consistent attrition metrics, and monitor trends after any intervention.</w:t>
      </w:r>
    </w:p>
    <w:p>
      <w:pPr>
        <w:pStyle w:val="Heading1"/>
      </w:pPr>
      <w:r>
        <w:t>5. Limitations</w:t>
      </w:r>
    </w:p>
    <w:p>
      <w:r>
        <w:t>This is descriptive analysis of a single supplied dataset. It does not prove causation, and it does not specify a time period for the attrition measure. Exact duplicate rows, repeated employee IDs, and inconsistent BusinessTravel labels require review before final publication. The 57 missing YearsWithCurrManager values should not be filled automatically without understanding their meaning. Small groups can produce volatile rates; always show counts alongside percentages. Validate findings after cleaning and consider confounding factors before making HR decisions.</w:t>
      </w:r>
    </w:p>
    <w:p>
      <w:pPr>
        <w:pStyle w:val="Heading1"/>
      </w:pPr>
      <w:r>
        <w:t>6. Conclusion</w:t>
      </w:r>
    </w:p>
    <w:p>
      <w:r>
        <w:t>The initial EDA suggests that attrition is not evenly distributed across the workforce. Overtime status, early company tenure, selected job roles, younger age groups, lower satisfaction scores, and frequent business travel show higher observed attrition rates. The recommended next step is to resolve data quality issues, rerun the analysis, build a Power BI dashboard, and use the validated findings to guide targeted HR investigation.</w:t>
      </w:r>
    </w:p>
    <w:p>
      <w:r>
        <w:t>Prepared for a Data Analytics portfolio project. All figures should be refreshed after the data-cleaning decisions are finalized.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