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response-to-reviewers-mlchem-selector"/>
      <w:r>
        <w:t xml:space="preserve">Response to Reviewers — MLCheM Selector</w:t>
      </w:r>
      <w:bookmarkEnd w:id="20"/>
    </w:p>
    <w:p>
      <w:pPr>
        <w:pStyle w:val="FirstParagraph"/>
      </w:pPr>
      <w:r>
        <w:t xml:space="preserve">We thank the reviewers for their careful and constructive assessment. The comments on the</w:t>
      </w:r>
      <w:r>
        <w:t xml:space="preserve"> </w:t>
      </w:r>
      <w:r>
        <w:rPr>
          <w:b/>
        </w:rPr>
        <w:t xml:space="preserve">Machine Learning-based Computational Chemistry Method Selector (MLCheM Selector)</w:t>
      </w:r>
      <w:r>
        <w:t xml:space="preserve"> </w:t>
      </w:r>
      <w:r>
        <w:t xml:space="preserve">prompted a substantial revision of both the method and the supporting repository. We summarise the central change first, because it addresses the majority of the concerns.</w:t>
      </w:r>
    </w:p>
    <w:p>
      <w:pPr>
        <w:pStyle w:val="Heading2"/>
      </w:pPr>
      <w:bookmarkStart w:id="21" w:name="summary-of-the-major-revision"/>
      <w:r>
        <w:t xml:space="preserve">Summary of the major revision</w:t>
      </w:r>
      <w:bookmarkEnd w:id="21"/>
    </w:p>
    <w:p>
      <w:pPr>
        <w:pStyle w:val="FirstParagraph"/>
      </w:pPr>
      <w:r>
        <w:t xml:space="preserve">The version originally submitted described an</w:t>
      </w:r>
      <w:r>
        <w:t xml:space="preserve"> </w:t>
      </w:r>
      <w:r>
        <w:rPr>
          <w:b/>
        </w:rPr>
        <w:t xml:space="preserve">XGBoost multi-output regressor trained on programmatically generated (synthetic) data</w:t>
      </w:r>
      <w:r>
        <w:t xml:space="preserve">, evaluated with regression metrics (R²/RMSE). Several reviewers correctly observed that such a model can only reproduce the rules used to generate its own labels, so high R² does not demonstrate real-world utility.</w:t>
      </w:r>
    </w:p>
    <w:p>
      <w:pPr>
        <w:pStyle w:val="BodyText"/>
      </w:pPr>
      <w:r>
        <w:t xml:space="preserve">In the revised work we have</w:t>
      </w:r>
      <w:r>
        <w:t xml:space="preserve"> </w:t>
      </w:r>
      <w:r>
        <w:rPr>
          <w:b/>
        </w:rPr>
        <w:t xml:space="preserve">replaced this component entirely</w:t>
      </w:r>
      <w:r>
        <w:t xml:space="preserve">. The MLCheM Selector is now a</w:t>
      </w:r>
      <w:r>
        <w:t xml:space="preserve"> </w:t>
      </w:r>
      <w:r>
        <w:rPr>
          <w:b/>
        </w:rPr>
        <w:t xml:space="preserve">text classifier trained on labels taken from real published studies</w:t>
      </w:r>
      <w:r>
        <w:t xml:space="preserve">: each record is labelled with the primary computational method</w:t>
      </w:r>
      <w:r>
        <w:t xml:space="preserve"> </w:t>
      </w:r>
      <w:r>
        <w:rPr>
          <w:i/>
        </w:rPr>
        <w:t xml:space="preserve">actually reported and used in that paper</w:t>
      </w:r>
      <w:r>
        <w:t xml:space="preserve">. The model is evaluated with</w:t>
      </w:r>
      <w:r>
        <w:t xml:space="preserve"> </w:t>
      </w:r>
      <w:r>
        <w:rPr>
          <w:b/>
        </w:rPr>
        <w:t xml:space="preserve">classification metrics on a leak-proof, paper-grouped held-out test set</w:t>
      </w:r>
      <w:r>
        <w:t xml:space="preserve">. Concretely:</w:t>
      </w:r>
    </w:p>
    <w:p>
      <w:pPr>
        <w:numPr>
          <w:ilvl w:val="0"/>
          <w:numId w:val="1001"/>
        </w:numPr>
        <w:pStyle w:val="Compact"/>
      </w:pPr>
      <w:r>
        <w:rPr>
          <w:b/>
        </w:rPr>
        <w:t xml:space="preserve">Task reformulated</w:t>
      </w:r>
      <w:r>
        <w:t xml:space="preserve"> </w:t>
      </w:r>
      <w:r>
        <w:t xml:space="preserve">from multi-output regression to</w:t>
      </w:r>
      <w:r>
        <w:t xml:space="preserve"> </w:t>
      </w:r>
      <w:r>
        <w:rPr>
          <w:b/>
        </w:rPr>
        <w:t xml:space="preserve">single-label classification</w:t>
      </w:r>
      <w:r>
        <w:t xml:space="preserve"> </w:t>
      </w:r>
      <w:r>
        <w:t xml:space="preserve">(the appropriate formulation for a recommendation task).</w:t>
      </w:r>
    </w:p>
    <w:p>
      <w:pPr>
        <w:numPr>
          <w:ilvl w:val="0"/>
          <w:numId w:val="1001"/>
        </w:numPr>
        <w:pStyle w:val="Compact"/>
      </w:pPr>
      <w:r>
        <w:rPr>
          <w:b/>
        </w:rPr>
        <w:t xml:space="preserve">Labels are real</w:t>
      </w:r>
      <w:r>
        <w:t xml:space="preserve">, derived from the primary method reported in each source paper — not author-authored synthetic rules.</w:t>
      </w:r>
    </w:p>
    <w:p>
      <w:pPr>
        <w:numPr>
          <w:ilvl w:val="0"/>
          <w:numId w:val="1001"/>
        </w:numPr>
        <w:pStyle w:val="Compact"/>
      </w:pPr>
      <w:r>
        <w:rPr>
          <w:b/>
        </w:rPr>
        <w:t xml:space="preserve">Evaluation is leak-proof</w:t>
      </w:r>
      <w:r>
        <w:t xml:space="preserve">: papers are grouped so that no paper appears in both training and test, and the text vectoriser is fitted on the training pool only.</w:t>
      </w:r>
    </w:p>
    <w:p>
      <w:pPr>
        <w:numPr>
          <w:ilvl w:val="0"/>
          <w:numId w:val="1001"/>
        </w:numPr>
        <w:pStyle w:val="Compact"/>
      </w:pPr>
      <w:r>
        <w:rPr>
          <w:b/>
        </w:rPr>
        <w:t xml:space="preserve">Reported with classification metrics</w:t>
      </w:r>
      <w:r>
        <w:t xml:space="preserve">: accuracy, macro-F1, per-class precision/recall/F1, a confusion matrix, and a comparison against a majority-class (Zero-R) baseline.</w:t>
      </w:r>
    </w:p>
    <w:p>
      <w:pPr>
        <w:pStyle w:val="FirstParagraph"/>
      </w:pPr>
      <w:r>
        <w:t xml:space="preserve">The point-by-point responses below build on this revision.</w:t>
      </w:r>
    </w:p>
    <w:p>
      <w:r>
        <w:pict>
          <v:rect style="width:0;height:1.5pt" o:hralign="center" o:hrstd="t" o:hr="t"/>
        </w:pict>
      </w:r>
    </w:p>
    <w:p>
      <w:pPr>
        <w:pStyle w:val="Heading2"/>
      </w:pPr>
      <w:bookmarkStart w:id="22" w:name="point-by-point-responses"/>
      <w:r>
        <w:t xml:space="preserve">Point-by-point responses</w:t>
      </w:r>
      <w:bookmarkEnd w:id="22"/>
    </w:p>
    <w:p>
      <w:pPr>
        <w:pStyle w:val="Heading3"/>
      </w:pPr>
      <w:bookmarkStart w:id="23" w:name="Xc68bfd7311b2d95445967247f2f0238db26aefe"/>
      <w:r>
        <w:t xml:space="preserve">Comment 2 (Rev. 2) — Temper novelty; distinguish literature synthesis, conceptual scoring, and proof-of-concept software</w:t>
      </w:r>
      <w:bookmarkEnd w:id="23"/>
    </w:p>
    <w:p>
      <w:pPr>
        <w:pStyle w:val="FirstParagraph"/>
      </w:pPr>
      <w:r>
        <w:rPr>
          <w:b/>
        </w:rPr>
        <w:t xml:space="preserve">Response.</w:t>
      </w:r>
      <w:r>
        <w:t xml:space="preserve"> </w:t>
      </w:r>
      <w:r>
        <w:t xml:space="preserve">We agree and have reframed the contribution accordingly. The revised selector no longer relies on author-authored scoring rules; it learns from the primary methods actually used across 323 literature records. In the text we now clearly separate three distinct elements: (a) the curated literature dataset and its labelling/canonicalisation rules; (b) the machine-learning classifier trained on that dataset; and (c) an optional large-language-model</w:t>
      </w:r>
      <w:r>
        <w:t xml:space="preserve"> </w:t>
      </w:r>
      <w:r>
        <w:t xml:space="preserve">“</w:t>
      </w:r>
      <w:r>
        <w:t xml:space="preserve">second opinion</w:t>
      </w:r>
      <w:r>
        <w:t xml:space="preserve">”</w:t>
      </w:r>
      <w:r>
        <w:t xml:space="preserve"> </w:t>
      </w:r>
      <w:r>
        <w:t xml:space="preserve">for interpretability. Novelty claims have been tempered throughout: the tool is presented as a</w:t>
      </w:r>
      <w:r>
        <w:t xml:space="preserve"> </w:t>
      </w:r>
      <w:r>
        <w:rPr>
          <w:b/>
        </w:rPr>
        <w:t xml:space="preserve">decision-support / proof-of-concept trained on real literature usage</w:t>
      </w:r>
      <w:r>
        <w:t xml:space="preserve">, explicitly</w:t>
      </w:r>
      <w:r>
        <w:t xml:space="preserve"> </w:t>
      </w:r>
      <w:r>
        <w:rPr>
          <w:i/>
        </w:rPr>
        <w:t xml:space="preserve">not</w:t>
      </w:r>
      <w:r>
        <w:t xml:space="preserve"> </w:t>
      </w:r>
      <w:r>
        <w:t xml:space="preserve">a replacement for expert judgement.</w:t>
      </w:r>
    </w:p>
    <w:p>
      <w:pPr>
        <w:pStyle w:val="Heading3"/>
      </w:pPr>
      <w:bookmarkStart w:id="24" w:name="Xc0e66b56ddc7eaf5cca4a489fe3e2ba206ffbc2"/>
      <w:r>
        <w:t xml:space="preserve">Comment 5 (Rev. 2) &amp; Comment 4 (Rev. 3) — Validation is inadequate; report classification-oriented evidence</w:t>
      </w:r>
      <w:bookmarkEnd w:id="24"/>
    </w:p>
    <w:p>
      <w:pPr>
        <w:pStyle w:val="FirstParagraph"/>
      </w:pPr>
      <w:r>
        <w:rPr>
          <w:b/>
        </w:rPr>
        <w:t xml:space="preserve">Response.</w:t>
      </w:r>
      <w:r>
        <w:t xml:space="preserve"> </w:t>
      </w:r>
      <w:r>
        <w:t xml:space="preserve">All requested items are now provided:</w:t>
      </w:r>
    </w:p>
    <w:p>
      <w:pPr>
        <w:numPr>
          <w:ilvl w:val="0"/>
          <w:numId w:val="1002"/>
        </w:numPr>
        <w:pStyle w:val="Compact"/>
      </w:pPr>
      <w:r>
        <w:rPr>
          <w:b/>
        </w:rPr>
        <w:t xml:space="preserve">Dataset size and structure:</w:t>
      </w:r>
      <w:r>
        <w:t xml:space="preserve"> </w:t>
      </w:r>
      <w:r>
        <w:t xml:space="preserve">323 labelled records after cleaning and canonicalisation; class distribution DFT = 143, MD = 103, COSMO-RS = 77.</w:t>
      </w:r>
    </w:p>
    <w:p>
      <w:pPr>
        <w:numPr>
          <w:ilvl w:val="0"/>
          <w:numId w:val="1002"/>
        </w:numPr>
        <w:pStyle w:val="Compact"/>
      </w:pPr>
      <w:r>
        <w:rPr>
          <w:b/>
        </w:rPr>
        <w:t xml:space="preserve">Feature definitions and encoding:</w:t>
      </w:r>
      <w:r>
        <w:t xml:space="preserve"> </w:t>
      </w:r>
      <w:r>
        <w:t xml:space="preserve">four literature text fields —</w:t>
      </w:r>
      <w:r>
        <w:t xml:space="preserve"> </w:t>
      </w:r>
      <w:r>
        <w:rPr>
          <w:i/>
        </w:rPr>
        <w:t xml:space="preserve">property</w:t>
      </w:r>
      <w:r>
        <w:t xml:space="preserve">,</w:t>
      </w:r>
      <w:r>
        <w:t xml:space="preserve"> </w:t>
      </w:r>
      <w:r>
        <w:rPr>
          <w:i/>
        </w:rPr>
        <w:t xml:space="preserve">sub-property</w:t>
      </w:r>
      <w:r>
        <w:t xml:space="preserve">,</w:t>
      </w:r>
      <w:r>
        <w:t xml:space="preserve"> </w:t>
      </w:r>
      <w:r>
        <w:rPr>
          <w:i/>
        </w:rPr>
        <w:t xml:space="preserve">application domain</w:t>
      </w:r>
      <w:r>
        <w:t xml:space="preserve">,</w:t>
      </w:r>
      <w:r>
        <w:t xml:space="preserve"> </w:t>
      </w:r>
      <w:r>
        <w:rPr>
          <w:i/>
        </w:rPr>
        <w:t xml:space="preserve">system type</w:t>
      </w:r>
      <w:r>
        <w:t xml:space="preserve"> </w:t>
      </w:r>
      <w:r>
        <w:t xml:space="preserve">— concatenated and encoded with</w:t>
      </w:r>
      <w:r>
        <w:t xml:space="preserve"> </w:t>
      </w:r>
      <w:r>
        <w:rPr>
          <w:b/>
        </w:rPr>
        <w:t xml:space="preserve">TF-IDF (unigrams + bigrams, 1500 features, sublinear term frequency, English stop-words removed)</w:t>
      </w:r>
      <w:r>
        <w:t xml:space="preserve">.</w:t>
      </w:r>
    </w:p>
    <w:p>
      <w:pPr>
        <w:numPr>
          <w:ilvl w:val="0"/>
          <w:numId w:val="1002"/>
        </w:numPr>
        <w:pStyle w:val="Compact"/>
      </w:pPr>
      <w:r>
        <w:rPr>
          <w:b/>
        </w:rPr>
        <w:t xml:space="preserve">Label-generation rules:</w:t>
      </w:r>
      <w:r>
        <w:t xml:space="preserve"> </w:t>
      </w:r>
      <w:r>
        <w:t xml:space="preserve">labels are the</w:t>
      </w:r>
      <w:r>
        <w:t xml:space="preserve"> </w:t>
      </w:r>
      <w:r>
        <w:rPr>
          <w:b/>
        </w:rPr>
        <w:t xml:space="preserve">primary computational method reported in each paper</w:t>
      </w:r>
      <w:r>
        <w:t xml:space="preserve">, canonicalised into three classes (e.g., AIMD/NEMD/FPMD → MD). These are curation rules over real data,</w:t>
      </w:r>
      <w:r>
        <w:t xml:space="preserve"> </w:t>
      </w:r>
      <w:r>
        <w:rPr>
          <w:i/>
        </w:rPr>
        <w:t xml:space="preserve">not</w:t>
      </w:r>
      <w:r>
        <w:t xml:space="preserve"> </w:t>
      </w:r>
      <w:r>
        <w:t xml:space="preserve">synthetic label generation.</w:t>
      </w:r>
    </w:p>
    <w:p>
      <w:pPr>
        <w:numPr>
          <w:ilvl w:val="0"/>
          <w:numId w:val="1002"/>
        </w:numPr>
        <w:pStyle w:val="Compact"/>
      </w:pPr>
      <w:r>
        <w:rPr>
          <w:b/>
        </w:rPr>
        <w:t xml:space="preserve">Train/validation/test split:</w:t>
      </w:r>
      <w:r>
        <w:t xml:space="preserve"> </w:t>
      </w:r>
      <w:r>
        <w:t xml:space="preserve">a</w:t>
      </w:r>
      <w:r>
        <w:t xml:space="preserve"> </w:t>
      </w:r>
      <w:r>
        <w:rPr>
          <w:b/>
        </w:rPr>
        <w:t xml:space="preserve">leak-proof GroupShuffleSplit grouped by paper</w:t>
      </w:r>
      <w:r>
        <w:t xml:space="preserve"> </w:t>
      </w:r>
      <w:r>
        <w:t xml:space="preserve">— training pool 273 records (266 papers), held-out test 50 records (48 papers, 15.5%). Model selection used</w:t>
      </w:r>
      <w:r>
        <w:t xml:space="preserve"> </w:t>
      </w:r>
      <w:r>
        <w:rPr>
          <w:b/>
        </w:rPr>
        <w:t xml:space="preserve">5-fold Stratified Group K-Fold</w:t>
      </w:r>
      <w:r>
        <w:t xml:space="preserve"> </w:t>
      </w:r>
      <w:r>
        <w:t xml:space="preserve">cross-validation within the training pool only.</w:t>
      </w:r>
    </w:p>
    <w:p>
      <w:pPr>
        <w:numPr>
          <w:ilvl w:val="0"/>
          <w:numId w:val="1002"/>
        </w:numPr>
        <w:pStyle w:val="Compact"/>
      </w:pPr>
      <w:r>
        <w:rPr>
          <w:b/>
        </w:rPr>
        <w:t xml:space="preserve">Why classification, not regression:</w:t>
      </w:r>
      <w:r>
        <w:t xml:space="preserve"> </w:t>
      </w:r>
      <w:r>
        <w:t xml:space="preserve">we agree with the reviewers — the multi-output regressor has been replaced by a single-label classifier, and R²/RMSE are no longer used.</w:t>
      </w:r>
    </w:p>
    <w:p>
      <w:pPr>
        <w:numPr>
          <w:ilvl w:val="0"/>
          <w:numId w:val="1002"/>
        </w:numPr>
        <w:pStyle w:val="Compact"/>
      </w:pPr>
      <w:r>
        <w:rPr>
          <w:b/>
        </w:rPr>
        <w:t xml:space="preserve">Baseline comparison:</w:t>
      </w:r>
      <w:r>
        <w:t xml:space="preserve"> </w:t>
      </w:r>
      <w:r>
        <w:t xml:space="preserve">a majority-class (Zero-R) baseline achieves</w:t>
      </w:r>
      <w:r>
        <w:t xml:space="preserve"> </w:t>
      </w:r>
      <w:r>
        <w:rPr>
          <w:b/>
        </w:rPr>
        <w:t xml:space="preserve">44.3%</w:t>
      </w:r>
      <w:r>
        <w:t xml:space="preserve">; the model achieves</w:t>
      </w:r>
      <w:r>
        <w:t xml:space="preserve"> </w:t>
      </w:r>
      <w:r>
        <w:rPr>
          <w:b/>
        </w:rPr>
        <w:t xml:space="preserve">88.0%</w:t>
      </w:r>
      <w:r>
        <w:t xml:space="preserve"> </w:t>
      </w:r>
      <w:r>
        <w:t xml:space="preserve">— a</w:t>
      </w:r>
      <w:r>
        <w:t xml:space="preserve"> </w:t>
      </w:r>
      <w:r>
        <w:rPr>
          <w:b/>
        </w:rPr>
        <w:t xml:space="preserve">+43.7 percentage-point</w:t>
      </w:r>
      <w:r>
        <w:t xml:space="preserve"> </w:t>
      </w:r>
      <w:r>
        <w:t xml:space="preserve">improvement, demonstrating that the learned model adds value over a trivial rule.</w:t>
      </w:r>
    </w:p>
    <w:p>
      <w:pPr>
        <w:numPr>
          <w:ilvl w:val="0"/>
          <w:numId w:val="1002"/>
        </w:numPr>
        <w:pStyle w:val="Compact"/>
      </w:pPr>
      <w:r>
        <w:rPr>
          <w:b/>
        </w:rPr>
        <w:t xml:space="preserve">Confusion matrix and per-class metrics:</w:t>
      </w:r>
      <w:r>
        <w:t xml:space="preserve"> </w:t>
      </w:r>
      <w:r>
        <w:t xml:space="preserve">provided (see revised Table and Figure). Held-out</w:t>
      </w:r>
      <w:r>
        <w:t xml:space="preserve"> </w:t>
      </w:r>
      <w:r>
        <w:rPr>
          <w:b/>
        </w:rPr>
        <w:t xml:space="preserve">accuracy = 0.880</w:t>
      </w:r>
      <w:r>
        <w:t xml:space="preserve">,</w:t>
      </w:r>
      <w:r>
        <w:t xml:space="preserve"> </w:t>
      </w:r>
      <w:r>
        <w:rPr>
          <w:b/>
        </w:rPr>
        <w:t xml:space="preserve">macro-F1 = 0.877</w:t>
      </w:r>
      <w:r>
        <w:t xml:space="preserve">:</w:t>
      </w:r>
    </w:p>
    <w:tbl>
      <w:tblPr>
        <w:tblStyle w:val="Table"/>
        <w:tblW w:type="pct" w:w="4027.777777777778"/>
        <w:tblLook w:firstRow="1"/>
      </w:tblPr>
      <w:tblGrid>
        <w:gridCol w:w="2200"/>
        <w:gridCol w:w="1320"/>
        <w:gridCol w:w="990"/>
        <w:gridCol w:w="770"/>
        <w:gridCol w:w="1100"/>
      </w:tblGrid>
      <w:tr>
        <w:trPr>
          <w:cnfStyle w:firstRow="1"/>
        </w:trPr>
        <w:tc>
          <w:tcPr>
            <w:tcBorders>
              <w:bottom w:val="single"/>
            </w:tcBorders>
            <w:vAlign w:val="bottom"/>
          </w:tcPr>
          <w:p>
            <w:pPr>
              <w:pStyle w:val="Compact"/>
              <w:jc w:val="left"/>
            </w:pPr>
            <w:r>
              <w:t xml:space="preserve">Method</w:t>
            </w:r>
          </w:p>
        </w:tc>
        <w:tc>
          <w:tcPr>
            <w:tcBorders>
              <w:bottom w:val="single"/>
            </w:tcBorders>
            <w:vAlign w:val="bottom"/>
          </w:tcPr>
          <w:p>
            <w:pPr>
              <w:pStyle w:val="Compact"/>
              <w:jc w:val="left"/>
            </w:pPr>
            <w:r>
              <w:t xml:space="preserve">Precision</w:t>
            </w:r>
          </w:p>
        </w:tc>
        <w:tc>
          <w:tcPr>
            <w:tcBorders>
              <w:bottom w:val="single"/>
            </w:tcBorders>
            <w:vAlign w:val="bottom"/>
          </w:tcPr>
          <w:p>
            <w:pPr>
              <w:pStyle w:val="Compact"/>
              <w:jc w:val="left"/>
            </w:pPr>
            <w:r>
              <w:t xml:space="preserve">Recall</w:t>
            </w:r>
          </w:p>
        </w:tc>
        <w:tc>
          <w:tcPr>
            <w:tcBorders>
              <w:bottom w:val="single"/>
            </w:tcBorders>
            <w:vAlign w:val="bottom"/>
          </w:tcPr>
          <w:p>
            <w:pPr>
              <w:pStyle w:val="Compact"/>
              <w:jc w:val="left"/>
            </w:pPr>
            <w:r>
              <w:t xml:space="preserve">F1</w:t>
            </w:r>
          </w:p>
        </w:tc>
        <w:tc>
          <w:tcPr>
            <w:tcBorders>
              <w:bottom w:val="single"/>
            </w:tcBorders>
            <w:vAlign w:val="bottom"/>
          </w:tcPr>
          <w:p>
            <w:pPr>
              <w:pStyle w:val="Compact"/>
              <w:jc w:val="left"/>
            </w:pPr>
            <w:r>
              <w:t xml:space="preserve">Support</w:t>
            </w:r>
          </w:p>
        </w:tc>
      </w:tr>
      <w:tr>
        <w:tc>
          <w:p>
            <w:pPr>
              <w:pStyle w:val="Compact"/>
              <w:jc w:val="left"/>
            </w:pPr>
            <w:r>
              <w:t xml:space="preserve">COSMO-RS</w:t>
            </w:r>
          </w:p>
        </w:tc>
        <w:tc>
          <w:p>
            <w:pPr>
              <w:pStyle w:val="Compact"/>
              <w:jc w:val="left"/>
            </w:pPr>
            <w:r>
              <w:t xml:space="preserve">0.80</w:t>
            </w:r>
          </w:p>
        </w:tc>
        <w:tc>
          <w:p>
            <w:pPr>
              <w:pStyle w:val="Compact"/>
              <w:jc w:val="left"/>
            </w:pPr>
            <w:r>
              <w:t xml:space="preserve">0.92</w:t>
            </w:r>
          </w:p>
        </w:tc>
        <w:tc>
          <w:p>
            <w:pPr>
              <w:pStyle w:val="Compact"/>
              <w:jc w:val="left"/>
            </w:pPr>
            <w:r>
              <w:t xml:space="preserve">0.86</w:t>
            </w:r>
          </w:p>
        </w:tc>
        <w:tc>
          <w:p>
            <w:pPr>
              <w:pStyle w:val="Compact"/>
              <w:jc w:val="left"/>
            </w:pPr>
            <w:r>
              <w:t xml:space="preserve">13</w:t>
            </w:r>
          </w:p>
        </w:tc>
      </w:tr>
      <w:tr>
        <w:tc>
          <w:p>
            <w:pPr>
              <w:pStyle w:val="Compact"/>
              <w:jc w:val="left"/>
            </w:pPr>
            <w:r>
              <w:t xml:space="preserve">DFT</w:t>
            </w:r>
          </w:p>
        </w:tc>
        <w:tc>
          <w:p>
            <w:pPr>
              <w:pStyle w:val="Compact"/>
              <w:jc w:val="left"/>
            </w:pPr>
            <w:r>
              <w:t xml:space="preserve">1.00</w:t>
            </w:r>
          </w:p>
        </w:tc>
        <w:tc>
          <w:p>
            <w:pPr>
              <w:pStyle w:val="Compact"/>
              <w:jc w:val="left"/>
            </w:pPr>
            <w:r>
              <w:t xml:space="preserve">0.82</w:t>
            </w:r>
          </w:p>
        </w:tc>
        <w:tc>
          <w:p>
            <w:pPr>
              <w:pStyle w:val="Compact"/>
              <w:jc w:val="left"/>
            </w:pPr>
            <w:r>
              <w:t xml:space="preserve">0.90</w:t>
            </w:r>
          </w:p>
        </w:tc>
        <w:tc>
          <w:p>
            <w:pPr>
              <w:pStyle w:val="Compact"/>
              <w:jc w:val="left"/>
            </w:pPr>
            <w:r>
              <w:t xml:space="preserve">22</w:t>
            </w:r>
          </w:p>
        </w:tc>
      </w:tr>
      <w:tr>
        <w:tc>
          <w:p>
            <w:pPr>
              <w:pStyle w:val="Compact"/>
              <w:jc w:val="left"/>
            </w:pPr>
            <w:r>
              <w:t xml:space="preserve">MD</w:t>
            </w:r>
          </w:p>
        </w:tc>
        <w:tc>
          <w:p>
            <w:pPr>
              <w:pStyle w:val="Compact"/>
              <w:jc w:val="left"/>
            </w:pPr>
            <w:r>
              <w:t xml:space="preserve">0.82</w:t>
            </w:r>
          </w:p>
        </w:tc>
        <w:tc>
          <w:p>
            <w:pPr>
              <w:pStyle w:val="Compact"/>
              <w:jc w:val="left"/>
            </w:pPr>
            <w:r>
              <w:t xml:space="preserve">0.93</w:t>
            </w:r>
          </w:p>
        </w:tc>
        <w:tc>
          <w:p>
            <w:pPr>
              <w:pStyle w:val="Compact"/>
              <w:jc w:val="left"/>
            </w:pPr>
            <w:r>
              <w:t xml:space="preserve">0.88</w:t>
            </w:r>
          </w:p>
        </w:tc>
        <w:tc>
          <w:p>
            <w:pPr>
              <w:pStyle w:val="Compact"/>
              <w:jc w:val="left"/>
            </w:pPr>
            <w:r>
              <w:t xml:space="preserve">15</w:t>
            </w:r>
          </w:p>
        </w:tc>
      </w:tr>
      <w:tr>
        <w:tc>
          <w:p>
            <w:pPr>
              <w:pStyle w:val="Compact"/>
              <w:jc w:val="left"/>
            </w:pPr>
            <w:r>
              <w:t xml:space="preserve">Macro average</w:t>
            </w:r>
          </w:p>
        </w:tc>
        <w:tc>
          <w:p>
            <w:pPr>
              <w:pStyle w:val="Compact"/>
              <w:jc w:val="left"/>
            </w:pPr>
            <w:r>
              <w:t xml:space="preserve">0.87</w:t>
            </w:r>
          </w:p>
        </w:tc>
        <w:tc>
          <w:p>
            <w:pPr>
              <w:pStyle w:val="Compact"/>
              <w:jc w:val="left"/>
            </w:pPr>
            <w:r>
              <w:t xml:space="preserve">0.89</w:t>
            </w:r>
          </w:p>
        </w:tc>
        <w:tc>
          <w:p>
            <w:pPr>
              <w:pStyle w:val="Compact"/>
              <w:jc w:val="left"/>
            </w:pPr>
            <w:r>
              <w:t xml:space="preserve">0.88</w:t>
            </w:r>
          </w:p>
        </w:tc>
        <w:tc>
          <w:p>
            <w:pPr>
              <w:pStyle w:val="Compact"/>
              <w:jc w:val="left"/>
            </w:pPr>
            <w:r>
              <w:t xml:space="preserve">50</w:t>
            </w:r>
          </w:p>
        </w:tc>
      </w:tr>
    </w:tbl>
    <w:p>
      <w:pPr>
        <w:numPr>
          <w:ilvl w:val="0"/>
          <w:numId w:val="1003"/>
        </w:numPr>
        <w:pStyle w:val="Compact"/>
      </w:pPr>
      <w:r>
        <w:rPr>
          <w:b/>
        </w:rPr>
        <w:t xml:space="preserve">Uncertainty estimates:</w:t>
      </w:r>
      <w:r>
        <w:t xml:space="preserve"> </w:t>
      </w:r>
      <w:r>
        <w:t xml:space="preserve">the model outputs class probabilities, surfaced to the user as per-method confidence values in the interface.</w:t>
      </w:r>
    </w:p>
    <w:p>
      <w:pPr>
        <w:numPr>
          <w:ilvl w:val="0"/>
          <w:numId w:val="1003"/>
        </w:numPr>
        <w:pStyle w:val="Compact"/>
      </w:pPr>
      <w:r>
        <w:rPr>
          <w:b/>
        </w:rPr>
        <w:t xml:space="preserve">Success/failure examples:</w:t>
      </w:r>
      <w:r>
        <w:t xml:space="preserve"> </w:t>
      </w:r>
      <w:r>
        <w:t xml:space="preserve">discussed with reference to the off-diagonal entries of the confusion matrix (e.g., a subset of DFT records — recall 0.82 — are drawn toward MD/COSMO-RS when the reported systems overlap).</w:t>
      </w:r>
    </w:p>
    <w:p>
      <w:pPr>
        <w:pStyle w:val="Heading3"/>
      </w:pPr>
      <w:bookmarkStart w:id="25" w:name="X5e40b9e6299696df54a58f5bd1714f40da13338"/>
      <w:r>
        <w:t xml:space="preserve">Comment 8 (Rev. 2) — Add a limitations section specific to the MLCheM Selector</w:t>
      </w:r>
      <w:bookmarkEnd w:id="25"/>
    </w:p>
    <w:p>
      <w:pPr>
        <w:pStyle w:val="FirstParagraph"/>
      </w:pPr>
      <w:r>
        <w:rPr>
          <w:b/>
        </w:rPr>
        <w:t xml:space="preserve">Response.</w:t>
      </w:r>
      <w:r>
        <w:t xml:space="preserve"> </w:t>
      </w:r>
      <w:r>
        <w:t xml:space="preserve">A dedicated limitations section has been added, stating candidly that: (i) labels reflect the</w:t>
      </w:r>
      <w:r>
        <w:t xml:space="preserve"> </w:t>
      </w:r>
      <w:r>
        <w:rPr>
          <w:i/>
        </w:rPr>
        <w:t xml:space="preserve">primary</w:t>
      </w:r>
      <w:r>
        <w:t xml:space="preserve"> </w:t>
      </w:r>
      <w:r>
        <w:t xml:space="preserve">method chosen by the original authors, a practical proxy rather than an independent expert consensus; (ii) real computational-chemistry studies are frequently multi-method and workflow-based, whereas the model predicts a single primary method; (iii) only the three well-represented methods (COSMO-RS, DFT, MD) are modelled — Ab-initio, Monte Carlo, and QM/MM were too sparse to train reliably and were excluded; (iv) the dataset is modest (323 records); and (v) the LLM component is a non-authoritative aid, not a validated predictor.</w:t>
      </w:r>
    </w:p>
    <w:p>
      <w:pPr>
        <w:pStyle w:val="Heading3"/>
      </w:pPr>
      <w:bookmarkStart w:id="26" w:name="Xf43ca555171984817a48fda9f9e9d0e692a977f"/>
      <w:r>
        <w:t xml:space="preserve">Comment 9 (Rev. 2) &amp; Comment 19 (Rev. 3) — Make the repository fully reproducible and archived</w:t>
      </w:r>
      <w:bookmarkEnd w:id="26"/>
    </w:p>
    <w:p>
      <w:pPr>
        <w:pStyle w:val="FirstParagraph"/>
      </w:pPr>
      <w:r>
        <w:rPr>
          <w:b/>
        </w:rPr>
        <w:t xml:space="preserve">Response.</w:t>
      </w:r>
      <w:r>
        <w:t xml:space="preserve"> </w:t>
      </w:r>
      <w:r>
        <w:t xml:space="preserve">The repository has been reorganised for reproducibility and now contains the dataset, the training notebook/script (full pipeline: canonicalisation → feature construction → paper-grouped split with a fixed random seed → model selection → evaluation), the trained model artefacts, an environment/dependency file, an open licence (MIT), documentation, and step-by-step instructions to reproduce the reported Table and confusion matrix. At acceptance the repository will be archived with a</w:t>
      </w:r>
      <w:r>
        <w:t xml:space="preserve"> </w:t>
      </w:r>
      <w:r>
        <w:rPr>
          <w:b/>
        </w:rPr>
        <w:t xml:space="preserve">versioned DOI (Zenodo)</w:t>
      </w:r>
      <w:r>
        <w:t xml:space="preserve"> </w:t>
      </w:r>
      <w:r>
        <w:t xml:space="preserve">and tagged release.</w:t>
      </w:r>
    </w:p>
    <w:p>
      <w:pPr>
        <w:pStyle w:val="Heading3"/>
      </w:pPr>
      <w:bookmarkStart w:id="27" w:name="X0a0dbd425b66528e37556f27e9ae7be4eaf3bae"/>
      <w:r>
        <w:t xml:space="preserve">Comment 3 (Rev. 3) &amp; Comment 3 (Rev. 5) — The model may only learn the authors’ own rules; validate on real cases or present as a conceptual prototype</w:t>
      </w:r>
      <w:bookmarkEnd w:id="27"/>
    </w:p>
    <w:p>
      <w:pPr>
        <w:pStyle w:val="FirstParagraph"/>
      </w:pPr>
      <w:r>
        <w:rPr>
          <w:b/>
        </w:rPr>
        <w:t xml:space="preserve">Response.</w:t>
      </w:r>
      <w:r>
        <w:t xml:space="preserve"> </w:t>
      </w:r>
      <w:r>
        <w:t xml:space="preserve">This is the concern our central revision is designed to resolve. Because the labels are now the primary methods used in</w:t>
      </w:r>
      <w:r>
        <w:t xml:space="preserve"> </w:t>
      </w:r>
      <w:r>
        <w:rPr>
          <w:b/>
        </w:rPr>
        <w:t xml:space="preserve">independent published studies</w:t>
      </w:r>
      <w:r>
        <w:t xml:space="preserve">, and evaluation is performed on a</w:t>
      </w:r>
      <w:r>
        <w:t xml:space="preserve"> </w:t>
      </w:r>
      <w:r>
        <w:rPr>
          <w:b/>
        </w:rPr>
        <w:t xml:space="preserve">held-out set of papers not seen during training</w:t>
      </w:r>
      <w:r>
        <w:t xml:space="preserve">, the reported 88.0% reflects agreement with real-world method choices in unseen literature rather than reproduction of a synthetic rule set. We also acknowledge the reviewers’ deeper point that method selection is often ambiguous and workflow-dependent: we therefore (a) define the prediction target explicitly as the</w:t>
      </w:r>
      <w:r>
        <w:t xml:space="preserve"> </w:t>
      </w:r>
      <w:r>
        <w:rPr>
          <w:i/>
        </w:rPr>
        <w:t xml:space="preserve">primary</w:t>
      </w:r>
      <w:r>
        <w:t xml:space="preserve"> </w:t>
      </w:r>
      <w:r>
        <w:t xml:space="preserve">reported method, (b) present the output as a ranked set of methods with probabilities rather than a single mandated choice, and (c) list multi-method workflows as an explicit limitation.</w:t>
      </w:r>
    </w:p>
    <w:p>
      <w:pPr>
        <w:pStyle w:val="Heading3"/>
      </w:pPr>
      <w:bookmarkStart w:id="28" w:name="X395daf8e642c65f332bf40b9ff886f33b85119c"/>
      <w:r>
        <w:t xml:space="preserve">Comment 2 (Rev. 5) — Underlying data, scripts, and split are not in the repository</w:t>
      </w:r>
      <w:bookmarkEnd w:id="28"/>
    </w:p>
    <w:p>
      <w:pPr>
        <w:pStyle w:val="FirstParagraph"/>
      </w:pPr>
      <w:r>
        <w:rPr>
          <w:b/>
        </w:rPr>
        <w:t xml:space="preserve">Response.</w:t>
      </w:r>
      <w:r>
        <w:t xml:space="preserve"> </w:t>
      </w:r>
      <w:r>
        <w:t xml:space="preserve">These are now included. The repository provides the dataset, the training script/notebook containing the labelling/canonicalisation rules and the exact paper-grouped split (fixed seed), and the evaluation code, so that the held-out metrics and confusion matrix are fully reproducible from the supplied materials. We note for clarity that, because the data are drawn from real literature rather than generated, the artefact is a</w:t>
      </w:r>
      <w:r>
        <w:t xml:space="preserve"> </w:t>
      </w:r>
      <w:r>
        <w:rPr>
          <w:b/>
        </w:rPr>
        <w:t xml:space="preserve">dataset plus documented labelling rules</w:t>
      </w:r>
      <w:r>
        <w:t xml:space="preserve"> </w:t>
      </w:r>
      <w:r>
        <w:t xml:space="preserve">rather than a synthetic</w:t>
      </w:r>
      <w:r>
        <w:t xml:space="preserve"> </w:t>
      </w:r>
      <w:r>
        <w:t xml:space="preserve">“</w:t>
      </w:r>
      <w:r>
        <w:t xml:space="preserve">data-generation script.</w:t>
      </w:r>
      <w:r>
        <w:t xml:space="preserve">”</w:t>
      </w:r>
    </w:p>
    <w:p>
      <w:pPr>
        <w:pStyle w:val="Heading3"/>
      </w:pPr>
      <w:bookmarkStart w:id="29" w:name="Xe5a96c377a34c816ef7df6d246b9ece5de98ff2"/>
      <w:r>
        <w:t xml:space="preserve">Comment 4 (Rev. 5) — Inconsistency between the manuscript (XGBoost) and the repository (LLaMA/Groq); document or remove the LLM component</w:t>
      </w:r>
      <w:bookmarkEnd w:id="29"/>
    </w:p>
    <w:p>
      <w:pPr>
        <w:pStyle w:val="FirstParagraph"/>
      </w:pPr>
      <w:r>
        <w:rPr>
          <w:b/>
        </w:rPr>
        <w:t xml:space="preserve">Response.</w:t>
      </w:r>
      <w:r>
        <w:t xml:space="preserve"> </w:t>
      </w:r>
      <w:r>
        <w:t xml:space="preserve">The manuscript and repository are now consistent, and the LLM component is fully documented in a new Methods subsection. Specifically:</w:t>
      </w:r>
    </w:p>
    <w:p>
      <w:pPr>
        <w:numPr>
          <w:ilvl w:val="0"/>
          <w:numId w:val="1004"/>
        </w:numPr>
        <w:pStyle w:val="Compact"/>
      </w:pPr>
      <w:r>
        <w:rPr>
          <w:b/>
        </w:rPr>
        <w:t xml:space="preserve">Role:</w:t>
      </w:r>
      <w:r>
        <w:t xml:space="preserve"> </w:t>
      </w:r>
      <w:r>
        <w:t xml:space="preserve">an</w:t>
      </w:r>
      <w:r>
        <w:t xml:space="preserve"> </w:t>
      </w:r>
      <w:r>
        <w:rPr>
          <w:b/>
        </w:rPr>
        <w:t xml:space="preserve">optional, parallel</w:t>
      </w:r>
      <w:r>
        <w:rPr>
          <w:b/>
        </w:rPr>
        <w:t xml:space="preserve"> </w:t>
      </w:r>
      <w:r>
        <w:rPr>
          <w:b/>
        </w:rPr>
        <w:t xml:space="preserve">“</w:t>
      </w:r>
      <w:r>
        <w:rPr>
          <w:b/>
        </w:rPr>
        <w:t xml:space="preserve">second opinion</w:t>
      </w:r>
      <w:r>
        <w:rPr>
          <w:b/>
        </w:rPr>
        <w:t xml:space="preserve">”</w:t>
      </w:r>
      <w:r>
        <w:t xml:space="preserve"> </w:t>
      </w:r>
      <w:r>
        <w:t xml:space="preserve">displayed side-by-side with the ML recommendation. It is an interpretability aid and</w:t>
      </w:r>
      <w:r>
        <w:t xml:space="preserve"> </w:t>
      </w:r>
      <w:r>
        <w:rPr>
          <w:b/>
        </w:rPr>
        <w:t xml:space="preserve">does not alter the machine-learning recommendation</w:t>
      </w:r>
      <w:r>
        <w:t xml:space="preserve">, which remains the quantitative output of the system.</w:t>
      </w:r>
    </w:p>
    <w:p>
      <w:pPr>
        <w:numPr>
          <w:ilvl w:val="0"/>
          <w:numId w:val="1004"/>
        </w:numPr>
        <w:pStyle w:val="Compact"/>
      </w:pPr>
      <w:r>
        <w:rPr>
          <w:b/>
        </w:rPr>
        <w:t xml:space="preserve">Model and version:</w:t>
      </w:r>
      <w:r>
        <w:t xml:space="preserve"> </w:t>
      </w:r>
      <w:r>
        <w:t xml:space="preserve">Groq-hosted</w:t>
      </w:r>
      <w:r>
        <w:t xml:space="preserve"> </w:t>
      </w:r>
      <w:r>
        <w:rPr>
          <w:b/>
        </w:rPr>
        <w:t xml:space="preserve">GPT-OSS 120B</w:t>
      </w:r>
      <w:r>
        <w:t xml:space="preserve"> </w:t>
      </w:r>
      <w:r>
        <w:t xml:space="preserve">(the originally referenced</w:t>
      </w:r>
      <w:r>
        <w:t xml:space="preserve"> </w:t>
      </w:r>
      <w:r>
        <w:rPr>
          <w:rStyle w:val="VerbatimChar"/>
        </w:rPr>
        <w:t xml:space="preserve">llama-3.1-8b-instant</w:t>
      </w:r>
      <w:r>
        <w:t xml:space="preserve"> </w:t>
      </w:r>
      <w:r>
        <w:t xml:space="preserve">has since been deprecated by the provider and replaced).</w:t>
      </w:r>
    </w:p>
    <w:p>
      <w:pPr>
        <w:numPr>
          <w:ilvl w:val="0"/>
          <w:numId w:val="1004"/>
        </w:numPr>
        <w:pStyle w:val="Compact"/>
      </w:pPr>
      <w:r>
        <w:rPr>
          <w:b/>
        </w:rPr>
        <w:t xml:space="preserve">Decoding parameters:</w:t>
      </w:r>
      <w:r>
        <w:t xml:space="preserve"> </w:t>
      </w:r>
      <w:r>
        <w:t xml:space="preserve">temperature 0.1 with structured JSON-mode output.</w:t>
      </w:r>
    </w:p>
    <w:p>
      <w:pPr>
        <w:numPr>
          <w:ilvl w:val="0"/>
          <w:numId w:val="1004"/>
        </w:numPr>
        <w:pStyle w:val="Compact"/>
      </w:pPr>
      <w:r>
        <w:rPr>
          <w:b/>
        </w:rPr>
        <w:t xml:space="preserve">Grounding mechanism:</w:t>
      </w:r>
      <w:r>
        <w:t xml:space="preserve"> </w:t>
      </w:r>
      <w:r>
        <w:t xml:space="preserve">a fixed domain-knowledge prompt containing the same method profiles used in the study. We state explicitly that this is</w:t>
      </w:r>
      <w:r>
        <w:t xml:space="preserve"> </w:t>
      </w:r>
      <w:r>
        <w:rPr>
          <w:b/>
        </w:rPr>
        <w:t xml:space="preserve">prompt-based grounding, not retrieval-augmented generation</w:t>
      </w:r>
      <w:r>
        <w:t xml:space="preserve">; there is no external citation/retrieval step.</w:t>
      </w:r>
    </w:p>
    <w:p>
      <w:pPr>
        <w:numPr>
          <w:ilvl w:val="0"/>
          <w:numId w:val="1004"/>
        </w:numPr>
        <w:pStyle w:val="Compact"/>
      </w:pPr>
      <w:r>
        <w:rPr>
          <w:b/>
        </w:rPr>
        <w:t xml:space="preserve">Reproducibility limitation:</w:t>
      </w:r>
      <w:r>
        <w:t xml:space="preserve"> </w:t>
      </w:r>
      <w:r>
        <w:t xml:space="preserve">LLM outputs are non-deterministic and may change with provider model updates; the component is therefore excluded from the quantitative evaluation and presented only as a complementary aid.</w:t>
      </w:r>
    </w:p>
    <w:p>
      <w:pPr>
        <w:pStyle w:val="FirstParagraph"/>
      </w:pPr>
      <w:r>
        <w:t xml:space="preserve">Because this component is auxiliary and non-authoritative, the core sci</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2026-07-11T04:57:18Z</dcterms:created>
  <dcterms:modified xsi:type="dcterms:W3CDTF">2026-07-11T04:57:18Z</dcterms:modified>
</cp:coreProperties>
</file>

<file path=docProps/custom.xml><?xml version="1.0" encoding="utf-8"?>
<Properties xmlns="http://schemas.openxmlformats.org/officeDocument/2006/custom-properties" xmlns:vt="http://schemas.openxmlformats.org/officeDocument/2006/docPropsVTypes"/>
</file>