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16b2746434339e5d41dd397909aa637169ad5b"/>
      <w:r>
        <w:t xml:space="preserve">6. Machine Learning-based Computational Chemistry Method Selector (MLCheM Selector)</w:t>
      </w:r>
      <w:bookmarkEnd w:id="20"/>
    </w:p>
    <w:p>
      <w:pPr>
        <w:pStyle w:val="FirstParagraph"/>
      </w:pPr>
      <w:r>
        <w:rPr>
          <w:i/>
        </w:rPr>
        <w:t xml:space="preserve">(Revised. This section replaces the previously submitted description of a synthetic-data XGBoost regressor. The tool has been re-implemented as a classifier trained on labels taken from real published studies and evaluated with classification metrics on a leak-proof held-out set.)</w:t>
      </w:r>
    </w:p>
    <w:p>
      <w:pPr>
        <w:pStyle w:val="BodyText"/>
      </w:pPr>
      <w:r>
        <w:t xml:space="preserve">To support the selection of appropriate computational methods in engineering applications, a machine learning-assisted decision-support framework was developed. The framework is not intended to supplant expert judgement; rather, it functions as a decision-support tool that suggests a suitable computational chemistry method from a short description of the target calculation. In contrast to the earlier prototype, the underlying model is trained on the methods</w:t>
      </w:r>
      <w:r>
        <w:t xml:space="preserve"> </w:t>
      </w:r>
      <w:r>
        <w:rPr>
          <w:b/>
        </w:rPr>
        <w:t xml:space="preserve">actually used in published computational-chemistry studies</w:t>
      </w:r>
      <w:r>
        <w:t xml:space="preserve">, so that its recommendations reflect established practice in the literature rather than a set of hand-encoded rules.</w:t>
      </w:r>
    </w:p>
    <w:p>
      <w:pPr>
        <w:pStyle w:val="Heading2"/>
      </w:pPr>
      <w:bookmarkStart w:id="21" w:name="system-architecture-and-workflow"/>
      <w:r>
        <w:t xml:space="preserve">6.1 System Architecture and Workflow</w:t>
      </w:r>
      <w:bookmarkEnd w:id="21"/>
    </w:p>
    <w:p>
      <w:pPr>
        <w:pStyle w:val="FirstParagraph"/>
      </w:pPr>
      <w:r>
        <w:t xml:space="preserve">The framework adopts a two-phase design: an</w:t>
      </w:r>
      <w:r>
        <w:t xml:space="preserve"> </w:t>
      </w:r>
      <w:r>
        <w:rPr>
          <w:b/>
        </w:rPr>
        <w:t xml:space="preserve">offline training pipeline</w:t>
      </w:r>
      <w:r>
        <w:t xml:space="preserve"> </w:t>
      </w:r>
      <w:r>
        <w:t xml:space="preserve">that produces the prediction model, and an</w:t>
      </w:r>
      <w:r>
        <w:t xml:space="preserve"> </w:t>
      </w:r>
      <w:r>
        <w:rPr>
          <w:b/>
        </w:rPr>
        <w:t xml:space="preserve">online prediction service</w:t>
      </w:r>
      <w:r>
        <w:t xml:space="preserve"> </w:t>
      </w:r>
      <w:r>
        <w:t xml:space="preserve">that serves recommendations at runtime. At runtime the system comprises a browser-based user interface and a single application backend that hosts the trained model; the two communicate through a lightweight application programming interface, allowing the model to be retrained or replaced without modifying the interface.</w:t>
      </w:r>
    </w:p>
    <w:p>
      <w:pPr>
        <w:pStyle w:val="BodyText"/>
      </w:pPr>
      <w:r>
        <w:t xml:space="preserve">Through the interface the user describes a calculation using four short text fields: the</w:t>
      </w:r>
      <w:r>
        <w:t xml:space="preserve"> </w:t>
      </w:r>
      <w:r>
        <w:rPr>
          <w:b/>
        </w:rPr>
        <w:t xml:space="preserve">property category</w:t>
      </w:r>
      <w:r>
        <w:t xml:space="preserve"> </w:t>
      </w:r>
      <w:r>
        <w:t xml:space="preserve">of interest (for example thermodynamic, transport, or structural/electronic), the specific</w:t>
      </w:r>
      <w:r>
        <w:t xml:space="preserve"> </w:t>
      </w:r>
      <w:r>
        <w:rPr>
          <w:b/>
        </w:rPr>
        <w:t xml:space="preserve">sub-property</w:t>
      </w:r>
      <w:r>
        <w:t xml:space="preserve"> </w:t>
      </w:r>
      <w:r>
        <w:t xml:space="preserve">to be evaluated, the</w:t>
      </w:r>
      <w:r>
        <w:t xml:space="preserve"> </w:t>
      </w:r>
      <w:r>
        <w:rPr>
          <w:b/>
        </w:rPr>
        <w:t xml:space="preserve">application domain</w:t>
      </w:r>
      <w:r>
        <w:t xml:space="preserve"> </w:t>
      </w:r>
      <w:r>
        <w:t xml:space="preserve">(for example gas separation or catalysis), and the</w:t>
      </w:r>
      <w:r>
        <w:t xml:space="preserve"> </w:t>
      </w:r>
      <w:r>
        <w:rPr>
          <w:b/>
        </w:rPr>
        <w:t xml:space="preserve">system type</w:t>
      </w:r>
      <w:r>
        <w:t xml:space="preserve"> </w:t>
      </w:r>
      <w:r>
        <w:t xml:space="preserve">(for example ionic liquids, MOFs, or polymers). These fields are concatenated into a single text description, encoded into a numerical feature representation, and passed to the trained classifier, which returns the recommended computational method together with a probability for each candidate method. The complete workflow, incorporating both the offline training pipeline and the runtime prediction service, is summarised schematically in Figure 14.</w:t>
      </w:r>
    </w:p>
    <w:p>
      <w:pPr>
        <w:pStyle w:val="Heading2"/>
      </w:pPr>
      <w:bookmarkStart w:id="22" w:name="X448dd77cc218167ba1b26961ec3389eff3f373f"/>
      <w:r>
        <w:t xml:space="preserve">6.2 Dataset Construction, Model Implementation, and Performance</w:t>
      </w:r>
      <w:bookmarkEnd w:id="22"/>
    </w:p>
    <w:p>
      <w:pPr>
        <w:pStyle w:val="FirstParagraph"/>
      </w:pPr>
      <w:r>
        <w:rPr>
          <w:b/>
        </w:rPr>
        <w:t xml:space="preserve">Dataset.</w:t>
      </w:r>
      <w:r>
        <w:t xml:space="preserve"> </w:t>
      </w:r>
      <w:r>
        <w:t xml:space="preserve">The training data were compiled from published computational-chemistry studies. Each record corresponds to a reported calculation and is labelled with the</w:t>
      </w:r>
      <w:r>
        <w:t xml:space="preserve"> </w:t>
      </w:r>
      <w:r>
        <w:rPr>
          <w:b/>
        </w:rPr>
        <w:t xml:space="preserve">primary computational method actually used in that study</w:t>
      </w:r>
      <w:r>
        <w:t xml:space="preserve">. Reported method names were canonicalised into a consistent label set (for example, ab-initio molecular dynamics, non-equilibrium molecular dynamics, and first-principles molecular dynamics were all mapped to</w:t>
      </w:r>
      <w:r>
        <w:t xml:space="preserve"> </w:t>
      </w:r>
      <w:r>
        <w:rPr>
          <w:i/>
        </w:rPr>
        <w:t xml:space="preserve">Molecular Dynamics</w:t>
      </w:r>
      <w:r>
        <w:t xml:space="preserve">). Records whose primary method fell outside the three well-represented classes were excluded because they were too sparse to model reliably. After cleaning and canonicalisation, the dataset comprised</w:t>
      </w:r>
      <w:r>
        <w:t xml:space="preserve"> </w:t>
      </w:r>
      <w:r>
        <w:rPr>
          <w:b/>
        </w:rPr>
        <w:t xml:space="preserve">323 labelled records</w:t>
      </w:r>
      <w:r>
        <w:t xml:space="preserve"> </w:t>
      </w:r>
      <w:r>
        <w:t xml:space="preserve">spanning three computational methods —</w:t>
      </w:r>
      <w:r>
        <w:t xml:space="preserve"> </w:t>
      </w:r>
      <w:r>
        <w:rPr>
          <w:b/>
        </w:rPr>
        <w:t xml:space="preserve">Density Functional Theory (DFT, 143 records), Molecular Dynamics (MD, 103 records), and COSMO-RS (77 records)</w:t>
      </w:r>
      <w:r>
        <w:t xml:space="preserve">.</w:t>
      </w:r>
    </w:p>
    <w:p>
      <w:pPr>
        <w:pStyle w:val="BodyText"/>
      </w:pPr>
      <w:r>
        <w:rPr>
          <w:b/>
        </w:rPr>
        <w:t xml:space="preserve">Features and model.</w:t>
      </w:r>
      <w:r>
        <w:t xml:space="preserve"> </w:t>
      </w:r>
      <w:r>
        <w:t xml:space="preserve">For each record, the four text fields (property, sub-property, application domain, and system type) were concatenated and encoded using a</w:t>
      </w:r>
      <w:r>
        <w:t xml:space="preserve"> </w:t>
      </w:r>
      <w:r>
        <w:rPr>
          <w:b/>
        </w:rPr>
        <w:t xml:space="preserve">term frequency–inverse document frequency (TF-IDF)</w:t>
      </w:r>
      <w:r>
        <w:t xml:space="preserve"> </w:t>
      </w:r>
      <w:r>
        <w:t xml:space="preserve">representation with unigrams and bigrams, a 1500-term vocabulary, sublinear term-frequency scaling, and English stop-word removal. Because the task is to recommend a single method, it was formulated as a</w:t>
      </w:r>
      <w:r>
        <w:t xml:space="preserve"> </w:t>
      </w:r>
      <w:r>
        <w:rPr>
          <w:b/>
        </w:rPr>
        <w:t xml:space="preserve">single-label classification</w:t>
      </w:r>
      <w:r>
        <w:t xml:space="preserve"> </w:t>
      </w:r>
      <w:r>
        <w:t xml:space="preserve">problem rather than the multi-output regression used in the earlier prototype.</w:t>
      </w:r>
    </w:p>
    <w:p>
      <w:pPr>
        <w:pStyle w:val="BodyText"/>
      </w:pPr>
      <w:r>
        <w:rPr>
          <w:b/>
        </w:rPr>
        <w:t xml:space="preserve">Leak-proof evaluation.</w:t>
      </w:r>
      <w:r>
        <w:t xml:space="preserve"> </w:t>
      </w:r>
      <w:r>
        <w:t xml:space="preserve">A subset of publications comprises multiple records (because a single paper may report several properties). To prevent information leakage, the data were partitioned using a</w:t>
      </w:r>
      <w:r>
        <w:t xml:space="preserve"> </w:t>
      </w:r>
      <w:r>
        <w:rPr>
          <w:b/>
        </w:rPr>
        <w:t xml:space="preserve">group-aware split keyed on the source publication</w:t>
      </w:r>
      <w:r>
        <w:t xml:space="preserve">, ensuring that all records from a given paper reside entirely within either the training or the test partition. This produced a training pool of 273 records (266 papers) and a blind held-out test set of 50 records (48 papers; 15.5% of the data). The TF-IDF vectoriser was fitted</w:t>
      </w:r>
      <w:r>
        <w:t xml:space="preserve"> </w:t>
      </w:r>
      <w:r>
        <w:rPr>
          <w:b/>
        </w:rPr>
        <w:t xml:space="preserve">only</w:t>
      </w:r>
      <w:r>
        <w:t xml:space="preserve"> </w:t>
      </w:r>
      <w:r>
        <w:t xml:space="preserve">on the training pool, so the held-out papers remained unseen until final evaluation.</w:t>
      </w:r>
    </w:p>
    <w:p>
      <w:pPr>
        <w:pStyle w:val="BodyText"/>
      </w:pPr>
      <w:r>
        <w:rPr>
          <w:b/>
        </w:rPr>
        <w:t xml:space="preserve">Model selection.</w:t>
      </w:r>
      <w:r>
        <w:t xml:space="preserve"> </w:t>
      </w:r>
      <w:r>
        <w:t xml:space="preserve">Nine candidate classifiers (naïve-Bayes variants, logistic regression, a calibrated linear SVM, a soft-voting ensemble, and gradient boosting) were compared using</w:t>
      </w:r>
      <w:r>
        <w:t xml:space="preserve"> </w:t>
      </w:r>
      <w:r>
        <w:rPr>
          <w:b/>
        </w:rPr>
        <w:t xml:space="preserve">5-fold Stratified Group K-Fold</w:t>
      </w:r>
      <w:r>
        <w:t xml:space="preserve"> </w:t>
      </w:r>
      <w:r>
        <w:t xml:space="preserve">cross-validation within the training pool. Rather than selecting the highest cross-validation score alone, candidates within a small tolerance of the top score were shortlisted and the model with the</w:t>
      </w:r>
      <w:r>
        <w:t xml:space="preserve"> </w:t>
      </w:r>
      <w:r>
        <w:rPr>
          <w:b/>
        </w:rPr>
        <w:t xml:space="preserve">smallest generalisation gap</w:t>
      </w:r>
      <w:r>
        <w:t xml:space="preserve"> </w:t>
      </w:r>
      <w:r>
        <w:t xml:space="preserve">(train minus cross-validation macro-F1) was chosen, favouring stability over peak fit. This procedure selected a</w:t>
      </w:r>
      <w:r>
        <w:t xml:space="preserve"> </w:t>
      </w:r>
      <w:r>
        <w:rPr>
          <w:b/>
        </w:rPr>
        <w:t xml:space="preserve">Complement Naïve-Bayes classifier (α = 0.5)</w:t>
      </w:r>
      <w:r>
        <w:t xml:space="preserve">.</w:t>
      </w:r>
    </w:p>
    <w:p>
      <w:pPr>
        <w:pStyle w:val="BodyText"/>
      </w:pPr>
      <w:r>
        <w:rPr>
          <w:b/>
        </w:rPr>
        <w:t xml:space="preserve">Performance.</w:t>
      </w:r>
      <w:r>
        <w:t xml:space="preserve"> </w:t>
      </w:r>
      <w:r>
        <w:t xml:space="preserve">On the blind held-out test set the model achieved an</w:t>
      </w:r>
      <w:r>
        <w:t xml:space="preserve"> </w:t>
      </w:r>
      <w:r>
        <w:rPr>
          <w:b/>
        </w:rPr>
        <w:t xml:space="preserve">accuracy of 88.0%</w:t>
      </w:r>
      <w:r>
        <w:t xml:space="preserve"> </w:t>
      </w:r>
      <w:r>
        <w:t xml:space="preserve">and a</w:t>
      </w:r>
      <w:r>
        <w:t xml:space="preserve"> </w:t>
      </w:r>
      <w:r>
        <w:rPr>
          <w:b/>
        </w:rPr>
        <w:t xml:space="preserve">macro-averaged F1 of 0.877</w:t>
      </w:r>
      <w:r>
        <w:t xml:space="preserve">. Per-method performance is reported in Table 11, and the corresponding confusion matrix is shown in Figure 15. To establish that the model provides genuine predictive value rather than exploiting class imbalance, it was compared against a majority-class (Zero-R) baseline, which predicts the most frequent method (DFT) for every input. The baseline accuracy of</w:t>
      </w:r>
      <w:r>
        <w:t xml:space="preserve"> </w:t>
      </w:r>
      <w:r>
        <w:rPr>
          <w:b/>
        </w:rPr>
        <w:t xml:space="preserve">44.3%</w:t>
      </w:r>
      <w:r>
        <w:t xml:space="preserve"> </w:t>
      </w:r>
      <w:r>
        <w:t xml:space="preserve">is far exceeded by the model’s</w:t>
      </w:r>
      <w:r>
        <w:t xml:space="preserve"> </w:t>
      </w:r>
      <w:r>
        <w:rPr>
          <w:b/>
        </w:rPr>
        <w:t xml:space="preserve">88.0%</w:t>
      </w:r>
      <w:r>
        <w:t xml:space="preserve">, an improvement of</w:t>
      </w:r>
      <w:r>
        <w:t xml:space="preserve"> </w:t>
      </w:r>
      <w:r>
        <w:rPr>
          <w:b/>
        </w:rPr>
        <w:t xml:space="preserve">43.7 percentage points</w:t>
      </w:r>
      <w:r>
        <w:t xml:space="preserve">.</w:t>
      </w:r>
    </w:p>
    <w:p>
      <w:pPr>
        <w:pStyle w:val="BodyText"/>
      </w:pPr>
      <w:r>
        <w:rPr>
          <w:b/>
        </w:rPr>
        <w:t xml:space="preserve">Table 11.</w:t>
      </w:r>
      <w:r>
        <w:t xml:space="preserve"> </w:t>
      </w:r>
      <w:r>
        <w:t xml:space="preserve">Per-method classification performance of the selected Complement Naïve-Bayes model on the blind held-out test set (50 records). Support denotes the number of test records per class.</w:t>
      </w:r>
    </w:p>
    <w:tbl>
      <w:tblPr>
        <w:tblStyle w:val="Table"/>
        <w:tblW w:type="pct" w:w="4583.333333333333"/>
        <w:tblLook w:firstRow="1"/>
      </w:tblPr>
      <w:tblGrid>
        <w:gridCol w:w="2530"/>
        <w:gridCol w:w="1320"/>
        <w:gridCol w:w="990"/>
        <w:gridCol w:w="1210"/>
        <w:gridCol w:w="121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Precision</w:t>
            </w:r>
          </w:p>
        </w:tc>
        <w:tc>
          <w:tcPr>
            <w:tcBorders>
              <w:bottom w:val="single"/>
            </w:tcBorders>
            <w:vAlign w:val="bottom"/>
          </w:tcPr>
          <w:p>
            <w:pPr>
              <w:pStyle w:val="Compact"/>
              <w:jc w:val="left"/>
            </w:pPr>
            <w:r>
              <w:t xml:space="preserve">Recall</w:t>
            </w:r>
          </w:p>
        </w:tc>
        <w:tc>
          <w:tcPr>
            <w:tcBorders>
              <w:bottom w:val="single"/>
            </w:tcBorders>
            <w:vAlign w:val="bottom"/>
          </w:tcPr>
          <w:p>
            <w:pPr>
              <w:pStyle w:val="Compact"/>
              <w:jc w:val="left"/>
            </w:pPr>
            <w:r>
              <w:t xml:space="preserve">F1-score</w:t>
            </w:r>
          </w:p>
        </w:tc>
        <w:tc>
          <w:tcPr>
            <w:tcBorders>
              <w:bottom w:val="single"/>
            </w:tcBorders>
            <w:vAlign w:val="bottom"/>
          </w:tcPr>
          <w:p>
            <w:pPr>
              <w:pStyle w:val="Compact"/>
              <w:jc w:val="left"/>
            </w:pPr>
            <w:r>
              <w:t xml:space="preserve">Support</w:t>
            </w:r>
          </w:p>
        </w:tc>
      </w:tr>
      <w:tr>
        <w:tc>
          <w:p>
            <w:pPr>
              <w:pStyle w:val="Compact"/>
              <w:jc w:val="left"/>
            </w:pPr>
            <w:r>
              <w:t xml:space="preserve">COSMO-RS</w:t>
            </w:r>
          </w:p>
        </w:tc>
        <w:tc>
          <w:p>
            <w:pPr>
              <w:pStyle w:val="Compact"/>
              <w:jc w:val="left"/>
            </w:pPr>
            <w:r>
              <w:t xml:space="preserve">0.80</w:t>
            </w:r>
          </w:p>
        </w:tc>
        <w:tc>
          <w:p>
            <w:pPr>
              <w:pStyle w:val="Compact"/>
              <w:jc w:val="left"/>
            </w:pPr>
            <w:r>
              <w:t xml:space="preserve">0.92</w:t>
            </w:r>
          </w:p>
        </w:tc>
        <w:tc>
          <w:p>
            <w:pPr>
              <w:pStyle w:val="Compact"/>
              <w:jc w:val="left"/>
            </w:pPr>
            <w:r>
              <w:t xml:space="preserve">0.86</w:t>
            </w:r>
          </w:p>
        </w:tc>
        <w:tc>
          <w:p>
            <w:pPr>
              <w:pStyle w:val="Compact"/>
              <w:jc w:val="left"/>
            </w:pPr>
            <w:r>
              <w:t xml:space="preserve">13</w:t>
            </w:r>
          </w:p>
        </w:tc>
      </w:tr>
      <w:tr>
        <w:tc>
          <w:p>
            <w:pPr>
              <w:pStyle w:val="Compact"/>
              <w:jc w:val="left"/>
            </w:pPr>
            <w:r>
              <w:t xml:space="preserve">DFT</w:t>
            </w:r>
          </w:p>
        </w:tc>
        <w:tc>
          <w:p>
            <w:pPr>
              <w:pStyle w:val="Compact"/>
              <w:jc w:val="left"/>
            </w:pPr>
            <w:r>
              <w:t xml:space="preserve">1.00</w:t>
            </w:r>
          </w:p>
        </w:tc>
        <w:tc>
          <w:p>
            <w:pPr>
              <w:pStyle w:val="Compact"/>
              <w:jc w:val="left"/>
            </w:pPr>
            <w:r>
              <w:t xml:space="preserve">0.82</w:t>
            </w:r>
          </w:p>
        </w:tc>
        <w:tc>
          <w:p>
            <w:pPr>
              <w:pStyle w:val="Compact"/>
              <w:jc w:val="left"/>
            </w:pPr>
            <w:r>
              <w:t xml:space="preserve">0.90</w:t>
            </w:r>
          </w:p>
        </w:tc>
        <w:tc>
          <w:p>
            <w:pPr>
              <w:pStyle w:val="Compact"/>
              <w:jc w:val="left"/>
            </w:pPr>
            <w:r>
              <w:t xml:space="preserve">22</w:t>
            </w:r>
          </w:p>
        </w:tc>
      </w:tr>
      <w:tr>
        <w:tc>
          <w:p>
            <w:pPr>
              <w:pStyle w:val="Compact"/>
              <w:jc w:val="left"/>
            </w:pPr>
            <w:r>
              <w:t xml:space="preserve">MD</w:t>
            </w:r>
          </w:p>
        </w:tc>
        <w:tc>
          <w:p>
            <w:pPr>
              <w:pStyle w:val="Compact"/>
              <w:jc w:val="left"/>
            </w:pPr>
            <w:r>
              <w:t xml:space="preserve">0.82</w:t>
            </w:r>
          </w:p>
        </w:tc>
        <w:tc>
          <w:p>
            <w:pPr>
              <w:pStyle w:val="Compact"/>
              <w:jc w:val="left"/>
            </w:pPr>
            <w:r>
              <w:t xml:space="preserve">0.93</w:t>
            </w:r>
          </w:p>
        </w:tc>
        <w:tc>
          <w:p>
            <w:pPr>
              <w:pStyle w:val="Compact"/>
              <w:jc w:val="left"/>
            </w:pPr>
            <w:r>
              <w:t xml:space="preserve">0.88</w:t>
            </w:r>
          </w:p>
        </w:tc>
        <w:tc>
          <w:p>
            <w:pPr>
              <w:pStyle w:val="Compact"/>
              <w:jc w:val="left"/>
            </w:pPr>
            <w:r>
              <w:t xml:space="preserve">15</w:t>
            </w:r>
          </w:p>
        </w:tc>
      </w:tr>
      <w:tr>
        <w:tc>
          <w:p>
            <w:pPr>
              <w:pStyle w:val="Compact"/>
              <w:jc w:val="left"/>
            </w:pPr>
            <w:r>
              <w:t xml:space="preserve">Accuracy</w:t>
            </w:r>
          </w:p>
        </w:tc>
        <w:tc>
          <w:p>
            <w:pPr>
              <w:pStyle w:val="Compact"/>
              <w:jc w:val="left"/>
            </w:pPr>
            <w:r>
              <w:t xml:space="preserve">—</w:t>
            </w:r>
          </w:p>
        </w:tc>
        <w:tc>
          <w:p>
            <w:pPr>
              <w:pStyle w:val="Compact"/>
              <w:jc w:val="left"/>
            </w:pPr>
            <w:r>
              <w:t xml:space="preserve">—</w:t>
            </w:r>
          </w:p>
        </w:tc>
        <w:tc>
          <w:p>
            <w:pPr>
              <w:pStyle w:val="Compact"/>
              <w:jc w:val="left"/>
            </w:pPr>
            <w:r>
              <w:t xml:space="preserve">0.88</w:t>
            </w:r>
          </w:p>
        </w:tc>
        <w:tc>
          <w:p>
            <w:pPr>
              <w:pStyle w:val="Compact"/>
              <w:jc w:val="left"/>
            </w:pPr>
            <w:r>
              <w:t xml:space="preserve">50</w:t>
            </w:r>
          </w:p>
        </w:tc>
      </w:tr>
      <w:tr>
        <w:tc>
          <w:p>
            <w:pPr>
              <w:pStyle w:val="Compact"/>
              <w:jc w:val="left"/>
            </w:pPr>
            <w:r>
              <w:t xml:space="preserve">Macro average</w:t>
            </w:r>
          </w:p>
        </w:tc>
        <w:tc>
          <w:p>
            <w:pPr>
              <w:pStyle w:val="Compact"/>
              <w:jc w:val="left"/>
            </w:pPr>
            <w:r>
              <w:t xml:space="preserve">0.87</w:t>
            </w:r>
          </w:p>
        </w:tc>
        <w:tc>
          <w:p>
            <w:pPr>
              <w:pStyle w:val="Compact"/>
              <w:jc w:val="left"/>
            </w:pPr>
            <w:r>
              <w:t xml:space="preserve">0.89</w:t>
            </w:r>
          </w:p>
        </w:tc>
        <w:tc>
          <w:p>
            <w:pPr>
              <w:pStyle w:val="Compact"/>
              <w:jc w:val="left"/>
            </w:pPr>
            <w:r>
              <w:t xml:space="preserve">0.88</w:t>
            </w:r>
          </w:p>
        </w:tc>
        <w:tc>
          <w:p>
            <w:pPr>
              <w:pStyle w:val="Compact"/>
              <w:jc w:val="left"/>
            </w:pPr>
            <w:r>
              <w:t xml:space="preserve">50</w:t>
            </w:r>
          </w:p>
        </w:tc>
      </w:tr>
      <w:tr>
        <w:tc>
          <w:p>
            <w:pPr>
              <w:pStyle w:val="Compact"/>
              <w:jc w:val="left"/>
            </w:pPr>
            <w:r>
              <w:t xml:space="preserve">Weighted average</w:t>
            </w:r>
          </w:p>
        </w:tc>
        <w:tc>
          <w:p>
            <w:pPr>
              <w:pStyle w:val="Compact"/>
              <w:jc w:val="left"/>
            </w:pPr>
            <w:r>
              <w:t xml:space="preserve">0.90</w:t>
            </w:r>
          </w:p>
        </w:tc>
        <w:tc>
          <w:p>
            <w:pPr>
              <w:pStyle w:val="Compact"/>
              <w:jc w:val="left"/>
            </w:pPr>
            <w:r>
              <w:t xml:space="preserve">0.88</w:t>
            </w:r>
          </w:p>
        </w:tc>
        <w:tc>
          <w:p>
            <w:pPr>
              <w:pStyle w:val="Compact"/>
              <w:jc w:val="left"/>
            </w:pPr>
            <w:r>
              <w:t xml:space="preserve">0.88</w:t>
            </w:r>
          </w:p>
        </w:tc>
        <w:tc>
          <w:p>
            <w:pPr>
              <w:pStyle w:val="Compact"/>
              <w:jc w:val="left"/>
            </w:pPr>
            <w:r>
              <w:t xml:space="preserve">50</w:t>
            </w:r>
          </w:p>
        </w:tc>
      </w:tr>
    </w:tbl>
    <w:p>
      <w:pPr>
        <w:pStyle w:val="BodyText"/>
      </w:pPr>
      <w:r>
        <w:t xml:space="preserve">The results indicate that a compact text classifier, trained on how methods are actually deployed across the literature, can recover the primary method reported in unseen studies in roughly seven to nine cases out of ten. The perfect precision but lower recall for DFT (1.00 / 0.82) indicates that the model is conservative in predicting DFT — a portion of DFT studies are assigned to MD or COSMO-RS when the described systems overlap — which is consistent with the genuine methodological overlap between these approaches.</w:t>
      </w:r>
    </w:p>
    <w:p>
      <w:pPr>
        <w:pStyle w:val="Heading2"/>
      </w:pPr>
      <w:bookmarkStart w:id="23" w:name="X4d3b7a42aa7aaa59022e1b12d88c7bfdecab609"/>
      <w:r>
        <w:t xml:space="preserve">6.3 AI-assisted Validation Component (Optional)</w:t>
      </w:r>
      <w:bookmarkEnd w:id="23"/>
    </w:p>
    <w:p>
      <w:pPr>
        <w:pStyle w:val="FirstParagraph"/>
      </w:pPr>
      <w:r>
        <w:t xml:space="preserve">In addition to the machine-learning classifier, the interface presents an</w:t>
      </w:r>
      <w:r>
        <w:t xml:space="preserve"> </w:t>
      </w:r>
      <w:r>
        <w:rPr>
          <w:b/>
        </w:rPr>
        <w:t xml:space="preserve">optional, parallel</w:t>
      </w:r>
      <w:r>
        <w:rPr>
          <w:b/>
        </w:rPr>
        <w:t xml:space="preserve"> </w:t>
      </w:r>
      <w:r>
        <w:rPr>
          <w:b/>
        </w:rPr>
        <w:t xml:space="preserve">“</w:t>
      </w:r>
      <w:r>
        <w:rPr>
          <w:b/>
        </w:rPr>
        <w:t xml:space="preserve">second opinion</w:t>
      </w:r>
      <w:r>
        <w:rPr>
          <w:b/>
        </w:rPr>
        <w:t xml:space="preserve">”</w:t>
      </w:r>
      <w:r>
        <w:rPr>
          <w:b/>
        </w:rPr>
        <w:t xml:space="preserve"> </w:t>
      </w:r>
      <w:r>
        <w:rPr>
          <w:b/>
        </w:rPr>
        <w:t xml:space="preserve">generated by a large language model (LLM)</w:t>
      </w:r>
      <w:r>
        <w:t xml:space="preserve">, intended purely as an interpretability aid. This component is described here in full for transparency and reproducibility. It uses a Groq-hosted</w:t>
      </w:r>
      <w:r>
        <w:t xml:space="preserve"> </w:t>
      </w:r>
      <w:r>
        <w:rPr>
          <w:b/>
        </w:rPr>
        <w:t xml:space="preserve">GPT-OSS 120B</w:t>
      </w:r>
      <w:r>
        <w:t xml:space="preserve"> </w:t>
      </w:r>
      <w:r>
        <w:t xml:space="preserve">model queried with a low decoding temperature (0.1) and structured (JSON) output. The prompt is</w:t>
      </w:r>
      <w:r>
        <w:t xml:space="preserve"> </w:t>
      </w:r>
      <w:r>
        <w:rPr>
          <w:b/>
        </w:rPr>
        <w:t xml:space="preserve">grounded</w:t>
      </w:r>
      <w:r>
        <w:t xml:space="preserve"> </w:t>
      </w:r>
      <w:r>
        <w:t xml:space="preserve">in a fixed block of domain knowledge that lists, for each of the three methods, its typical target properties and system types; this is prompt-based grounding and does</w:t>
      </w:r>
      <w:r>
        <w:t xml:space="preserve"> </w:t>
      </w:r>
      <w:r>
        <w:rPr>
          <w:b/>
        </w:rPr>
        <w:t xml:space="preserve">not</w:t>
      </w:r>
      <w:r>
        <w:t xml:space="preserve"> </w:t>
      </w:r>
      <w:r>
        <w:t xml:space="preserve">perform external citation retrieval or retrieval-augmented generation. The model returns a confidence score for each method together with a brief textual rationale, which is displayed side-by-side with the classifier output for comparison.</w:t>
      </w:r>
    </w:p>
    <w:p>
      <w:pPr>
        <w:pStyle w:val="BodyText"/>
      </w:pPr>
      <w:r>
        <w:t xml:space="preserve">Two properties of this component are emphasised. First, it is</w:t>
      </w:r>
      <w:r>
        <w:t xml:space="preserve"> </w:t>
      </w:r>
      <w:r>
        <w:rPr>
          <w:b/>
        </w:rPr>
        <w:t xml:space="preserve">auxiliary and non-authoritative</w:t>
      </w:r>
      <w:r>
        <w:t xml:space="preserve">: the quantitative recommendation of the system is the output of the machine-learning classifier, and the LLM output</w:t>
      </w:r>
      <w:r>
        <w:t xml:space="preserve"> </w:t>
      </w:r>
      <w:r>
        <w:rPr>
          <w:b/>
        </w:rPr>
        <w:t xml:space="preserve">does not modify it</w:t>
      </w:r>
      <w:r>
        <w:t xml:space="preserve">. Second, LLM responses are</w:t>
      </w:r>
      <w:r>
        <w:t xml:space="preserve"> </w:t>
      </w:r>
      <w:r>
        <w:rPr>
          <w:b/>
        </w:rPr>
        <w:t xml:space="preserve">not deterministic</w:t>
      </w:r>
      <w:r>
        <w:t xml:space="preserve"> </w:t>
      </w:r>
      <w:r>
        <w:t xml:space="preserve">and may change with provider-side model updates; the component is therefore deliberately excluded from the quantitative evaluation reported in Section 6.2 and is offered only as a complementary, human-readable cross-check.</w:t>
      </w:r>
    </w:p>
    <w:p>
      <w:pPr>
        <w:pStyle w:val="Heading2"/>
      </w:pPr>
      <w:bookmarkStart w:id="24" w:name="limitations"/>
      <w:r>
        <w:t xml:space="preserve">6.4 Limitations</w:t>
      </w:r>
      <w:bookmarkEnd w:id="24"/>
    </w:p>
    <w:p>
      <w:pPr>
        <w:pStyle w:val="FirstParagraph"/>
      </w:pPr>
      <w:r>
        <w:t xml:space="preserve">Several limitations should be stated explicitly. First, each record is labelled with the</w:t>
      </w:r>
      <w:r>
        <w:t xml:space="preserve"> </w:t>
      </w:r>
      <w:r>
        <w:rPr>
          <w:i/>
        </w:rPr>
        <w:t xml:space="preserve">primary</w:t>
      </w:r>
      <w:r>
        <w:t xml:space="preserve"> </w:t>
      </w:r>
      <w:r>
        <w:t xml:space="preserve">method reported by the original authors, which is a practical proxy for a</w:t>
      </w:r>
      <w:r>
        <w:t xml:space="preserve"> </w:t>
      </w:r>
      <w:r>
        <w:t xml:space="preserve">“</w:t>
      </w:r>
      <w:r>
        <w:t xml:space="preserve">correct</w:t>
      </w:r>
      <w:r>
        <w:t xml:space="preserve">”</w:t>
      </w:r>
      <w:r>
        <w:t xml:space="preserve"> </w:t>
      </w:r>
      <w:r>
        <w:t xml:space="preserve">choice rather than an independent expert consensus; genuine method selection is often ambiguous and context-dependent. Second, many real studies employ</w:t>
      </w:r>
      <w:r>
        <w:t xml:space="preserve"> </w:t>
      </w:r>
      <w:r>
        <w:rPr>
          <w:b/>
        </w:rPr>
        <w:t xml:space="preserve">multi-method workflows</w:t>
      </w:r>
      <w:r>
        <w:t xml:space="preserve"> </w:t>
      </w:r>
      <w:r>
        <w:t xml:space="preserve">(for example combining DFT, classical MD, and thermodynamic models), whereas the model predicts a single primary method. Third, only the three well-represented methods (COSMO-RS, DFT, MD) are modelled; Ab-initio, Monte Carlo, and QM/MM were too sparsely represented in the collected literature to train reliably and were ex</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2026-07-11T04:57:18Z</dcterms:created>
  <dcterms:modified xsi:type="dcterms:W3CDTF">2026-07-11T04:57:18Z</dcterms:modified>
</cp:coreProperties>
</file>

<file path=docProps/custom.xml><?xml version="1.0" encoding="utf-8"?>
<Properties xmlns="http://schemas.openxmlformats.org/officeDocument/2006/custom-properties" xmlns:vt="http://schemas.openxmlformats.org/officeDocument/2006/docPropsVTypes"/>
</file>