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8"/>
        </w:rPr>
        <w:t>LLM Destekli Kod Çevirisinde Sessiz Semantik Hatalar:</w:t>
        <w:br/>
        <w:t>C’den Rust’a Çoklu-Model Deneysel Bir Değerlendirme</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3345"/>
        <w:gridCol w:w="3345"/>
        <w:gridCol w:w="3345"/>
      </w:tblGrid>
      <w:tr>
        <w:tc>
          <w:tcPr>
            <w:tcW w:type="dxa" w:w="3345"/>
          </w:tcPr>
          <w:p>
            <w:pPr>
              <w:jc w:val="center"/>
            </w:pPr>
            <w:r>
              <w:rPr>
                <w:rFonts w:ascii="Times New Roman" w:hAnsi="Times New Roman"/>
                <w:i w:val="0"/>
                <w:sz w:val="22"/>
              </w:rPr>
              <w:t>Muhammet Baykara</w:t>
            </w:r>
            <w:r>
              <w:br/>
            </w:r>
            <w:r>
              <w:rPr>
                <w:rFonts w:ascii="Times New Roman" w:hAnsi="Times New Roman"/>
                <w:i/>
                <w:sz w:val="20"/>
              </w:rPr>
              <w:t>Yazılım Mühendisliği</w:t>
            </w:r>
            <w:r>
              <w:br/>
            </w:r>
            <w:r>
              <w:rPr>
                <w:rFonts w:ascii="Times New Roman" w:hAnsi="Times New Roman"/>
                <w:i/>
                <w:sz w:val="20"/>
              </w:rPr>
              <w:t>Fırat Üniversitesi</w:t>
            </w:r>
            <w:r>
              <w:br/>
            </w:r>
            <w:r>
              <w:rPr>
                <w:rFonts w:ascii="Times New Roman" w:hAnsi="Times New Roman"/>
                <w:i w:val="0"/>
                <w:sz w:val="20"/>
              </w:rPr>
              <w:t>Elazığ, Türkiye</w:t>
            </w:r>
            <w:r>
              <w:br/>
            </w:r>
            <w:r>
              <w:rPr>
                <w:rFonts w:ascii="Times New Roman" w:hAnsi="Times New Roman"/>
                <w:i w:val="0"/>
                <w:sz w:val="20"/>
              </w:rPr>
              <w:t>mbaykara@firat.edu.tr</w:t>
            </w:r>
          </w:p>
        </w:tc>
        <w:tc>
          <w:tcPr>
            <w:tcW w:type="dxa" w:w="3345"/>
          </w:tcPr>
          <w:p>
            <w:pPr>
              <w:jc w:val="center"/>
            </w:pPr>
            <w:r>
              <w:rPr>
                <w:rFonts w:ascii="Times New Roman" w:hAnsi="Times New Roman"/>
                <w:i w:val="0"/>
                <w:sz w:val="22"/>
              </w:rPr>
              <w:t>İbrahim Halil Şahin</w:t>
            </w:r>
            <w:r>
              <w:br/>
            </w:r>
            <w:r>
              <w:rPr>
                <w:rFonts w:ascii="Times New Roman" w:hAnsi="Times New Roman"/>
                <w:i/>
                <w:sz w:val="20"/>
              </w:rPr>
              <w:t>Yazılım Mühendisliği</w:t>
            </w:r>
            <w:r>
              <w:br/>
            </w:r>
            <w:r>
              <w:rPr>
                <w:rFonts w:ascii="Times New Roman" w:hAnsi="Times New Roman"/>
                <w:i/>
                <w:sz w:val="20"/>
              </w:rPr>
              <w:t>Fırat Üniversitesi</w:t>
            </w:r>
            <w:r>
              <w:br/>
            </w:r>
            <w:r>
              <w:rPr>
                <w:rFonts w:ascii="Times New Roman" w:hAnsi="Times New Roman"/>
                <w:i w:val="0"/>
                <w:sz w:val="20"/>
              </w:rPr>
              <w:t>Elazığ, Türkiye</w:t>
            </w:r>
            <w:r>
              <w:br/>
            </w:r>
            <w:r>
              <w:rPr>
                <w:rFonts w:ascii="Times New Roman" w:hAnsi="Times New Roman"/>
                <w:i w:val="0"/>
                <w:sz w:val="20"/>
              </w:rPr>
              <w:t>230541112@firat.edu.tr</w:t>
            </w:r>
          </w:p>
        </w:tc>
        <w:tc>
          <w:tcPr>
            <w:tcW w:type="dxa" w:w="3345"/>
          </w:tcPr>
          <w:p>
            <w:pPr>
              <w:jc w:val="center"/>
            </w:pPr>
            <w:r>
              <w:rPr>
                <w:rFonts w:ascii="Times New Roman" w:hAnsi="Times New Roman"/>
                <w:i w:val="0"/>
                <w:sz w:val="22"/>
              </w:rPr>
              <w:t>Emre Aşkın</w:t>
            </w:r>
            <w:r>
              <w:br/>
            </w:r>
            <w:r>
              <w:rPr>
                <w:rFonts w:ascii="Times New Roman" w:hAnsi="Times New Roman"/>
                <w:i/>
                <w:sz w:val="20"/>
              </w:rPr>
              <w:t>Yazılım Mühendisliği</w:t>
            </w:r>
            <w:r>
              <w:br/>
            </w:r>
            <w:r>
              <w:rPr>
                <w:rFonts w:ascii="Times New Roman" w:hAnsi="Times New Roman"/>
                <w:i/>
                <w:sz w:val="20"/>
              </w:rPr>
              <w:t>Fırat Üniversitesi</w:t>
            </w:r>
            <w:r>
              <w:br/>
            </w:r>
            <w:r>
              <w:rPr>
                <w:rFonts w:ascii="Times New Roman" w:hAnsi="Times New Roman"/>
                <w:i w:val="0"/>
                <w:sz w:val="20"/>
              </w:rPr>
              <w:t>Elazığ, Türkiye</w:t>
            </w:r>
            <w:r>
              <w:br/>
            </w:r>
            <w:r>
              <w:rPr>
                <w:rFonts w:ascii="Times New Roman" w:hAnsi="Times New Roman"/>
                <w:i w:val="0"/>
                <w:sz w:val="20"/>
              </w:rPr>
              <w:t>230541146@firat.edu.tr</w:t>
            </w:r>
          </w:p>
        </w:tc>
      </w:tr>
    </w:tbl>
    <w:p>
      <w:pPr>
        <w:spacing w:after="80"/>
      </w:pPr>
    </w:p>
    <w:p>
      <w:pPr>
        <w:sectPr>
          <w:pgSz w:w="11906" w:h="16838"/>
          <w:pgMar w:top="1077" w:right="935" w:bottom="1077" w:left="935" w:header="720" w:footer="720" w:gutter="0"/>
          <w:cols w:space="283" w:num="1" w:equalWidth="1"/>
          <w:docGrid w:linePitch="360"/>
        </w:sectPr>
      </w:pPr>
    </w:p>
    <w:p>
      <w:pPr>
        <w:spacing w:after="80"/>
        <w:jc w:val="both"/>
      </w:pPr>
      <w:r>
        <w:rPr>
          <w:rFonts w:ascii="Times New Roman" w:hAnsi="Times New Roman"/>
          <w:b/>
          <w:i/>
          <w:sz w:val="18"/>
        </w:rPr>
        <w:t>Öz—</w:t>
      </w:r>
      <w:r>
        <w:rPr>
          <w:rFonts w:ascii="Times New Roman" w:hAnsi="Times New Roman"/>
          <w:sz w:val="18"/>
        </w:rPr>
        <w:t>Büyük dil modellerinin (LLM) ürettiği C→Rust çevirilerinin davranışsal eşdeğerliği yeterince incelenmemiştir. Bu çalışma, 57 C programı ve 229 test girdisinden oluşan özgün bir kıyaslama setinde, Claude Sonnet 5’in zero-shot çevirilerini diferansiyel test ile ölçer: ham yürütme doğruluğu (EA) yalnızca %70.18’dir (40/57); başarısızlıkların %94.1’i (16/17) derleme aşamasında hiç yakalanmamış, %70.6’sı (12/17) ise çalışma zamanında da hiçbir sinyal üretmeden yanlış çıktı veren sessiz semantik hatalardır. Hatalar dokuz tekrar eden C↔Rust semantik boşluğuna ayrılmıştır; ortak örüntü, modelin kaynağın özgül davranış sözleşmesi yerine hedef dilin idiyomatik varsayılanını seçmesidir. Kod uzunluğu tek başına açıklayıcı değildir (Mann-Whitney U, p=0.359). Deney dört yönde genişletilmiştir: ikinci bir modelle (Google Gemini, 57/57 örnek üzerinde EA=%89.47) gerçek bir çoklu-model karşılaştırması, çok dosyalı/eşzamanlı C yapıları, Linux/LP64’te (Docker) 57 örneğin 55’i üzerinde bir tekrar (52/55 PASS), ve sınırlandırılmış geri bildirimle bir iyileştirme deneyi. Model karşılaştırması tek bir modelin “daha iyi” olmadığını gösterir: Gemini, Claude’un beş kök-neden kategorisinden dördünde tekrarladığı hataların tamamını atlatırken (5/5), gerçek üretim kodu üçlüsünde (musl/Redis/cJSON) Claude’un (2/3) aksine sıfır başarı (0/3) göstermiştir; genel EA farkı McNemar testiyle anlamlıdır (p=0.013), ama yön kategoriye göre değişir. Sessiz hata oranı da modele özgüdür: Claude’un 17 başarısızlığının 16’sı (%94.1) derleyiciden hiç uyarı almazken, Gemini’nin 6 başarısızlığının yalnızca 2’si (%33.3) derleyiciden uyarı almadan geçmiştir; kalan 4’ü derleme aşamasında yakalanmıştır. Bulgular, LLM destekli kod çevirisinde asıl riskin sözdizimsel değil sessiz semantik hatalar olduğunu ve (yalnızca Claude üzerinde ölçülen) doğrulama-geri bildirim döngüsünün doğruluğu %100’e taşıdığını, ancak bu rakamın zengin bir geri bildirime dayanan bir üst sınır olduğunu, kısıtlı geri bildirimde %71.9-86.0’a düştüğünü göstermektedir.</w:t>
      </w:r>
    </w:p>
    <w:p>
      <w:pPr>
        <w:spacing w:after="200"/>
        <w:jc w:val="both"/>
      </w:pPr>
      <w:r>
        <w:rPr>
          <w:rFonts w:ascii="Times New Roman" w:hAnsi="Times New Roman"/>
          <w:b/>
          <w:i/>
          <w:sz w:val="18"/>
        </w:rPr>
        <w:t>Anahtar Kelimeler—</w:t>
      </w:r>
      <w:r>
        <w:rPr>
          <w:rFonts w:ascii="Times New Roman" w:hAnsi="Times New Roman"/>
          <w:i/>
          <w:sz w:val="18"/>
        </w:rPr>
        <w:t>kod çevirisi, büyük dil modelleri, Rust, diferansiyel test, semantik hata, çoklu-model karşılaştırma</w:t>
      </w:r>
    </w:p>
    <w:p>
      <w:pPr>
        <w:spacing w:before="120" w:after="60"/>
        <w:jc w:val="center"/>
      </w:pPr>
      <w:r>
        <w:rPr>
          <w:rFonts w:ascii="Times New Roman" w:hAnsi="Times New Roman"/>
          <w:b w:val="0"/>
          <w:smallCaps/>
          <w:sz w:val="20"/>
        </w:rPr>
        <w:t>I. Giriş</w:t>
      </w:r>
    </w:p>
    <w:p>
      <w:pPr>
        <w:spacing w:before="80" w:after="20"/>
      </w:pPr>
      <w:r>
        <w:rPr>
          <w:rFonts w:ascii="Times New Roman" w:hAnsi="Times New Roman"/>
          <w:b w:val="0"/>
          <w:i/>
          <w:sz w:val="20"/>
        </w:rPr>
        <w:t>A. Alan ve Önem</w:t>
      </w:r>
    </w:p>
    <w:p>
      <w:pPr>
        <w:spacing w:after="60"/>
        <w:ind w:firstLine="289"/>
        <w:jc w:val="both"/>
      </w:pPr>
      <w:r>
        <w:rPr>
          <w:rFonts w:ascii="Times New Roman" w:hAnsi="Times New Roman"/>
          <w:b w:val="0"/>
          <w:i w:val="0"/>
          <w:sz w:val="20"/>
        </w:rPr>
        <w:t>Kurumların onlarca yıllık C tabanlı yazılım envanteri, güvenlik ve bakım maliyeti açısından artan bir yüktür; bellek güvenliği ihlallerinin (buffer overflow, use-after-free, veri yarışı) çoğu bellek-güvensiz dillerden kaynaklandığından, Rust gibi bellek-güvenli dillere geçiş kritik bir mühendislik hedefidir. Manuel geçiş maliyeti yüksek olduğundan, LLM tabanlı otomatik kod çevirisi hızla ilgi görmektedir; büyük teknoloji şirketleri ve kamu kurumlarının bu yöndeki açık politika duyuruları [1] bu ilgiyi somut bir mühendislik ihtiyacına dönüştürürken, çevirinin doğruluğu yeterince doğrulanmadan kabul edilmesi riskini de beraberinde getirir.</w:t>
      </w:r>
    </w:p>
    <w:p>
      <w:pPr>
        <w:spacing w:before="80" w:after="20"/>
      </w:pPr>
      <w:r>
        <w:rPr>
          <w:rFonts w:ascii="Times New Roman" w:hAnsi="Times New Roman"/>
          <w:b w:val="0"/>
          <w:i/>
          <w:sz w:val="20"/>
        </w:rPr>
        <w:t>B. Literatürdeki Boşluk</w:t>
      </w:r>
    </w:p>
    <w:p>
      <w:pPr>
        <w:spacing w:after="60"/>
        <w:ind w:firstLine="289"/>
        <w:jc w:val="both"/>
      </w:pPr>
      <w:r>
        <w:rPr>
          <w:rFonts w:ascii="Times New Roman" w:hAnsi="Times New Roman"/>
          <w:b w:val="0"/>
          <w:i w:val="0"/>
          <w:sz w:val="20"/>
        </w:rPr>
        <w:t>Bir LLM çevirisinin “başarılı” sayılması için hedef dilde derlenmesi yeterli değildir; kaynakla davranışsal olarak eşdeğer olmalıdır — sözdizimsel düzeyde doğru ama anlam düzeyinde sapan bir çeviri, derleyiciden hiç uyarı almadan üretime sızabilir. Bu çalışmanın çıkış noktası: LLM kod çevirisinde asıl tehlike sözdizimsel değil, sessiz semantik hatalardır; bu tehlikenin modelden modele nasıl değiştiği literatürde yeterince ölçülmemiştir.</w:t>
      </w:r>
    </w:p>
    <w:p>
      <w:pPr>
        <w:spacing w:before="80" w:after="20"/>
      </w:pPr>
      <w:r>
        <w:rPr>
          <w:rFonts w:ascii="Times New Roman" w:hAnsi="Times New Roman"/>
          <w:b w:val="0"/>
          <w:i/>
          <w:sz w:val="20"/>
        </w:rPr>
        <w:t>C. Amaç ve Katkılar</w:t>
      </w:r>
    </w:p>
    <w:p>
      <w:pPr>
        <w:spacing w:after="60"/>
        <w:ind w:firstLine="289"/>
        <w:jc w:val="both"/>
      </w:pPr>
      <w:r>
        <w:rPr>
          <w:rFonts w:ascii="Times New Roman" w:hAnsi="Times New Roman"/>
          <w:b w:val="0"/>
          <w:i w:val="0"/>
          <w:sz w:val="20"/>
        </w:rPr>
        <w:t>Bu çalışma, büyük dil modellerinin ürettiği C→Rust çevirilerinin davranışsal doğruluğunu deneysel olarak incelemektedir. Zero-shot çevirilerin yürütme doğruluğu (EA) ölçülmüş ve başarısızlıkların ne kadarının derleyiciden hiçbir uyarı almadan sessizce gerçekleştiği belirlenmiştir; başarısızlıkların kök nedenleri C↔Rust arasında tekrar eden semantik boşluklar olarak sınıflandırılmıştır. Ayrıca kod uzunluğunun çeviri başarısını gerçekten öngörüp öngörmediği, derleme yapılandırmasının (debug/release) ölçülen doğruluğu nasıl etkilediği ve hata geri bildirimine dayalı bir iyileştirme döngüsünün doğruluğu ne ölçüde artırdığı (ve bu artışın geri bildirimin zenginliğine ne kadar bağlı olduğu) sınanmıştır. Son olarak, bulguların tek bir modele mi özgü olduğu, yoksa ikinci bağımsız bir modelde (Google Gemini) de aynı örüntünün ve aynı kök nedenlerin gözlenip gözlenmediği araştırılmıştır.</w:t>
      </w:r>
    </w:p>
    <w:p>
      <w:pPr>
        <w:spacing w:after="60"/>
        <w:ind w:firstLine="289"/>
        <w:jc w:val="both"/>
      </w:pPr>
      <w:r>
        <w:rPr>
          <w:rFonts w:ascii="Times New Roman" w:hAnsi="Times New Roman"/>
          <w:b w:val="0"/>
          <w:i w:val="0"/>
          <w:sz w:val="20"/>
        </w:rPr>
        <w:t>Bu amaçla 57 C programı ve 229 test girdisinden oluşan özgün, tekrarlanabilir bir kıyaslama seti (“C→Rust Legacy Çeviri Benchmark’ı”) oluşturulmuş; her programın Claude ve Gemini çevirisi kaynağa karşı diferansiyel test ile doğrulanmıştır. Bu süreçte, bilinen C↔Rust semantik boşluklarını (tamsayı taşması, string modeli, işaretlilik, biçimlendirme, global durum) hedefleyen özgün bir veri seti oluşturulmuş, derleme modunun doğruluğu nasıl gizleyebileceği gösterilmiş ve dokuz kök nedene dayanan bir hata taksonomisi çıkarılmıştır. Bunun yanında üç farklı geri bildirim seviyesinde iyileştirme döngüsünün etkinliği ölçülmüş, 13 bağımsız gerçek dünya algoritması (Rosetta Code, OpenBSD/FreeBSD libc, musl/Redis/cJSON) üzerinde tekrarlanan bir ölçüm yapılmış ve 57 örneğin tamamı üzerinde gerçek, otomatik bir ikinci-model (Gemini) değerlendirmesiyle modele özgü ve modelden bağımsız hata kategorileri birbirinden ayrılmıştır.</w:t>
      </w:r>
    </w:p>
    <w:p>
      <w:pPr>
        <w:spacing w:before="120" w:after="60"/>
        <w:jc w:val="center"/>
      </w:pPr>
      <w:r>
        <w:rPr>
          <w:rFonts w:ascii="Times New Roman" w:hAnsi="Times New Roman"/>
          <w:b w:val="0"/>
          <w:smallCaps/>
          <w:sz w:val="20"/>
        </w:rPr>
        <w:t>II. İlgili Çalışmalar</w:t>
      </w:r>
    </w:p>
    <w:p>
      <w:pPr>
        <w:spacing w:after="60"/>
        <w:ind w:firstLine="289"/>
        <w:jc w:val="both"/>
      </w:pPr>
      <w:r>
        <w:rPr>
          <w:rFonts w:ascii="Times New Roman" w:hAnsi="Times New Roman"/>
          <w:b w:val="0"/>
          <w:i w:val="0"/>
          <w:sz w:val="20"/>
        </w:rPr>
        <w:t>LLM tabanlı kod çevirisinin doğruluğunu yürütme yoluyla doğrulayan çalışmalar artmaktadır. Gandhi vd. [2], COBOL→Java çevirisinde execution-guided refinement ile %81.99 doğruluğa ulaşmıştır; bu çalışma benzer bir mantığı C→Rust’ta benimser. Eniser vd. [3], FLOURINE ile kod uzunluğu arttıkça çeviri hatası riskinin arttığını gözlemlemiştir — bu çalışmanın bulguları bu gözlemle örtüşmez (Bölüm IV-B). Yin vd. [4], farklı LLM’lerin hata kök nedenlerinin büyük ölçüde benzer olduğunu göstermiştir; çoklu-model bulgularımız (Bölüm IV-F) bunu hem doğrular hem nüanslandırır: yalnızca kök neden D kategorisi modelden bağımsızken, A, B, C, E, F, G, H, I kategorilerinin her biri en az bir modelde başarıyla atlatılmıştır.</w:t>
      </w:r>
    </w:p>
    <w:p>
      <w:pPr>
        <w:spacing w:after="60"/>
        <w:ind w:firstLine="289"/>
        <w:jc w:val="both"/>
      </w:pPr>
      <w:r>
        <w:rPr>
          <w:rFonts w:ascii="Times New Roman" w:hAnsi="Times New Roman" w:cs="Times New Roman"/>
          <w:sz w:val="20"/>
          <w:szCs w:val="20"/>
        </w:rPr>
        <w:t xml:space="preserve">Kural tabanlı C→Rust çevirisi (ör. C2Rust [5]) ve nöral kod çevirisi (ör. TransCoder [6]) farklı bir eksende konumlanır: kural tabanlı araçlar davranışsal eşdeğerliği sözdizimsel kurallarla (genellikle yoğun </w:t>
      </w:r>
      <w:r>
        <w:rPr>
          <w:rFonts w:ascii="Courier New" w:hAnsi="Courier New" w:cs="Courier New" w:eastAsia="Courier New"/>
          <w:sz w:val="18"/>
          <w:szCs w:val="18"/>
        </w:rPr>
        <w:t xml:space="preserve">unsafe</w:t>
      </w:r>
      <w:r>
        <w:rPr>
          <w:rFonts w:ascii="Times New Roman" w:hAnsi="Times New Roman" w:cs="Times New Roman"/>
          <w:sz w:val="20"/>
          <w:szCs w:val="20"/>
        </w:rPr>
        <w:t xml:space="preserve"> pahasına) garanti etmeye çalışırken, nöral/LLM yaklaşımlar deyimsel ama doğrulanmamış çeviriler üretir. Rust’ın tip sistemi ve ödünç denetleyicisi bellek güvenliğini derleme zamanında garanti eder, ama yalnızca kod derlenirse — davranışsal eşdeğerliği garanti etmez; bu çalışma tam olarak bu boşluğu, “derlenen ama kaynaktan farklı davranan” kodu, ölçmeyi hedefler.</w:t>
      </w:r>
    </w:p>
    <w:p>
      <w:pPr>
        <w:spacing w:after="60"/>
        <w:ind w:firstLine="289"/>
        <w:jc w:val="both"/>
      </w:pPr>
      <w:r>
        <w:rPr>
          <w:rFonts w:ascii="Times New Roman" w:hAnsi="Times New Roman"/>
          <w:b w:val="0"/>
          <w:i w:val="0"/>
          <w:sz w:val="20"/>
        </w:rPr>
        <w:t>Bu çalışma literatürden üç noktada ayrışır: (a) veri seti özgün ve tümüyle tekrarlanabilirdir; (b) derleme yapılandırmasının doğruluk üzerindeki gizli etkisi gösterilmiştir; (c) iki bağımsız model üzerinde gerçek, otomatik ölçümle kök neden düzeyinde bir model karşılaştırması sunulmuştur.</w:t>
      </w:r>
    </w:p>
    <w:p>
      <w:pPr>
        <w:spacing w:before="120" w:after="60"/>
        <w:jc w:val="center"/>
      </w:pPr>
      <w:r>
        <w:rPr>
          <w:rFonts w:ascii="Times New Roman" w:hAnsi="Times New Roman"/>
          <w:b w:val="0"/>
          <w:smallCaps/>
          <w:sz w:val="20"/>
        </w:rPr>
        <w:t>III. Yöntem</w:t>
      </w:r>
    </w:p>
    <w:p>
      <w:pPr>
        <w:spacing w:before="80" w:after="20"/>
      </w:pPr>
      <w:r>
        <w:rPr>
          <w:rFonts w:ascii="Times New Roman" w:hAnsi="Times New Roman"/>
          <w:b w:val="0"/>
          <w:i/>
          <w:sz w:val="20"/>
        </w:rPr>
        <w:t>A. Veri Seti</w:t>
      </w:r>
    </w:p>
    <w:p>
      <w:pPr>
        <w:spacing w:after="60"/>
        <w:ind w:firstLine="289"/>
        <w:jc w:val="both"/>
      </w:pPr>
      <w:r>
        <w:rPr>
          <w:rFonts w:ascii="Times New Roman" w:hAnsi="Times New Roman"/>
          <w:b w:val="0"/>
          <w:i w:val="0"/>
          <w:sz w:val="20"/>
        </w:rPr>
        <w:t>Kıyaslama seti 57 C programından oluşur (10-522 satır), dokuz aşamada genişletilmiştir (Tablo I): 24 temel algoritma; kod uzunluğu etkisini test etmek için 5 daha uzun program (s25-s29); bağımsızlığı sınamak için Rosetta Code’dan [7] 7 algoritma (s30-s36), OpenBSD/FreeBSD libc’sinden [8] 3 üretim fonksiyonu (s37-s39) ve musl [9]/Redis [10]/cJSON [11]’dan 3 uzun üretim kodu (s46-s48); hedeflenmemiş boşlukları kapsayan 6 özgün program (s40-s45); beş kök-neden kategorisi (C, E, F, G, H) için sonradan eklenen bağımsız ikinci örnekler (s49-s53); ve çok dosyalı/pthread eşzamanlılığını (s54, s55, s57) ve karmaşık makro kullanımını (s56) test eden iki ek grup. Çekirdek algoritma her durumda kaynaktan değiştirilmeden alınmış, yalnızca main() stdin/stdout sözleşmesine uyacak şekilde yeniden yazılmıştır; tam katalog açık veri deposunda sunulmuştur.</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I. VERİ SETİNİN KAYNAK/ROL KATEGORİLERİNE GÖRE ÖZETİ.</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160"/>
        <w:gridCol w:w="1656"/>
        <w:gridCol w:w="792"/>
        <w:gridCol w:w="1080"/>
        <w:gridCol w:w="1944"/>
      </w:tblGrid>
      <w:tr>
        <w:trPr>
          <w:tblHeader w:val="true"/>
          <w:cantSplit/>
        </w:trPr>
        <w:tc>
          <w:tcPr>
            <w:tcW w:type="dxa" w:w="216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Kategori</w:t>
            </w:r>
          </w:p>
        </w:tc>
        <w:tc>
          <w:tcPr>
            <w:tcW w:type="dxa" w:w="165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Örnekler</w:t>
            </w:r>
          </w:p>
        </w:tc>
        <w:tc>
          <w:tcPr>
            <w:tcW w:type="dxa" w:w="792"/>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Sayı</w:t>
            </w:r>
          </w:p>
        </w:tc>
        <w:tc>
          <w:tcPr>
            <w:tcW w:type="dxa" w:w="108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LoC</w:t>
            </w:r>
          </w:p>
        </w:tc>
        <w:tc>
          <w:tcPr>
            <w:tcW w:type="dxa" w:w="1944"/>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Kaynak</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Temel algoritmalar</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s01-s24</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24</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10-88</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Uzun özgün</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s25-s29</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69-141</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Rosetta Code</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s30-s36</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27-71</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Bağımsız*</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BSD libc</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s37-s39</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143-154</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Bağımsız**</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Hedeflenmemiş boşluk</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s40-s45</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6</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21-43</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musl/Redis/cJSON</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s46-s48</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262-522</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Bağımsız***</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Kök-neden 2. örnek</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s49-s53</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27-33</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Çok dosyalı</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s54,s55,s57</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71-112</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 (çok dosya)</w:t>
            </w:r>
          </w:p>
        </w:tc>
      </w:tr>
      <w:tr>
        <w:trPr>
          <w:cantSplit/>
        </w:trPr>
        <w:tc>
          <w:tcPr>
            <w:tcW w:type="dxa" w:w="2160"/>
            <w:vAlign w:val="center"/>
          </w:tcPr>
          <w:p>
            <w:pPr>
              <w:spacing w:after="50" w:before="50" w:line="276" w:lineRule="auto"/>
              <w:jc w:val="left"/>
            </w:pPr>
            <w:r>
              <w:rPr>
                <w:rFonts w:ascii="Times New Roman" w:hAnsi="Times New Roman"/>
                <w:b w:val="0"/>
                <w:sz w:val="16"/>
              </w:rPr>
            </w:r>
            <w:r>
              <w:rPr>
                <w:rFonts w:ascii="Times New Roman" w:hAnsi="Times New Roman"/>
                <w:b w:val="0"/>
                <w:sz w:val="16"/>
              </w:rPr>
              <w:t>Karmaşık makro</w:t>
            </w:r>
          </w:p>
        </w:tc>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s56</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w:t>
            </w:r>
          </w:p>
        </w:tc>
        <w:tc>
          <w:tcPr>
            <w:tcW w:type="dxa" w:w="108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97</w:t>
            </w:r>
          </w:p>
        </w:tc>
        <w:tc>
          <w:tcPr>
            <w:tcW w:type="dxa" w:w="1944"/>
            <w:vAlign w:val="center"/>
          </w:tcPr>
          <w:p>
            <w:pPr>
              <w:spacing w:after="50" w:before="50" w:line="276" w:lineRule="auto"/>
              <w:jc w:val="left"/>
            </w:pPr>
            <w:r>
              <w:rPr>
                <w:rFonts w:ascii="Times New Roman" w:hAnsi="Times New Roman"/>
                <w:b w:val="0"/>
                <w:sz w:val="16"/>
              </w:rPr>
            </w:r>
            <w:r>
              <w:rPr>
                <w:rFonts w:ascii="Times New Roman" w:hAnsi="Times New Roman"/>
                <w:b w:val="0"/>
                <w:sz w:val="16"/>
              </w:rPr>
              <w:t>Özgün</w:t>
            </w:r>
          </w:p>
        </w:tc>
      </w:tr>
    </w:tbl>
    <w:p>
      <w:pPr>
        <w:spacing w:before="40" w:after="80"/>
        <w:jc w:val="left"/>
      </w:pPr>
      <w:r>
        <w:rPr>
          <w:rFonts w:ascii="Times New Roman" w:hAnsi="Times New Roman"/>
          <w:sz w:val="15"/>
        </w:rPr>
        <w:t>a. * Rosetta Code; ** OpenBSD/FreeBSD libc; *** musl/Redis/cJSON — üçü de tarafımızca yazılmamış bağımsız/üretim kodu, bkz. Bölüm V-B.</w:t>
      </w:r>
    </w:p>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before="80" w:after="20"/>
      </w:pPr>
      <w:r>
        <w:rPr>
          <w:rFonts w:ascii="Times New Roman" w:hAnsi="Times New Roman"/>
          <w:b w:val="0"/>
          <w:i/>
          <w:sz w:val="20"/>
        </w:rPr>
        <w:t>B. Çeviri Süreci</w:t>
      </w:r>
    </w:p>
    <w:p>
      <w:pPr>
        <w:spacing w:after="60"/>
        <w:ind w:firstLine="289"/>
        <w:jc w:val="both"/>
      </w:pPr>
      <w:r>
        <w:rPr>
          <w:rFonts w:ascii="Times New Roman" w:hAnsi="Times New Roman" w:cs="Times New Roman"/>
          <w:sz w:val="20"/>
          <w:szCs w:val="20"/>
        </w:rPr>
        <w:t>Ana çeviri modeli Anthropic Claude Sonnet 5’tir (model kimliği: claude-sonnet-5); ikinci, bağımsız model olarak Google Gemini API’si [12] (gemini-flash-latest, gerçek API çağrısıyla, temperature=0.2, top_p=1.0) kullanılmıştır. Gemini kimliği sabit bir sürüm değil rotasyonlu bir takma addır (“-latest”); hangi anlık görüntüye (</w:t>
      </w:r>
      <w:r>
        <w:rPr>
          <w:rFonts w:ascii="Courier New" w:hAnsi="Courier New" w:cs="Courier New" w:eastAsia="Courier New"/>
          <w:sz w:val="18"/>
          <w:szCs w:val="18"/>
        </w:rPr>
        <w:t xml:space="preserve">modelVersion</w:t>
      </w:r>
      <w:r>
        <w:rPr>
          <w:rFonts w:ascii="Times New Roman" w:hAnsi="Times New Roman" w:cs="Times New Roman"/>
          <w:sz w:val="20"/>
          <w:szCs w:val="20"/>
        </w:rPr>
        <w:t>) çözümlendiği o dönemde loglanmamıştır — tekrarlanabilirlik açısından kabul edilmesi gereken bir eksikliktir (Bölüm V-B), ölçümün zamansal bağlamı yalnızca erişim tarihleriyle (2026-07-22 - 2026-07-25) yeniden kurulabilir. İstem mühendisliği en yalın haliyle uygulanmıştır: modele yalnızca “bu C programını Rust’a çevir” istemi verilmiş, model derleme/test aracına erişememiştir (gerçek zero-shot). Değerlendirme betiği model-bağımsız tasarlanmıştır. Claude çevirileri ise etkileşimli bir asistan oturumunda (Claude Code CLI) üretilmiş; örnekleme parametreleri ayrı arşivlenmemiştir; bu, tekrarlanabilirliği Gemini tarafına göre sınırlayan bir asimetridir (Bölüm V-B). Her iki model için de her örnek yalnızca bir kez (k=1) çevrilmiştir; bu tek-örneklemli ölçümün model farkını mı örnekleme gürültüsünü mü yansıttığı bilinmemektedir (Bölüm V-B). Gemini ölçümü, ücretsiz katman günlük kota sınırı nedeniyle 2026-07-22 - 2026-07-25 arasında kademeli tamamlanmıştır; çağrı kaydı (istem, zaman damgası, örnekleme parametreleri; modelVersion alanı hariç) her örnek için açık veri deposunda arşivlenmiştir.</w:t>
      </w:r>
    </w:p>
    <w:p>
      <w:pPr>
        <w:spacing w:before="80" w:after="20"/>
      </w:pPr>
      <w:r>
        <w:rPr>
          <w:rFonts w:ascii="Times New Roman" w:hAnsi="Times New Roman"/>
          <w:b w:val="0"/>
          <w:i/>
          <w:sz w:val="20"/>
        </w:rPr>
        <w:t>C. Diferansiyel Test ve Hata Taksonomisi</w:t>
      </w:r>
    </w:p>
    <w:p>
      <w:pPr>
        <w:spacing w:after="60"/>
        <w:ind w:firstLine="289"/>
        <w:jc w:val="both"/>
      </w:pPr>
      <w:r>
        <w:rPr>
          <w:rFonts w:ascii="Times New Roman" w:hAnsi="Times New Roman"/>
          <w:i w:val="0"/>
          <w:sz w:val="20"/>
        </w:rPr>
        <w:t xml:space="preserve">Hedef dilde önceden yazılmış birim test bulunmadığından, doğruluk kaynak programla aynı girdide çalıştırılıp çıktı karşılaştırılarak (diferansiyel test) ölçülmüştür: C ve Rust ikilileri derlenir (Rust derlenmezse CE); her test girdisi için beklenen/alınan çıktı karşılaştırılır (zaman aşımı → NT, çökme → RE, fark → FE, eşitse PASS; Tablo II); bir örnek yalnızca </w:t>
      </w:r>
      <w:r>
        <w:rPr>
          <w:rFonts w:ascii="Times New Roman" w:hAnsi="Times New Roman"/>
          <w:i/>
          <w:sz w:val="20"/>
        </w:rPr>
        <w:t>tüm</w:t>
      </w:r>
      <w:r>
        <w:rPr>
          <w:rFonts w:ascii="Times New Roman" w:hAnsi="Times New Roman"/>
          <w:i w:val="0"/>
          <w:sz w:val="20"/>
        </w:rPr>
        <w:t xml:space="preserve"> girdileri geçerse PASS sayılır.</w:t>
      </w:r>
    </w:p>
    <w:p>
      <w:pPr>
        <w:spacing w:before="40" w:after="80"/>
        <w:jc w:val="center"/>
      </w:pPr>
      <w:r>
        <w:rPr>
          <w:rFonts w:ascii="Times New Roman" w:hAnsi="Times New Roman"/>
          <w:sz w:val="16"/>
        </w:rPr>
        <w:t>TABLO II. HATA TAKSONOMİSİ.</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936"/>
        <w:gridCol w:w="1512"/>
        <w:gridCol w:w="2304"/>
      </w:tblGrid>
      <w:tr>
        <w:trPr>
          <w:tblHeader w:val="true"/>
          <w:cantSplit/>
        </w:trPr>
        <w:tc>
          <w:tcPr>
            <w:tcW w:type="dxa" w:w="93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Kod</w:t>
            </w:r>
          </w:p>
        </w:tc>
        <w:tc>
          <w:tcPr>
            <w:tcW w:type="dxa" w:w="1512"/>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Tür</w:t>
            </w:r>
          </w:p>
        </w:tc>
        <w:tc>
          <w:tcPr>
            <w:tcW w:type="dxa" w:w="2304"/>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Tanım</w:t>
            </w:r>
          </w:p>
        </w:tc>
      </w:tr>
      <w:tr>
        <w:trPr>
          <w:cantSplit/>
        </w:trPr>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CE</w:t>
            </w:r>
          </w:p>
        </w:tc>
        <w:tc>
          <w:tcPr>
            <w:tcW w:type="dxa" w:w="1512"/>
            <w:vAlign w:val="center"/>
          </w:tcPr>
          <w:p>
            <w:pPr>
              <w:spacing w:after="50" w:before="50" w:line="276" w:lineRule="auto"/>
              <w:jc w:val="left"/>
            </w:pPr>
            <w:r>
              <w:rPr>
                <w:rFonts w:ascii="Times New Roman" w:hAnsi="Times New Roman"/>
                <w:b w:val="0"/>
                <w:sz w:val="16"/>
              </w:rPr>
            </w:r>
            <w:r>
              <w:rPr>
                <w:rFonts w:ascii="Times New Roman" w:hAnsi="Times New Roman"/>
                <w:b w:val="0"/>
                <w:sz w:val="16"/>
              </w:rPr>
              <w:t>Derleme Hatası</w:t>
            </w:r>
          </w:p>
        </w:tc>
        <w:tc>
          <w:tcPr>
            <w:tcW w:type="dxa" w:w="2304"/>
            <w:vAlign w:val="center"/>
          </w:tcPr>
          <w:p>
            <w:pPr>
              <w:spacing w:after="50" w:before="50" w:line="276" w:lineRule="auto"/>
              <w:jc w:val="left"/>
            </w:pPr>
            <w:r>
              <w:rPr>
                <w:rFonts w:ascii="Times New Roman" w:hAnsi="Times New Roman"/>
                <w:b w:val="0"/>
                <w:sz w:val="16"/>
              </w:rPr>
            </w:r>
            <w:r>
              <w:rPr>
                <w:rFonts w:ascii="Times New Roman" w:hAnsi="Times New Roman"/>
                <w:b w:val="0"/>
                <w:sz w:val="16"/>
              </w:rPr>
              <w:t>Rust kodu rustc ile derlenemiyor.</w:t>
            </w:r>
          </w:p>
        </w:tc>
      </w:tr>
      <w:tr>
        <w:trPr>
          <w:cantSplit/>
        </w:trPr>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RE</w:t>
            </w:r>
          </w:p>
        </w:tc>
        <w:tc>
          <w:tcPr>
            <w:tcW w:type="dxa" w:w="1512"/>
            <w:vAlign w:val="center"/>
          </w:tcPr>
          <w:p>
            <w:pPr>
              <w:spacing w:after="50" w:before="50" w:line="276" w:lineRule="auto"/>
              <w:jc w:val="left"/>
            </w:pPr>
            <w:r>
              <w:rPr>
                <w:rFonts w:ascii="Times New Roman" w:hAnsi="Times New Roman"/>
                <w:b w:val="0"/>
                <w:sz w:val="16"/>
              </w:rPr>
            </w:r>
            <w:r>
              <w:rPr>
                <w:rFonts w:ascii="Times New Roman" w:hAnsi="Times New Roman"/>
                <w:b w:val="0"/>
                <w:sz w:val="16"/>
              </w:rPr>
              <w:t>Çalışma Zamanı Hatası</w:t>
            </w:r>
          </w:p>
        </w:tc>
        <w:tc>
          <w:tcPr>
            <w:tcW w:type="dxa" w:w="2304"/>
            <w:vAlign w:val="center"/>
          </w:tcPr>
          <w:p>
            <w:pPr>
              <w:spacing w:after="50" w:before="50" w:line="276" w:lineRule="auto"/>
              <w:jc w:val="left"/>
            </w:pPr>
            <w:r>
              <w:rPr>
                <w:rFonts w:ascii="Times New Roman" w:hAnsi="Times New Roman"/>
                <w:b w:val="0"/>
                <w:sz w:val="16"/>
              </w:rPr>
            </w:r>
            <w:r>
              <w:rPr>
                <w:rFonts w:ascii="Times New Roman" w:hAnsi="Times New Roman"/>
                <w:b w:val="0"/>
                <w:sz w:val="16"/>
              </w:rPr>
              <w:t>Program panik veriyor / çöküyor.</w:t>
            </w:r>
          </w:p>
        </w:tc>
      </w:tr>
      <w:tr>
        <w:trPr>
          <w:cantSplit/>
        </w:trPr>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NT</w:t>
            </w:r>
          </w:p>
        </w:tc>
        <w:tc>
          <w:tcPr>
            <w:tcW w:type="dxa" w:w="1512"/>
            <w:vAlign w:val="center"/>
          </w:tcPr>
          <w:p>
            <w:pPr>
              <w:spacing w:after="50" w:before="50" w:line="276" w:lineRule="auto"/>
              <w:jc w:val="left"/>
            </w:pPr>
            <w:r>
              <w:rPr>
                <w:rFonts w:ascii="Times New Roman" w:hAnsi="Times New Roman"/>
                <w:b w:val="0"/>
                <w:sz w:val="16"/>
              </w:rPr>
            </w:r>
            <w:r>
              <w:rPr>
                <w:rFonts w:ascii="Times New Roman" w:hAnsi="Times New Roman"/>
                <w:b w:val="0"/>
                <w:sz w:val="16"/>
              </w:rPr>
              <w:t>Sonlanmama</w:t>
            </w:r>
          </w:p>
        </w:tc>
        <w:tc>
          <w:tcPr>
            <w:tcW w:type="dxa" w:w="2304"/>
            <w:vAlign w:val="center"/>
          </w:tcPr>
          <w:p>
            <w:pPr>
              <w:spacing w:after="50" w:before="50" w:line="276" w:lineRule="auto"/>
              <w:jc w:val="left"/>
            </w:pPr>
            <w:r>
              <w:rPr>
                <w:rFonts w:ascii="Times New Roman" w:hAnsi="Times New Roman"/>
                <w:b w:val="0"/>
                <w:sz w:val="16"/>
              </w:rPr>
            </w:r>
            <w:r>
              <w:rPr>
                <w:rFonts w:ascii="Times New Roman" w:hAnsi="Times New Roman"/>
                <w:b w:val="0"/>
                <w:sz w:val="16"/>
              </w:rPr>
              <w:t>Program zaman aşımında (5 sn) sonlanmıyor.</w:t>
            </w:r>
          </w:p>
        </w:tc>
      </w:tr>
      <w:tr>
        <w:trPr>
          <w:cantSplit/>
        </w:trPr>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FE</w:t>
            </w:r>
          </w:p>
        </w:tc>
        <w:tc>
          <w:tcPr>
            <w:tcW w:type="dxa" w:w="1512"/>
            <w:vAlign w:val="center"/>
          </w:tcPr>
          <w:p>
            <w:pPr>
              <w:spacing w:after="50" w:before="50" w:line="276" w:lineRule="auto"/>
              <w:jc w:val="left"/>
            </w:pPr>
            <w:r>
              <w:rPr>
                <w:rFonts w:ascii="Times New Roman" w:hAnsi="Times New Roman"/>
                <w:b w:val="0"/>
                <w:sz w:val="16"/>
              </w:rPr>
            </w:r>
            <w:r>
              <w:rPr>
                <w:rFonts w:ascii="Times New Roman" w:hAnsi="Times New Roman"/>
                <w:b w:val="0"/>
                <w:sz w:val="16"/>
              </w:rPr>
              <w:t>Fonksiyonel Hata</w:t>
            </w:r>
          </w:p>
        </w:tc>
        <w:tc>
          <w:tcPr>
            <w:tcW w:type="dxa" w:w="2304"/>
            <w:vAlign w:val="center"/>
          </w:tcPr>
          <w:p>
            <w:pPr>
              <w:spacing w:after="50" w:before="50" w:line="276" w:lineRule="auto"/>
              <w:jc w:val="left"/>
            </w:pPr>
            <w:r>
              <w:rPr>
                <w:rFonts w:ascii="Times New Roman" w:hAnsi="Times New Roman"/>
                <w:b w:val="0"/>
                <w:sz w:val="16"/>
              </w:rPr>
            </w:r>
            <w:r>
              <w:rPr>
                <w:rFonts w:ascii="Times New Roman" w:hAnsi="Times New Roman"/>
                <w:b w:val="0"/>
                <w:sz w:val="16"/>
              </w:rPr>
              <w:t>Derlenip çalışıyor ama çıktı farklı.</w:t>
            </w:r>
          </w:p>
        </w:tc>
      </w:tr>
    </w:tbl>
    <w:p>
      <w:pPr>
        <w:spacing w:after="0" w:before="0"/>
      </w:pPr>
      <w:r>
        <w:rPr>
          <w:sz w:val="4"/>
        </w:rPr>
      </w:r>
    </w:p>
    <w:p>
      <w:pPr>
        <w:spacing w:before="80" w:after="20"/>
      </w:pPr>
      <w:r>
        <w:rPr>
          <w:rFonts w:ascii="Times New Roman" w:hAnsi="Times New Roman"/>
          <w:b w:val="0"/>
          <w:i/>
          <w:sz w:val="20"/>
        </w:rPr>
        <w:t>D. Derleme Yapılandırması ve İyileştirme Döngüsü</w:t>
      </w:r>
    </w:p>
    <w:p>
      <w:pPr>
        <w:spacing w:after="60"/>
        <w:ind w:firstLine="289"/>
        <w:jc w:val="both"/>
      </w:pPr>
      <w:r>
        <w:rPr>
          <w:rFonts w:ascii="Times New Roman" w:hAnsi="Times New Roman"/>
          <w:i w:val="0"/>
          <w:sz w:val="20"/>
        </w:rPr>
        <w:t xml:space="preserve">Rust’ta tamsayı taşması debug modunda (overflow-checks açık) panik üretirken release modunda (-O) sessizce sarar; bu farkı göstermek için aynı Round 1 çevirileri her iki modda test edilmiştir. Round 1’de başarısız olan her örnek için hata sinyali modele geri verilip düzeltmesi istenmiştir (Round 2); aynı 17 başarısızlık üzerinde, bilginin kısıtlandığı iki ek seviyeyle de ölçüm yapılmıştır (Seviye B: yalnızca derleyici/panik metni veya başarısız girdi; Seviye C: yalnızca başarısız test sayısı). Üç seviyenin tamamında yalnızca </w:t>
      </w:r>
      <w:r>
        <w:rPr>
          <w:rFonts w:ascii="Times New Roman" w:hAnsi="Times New Roman"/>
          <w:i/>
          <w:sz w:val="20"/>
        </w:rPr>
        <w:t>bir</w:t>
      </w:r>
      <w:r>
        <w:rPr>
          <w:rFonts w:ascii="Times New Roman" w:hAnsi="Times New Roman"/>
          <w:i w:val="0"/>
          <w:sz w:val="20"/>
        </w:rPr>
        <w:t xml:space="preserve"> düzeltme turu uygulanmıştır (single-shot, yakınsayana kadar tekrarlanan bir döngü değil) — bu, Seviye B ve C’de EA’nın %100’e ulaşmamasının (sırasıyla %86.0, %71.9) nedenlerinden biridir: bazı düzeltmeler ilk turda başarısız kalmış ve yeniden denenmemiştir.</w:t>
      </w:r>
    </w:p>
    <w:p>
      <w:pPr>
        <w:spacing w:before="80" w:after="20"/>
      </w:pPr>
      <w:r>
        <w:rPr>
          <w:rFonts w:ascii="Times New Roman" w:hAnsi="Times New Roman"/>
          <w:b w:val="0"/>
          <w:i/>
          <w:sz w:val="20"/>
        </w:rPr>
        <w:t>E. Metrik ve Ortam</w:t>
      </w:r>
    </w:p>
    <w:p>
      <w:pPr>
        <w:spacing w:after="60"/>
        <w:ind w:firstLine="289"/>
        <w:jc w:val="both"/>
      </w:pPr>
      <w:r>
        <w:rPr>
          <w:rFonts w:ascii="Times New Roman" w:hAnsi="Times New Roman" w:cs="Times New Roman"/>
          <w:sz w:val="20"/>
          <w:szCs w:val="20"/>
        </w:rPr>
        <w:t xml:space="preserve">Program-düzeyi Yürütme Doğruluğu (EA) = tüm testleri geçen örnek sayısı / toplam örnek sayısı — ana metriktir; test-girdisi bazında geçme oranı ikincil bir metriktir. Ortam: Windows 11, gcc 16.1.0 (MSYS2/UCRT64, -O2), rustc/cargo 1.97.1; derleme </w:t>
      </w:r>
      <w:r>
        <w:rPr>
          <w:rFonts w:ascii="Courier New" w:hAnsi="Courier New" w:cs="Courier New" w:eastAsia="Courier New"/>
          <w:sz w:val="18"/>
          <w:szCs w:val="18"/>
        </w:rPr>
        <w:t xml:space="preserve">rustc &lt;dosya&gt;.rs -o &lt;çıktı&gt;</w:t>
      </w:r>
      <w:r>
        <w:rPr>
          <w:rFonts w:ascii="Times New Roman" w:hAnsi="Times New Roman" w:cs="Times New Roman"/>
          <w:sz w:val="20"/>
          <w:szCs w:val="20"/>
        </w:rPr>
        <w:t xml:space="preserve"> ile, Cargo veya --edition bayrağı olmadan yapılmıştır (varsayılan edition, 2015 — bazı lint’lerin şiddeti edition’a göre değişir; ancak Kategori E’deki E0133 derleme hatası tüm edition’larda sert hatadır). Ayrıca gerçek bir Linux/LP64 ortamında (Docker, ubuntu:24.04) bir tekrar yapılmıştır; bu tekrar veri seti 55 örnekken gerçekleştirilmiş ve sonradan güncellenmemiştir (Bölüm IV-F). Zaman aşımı eşiği 5 sn’dir; yalnızca LLM çağrısı bire bir tekrarlanabilir değildir (Bölüm V-B). Tekrarlanabilirlik için gereken depo/erişim bilgileri Bölüm III-F’de sunulmuştur.</w:t>
      </w:r>
    </w:p>
    <w:p>
      <w:pPr>
        <w:spacing w:before="80" w:after="20"/>
      </w:pPr>
      <w:r>
        <w:rPr>
          <w:rFonts w:ascii="Times New Roman" w:hAnsi="Times New Roman"/>
          <w:b w:val="0"/>
          <w:i/>
          <w:sz w:val="20"/>
        </w:rPr>
        <w:t>F. Veri, Kod ve Lisans Erişilebilirliği</w:t>
      </w:r>
    </w:p>
    <w:p>
      <w:pPr>
        <w:spacing w:after="60"/>
        <w:ind w:firstLine="289"/>
        <w:jc w:val="both"/>
      </w:pPr>
      <w:r>
        <w:rPr>
          <w:rFonts w:ascii="Times New Roman" w:hAnsi="Times New Roman"/>
          <w:b w:val="0"/>
          <w:i w:val="0"/>
          <w:sz w:val="20"/>
        </w:rPr>
        <w:t>Tüm değerlendirme betikleri, veri seti, model çağrı kayıtları, istatistik ve platform-karşılaştırma raporları ile ham sonuçlar açık bir depoda erişime sunulmuştur. Kör değerlendirme sürecini korumak için depo bağlantısı ve kalıcı arşiv (Zenodo/figshare) DOI’si, kabul sonrası yayın aşamasında paylaşılacaktır. Bağımsız kaynaklardan alınan programlar ilgili açık lisanslar altında yeniden kullanılmıştır: Rosetta Code örnekleri GFDL 1.2/CC-BY-SA; OpenBSD/FreeBSD libc ve Redis SDS kodu BSD-3-Clause; musl ve cJSON kodu MIT lisansı altındadır. Her kaynak dosyanın başlığında lisans bilgisi ve yapılan değişiklikler belgelenmiştir.</w:t>
      </w:r>
    </w:p>
    <w:p>
      <w:pPr>
        <w:spacing w:before="120" w:after="60"/>
        <w:jc w:val="center"/>
      </w:pPr>
      <w:r>
        <w:rPr>
          <w:rFonts w:ascii="Times New Roman" w:hAnsi="Times New Roman"/>
          <w:b w:val="0"/>
          <w:smallCaps/>
          <w:sz w:val="20"/>
        </w:rPr>
        <w:t>IV. Bulgular</w:t>
      </w:r>
    </w:p>
    <w:p>
      <w:pPr>
        <w:spacing w:after="60"/>
        <w:ind w:firstLine="289"/>
        <w:jc w:val="both"/>
      </w:pPr>
      <w:r>
        <w:rPr>
          <w:rFonts w:ascii="Times New Roman" w:hAnsi="Times New Roman"/>
          <w:b w:val="0"/>
          <w:i w:val="0"/>
          <w:sz w:val="20"/>
        </w:rPr>
        <w:t>Deney üç koşulda çalıştırılmıştır (Tablo III): Round 1 debug, Round 1 release, Round 2 (iyileştirilmiş) debug.</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III. ÜÇ KOŞULUN KARŞILAŞTIRMASI (CLAUDE).</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232"/>
        <w:gridCol w:w="936"/>
        <w:gridCol w:w="864"/>
        <w:gridCol w:w="792"/>
        <w:gridCol w:w="648"/>
        <w:gridCol w:w="648"/>
        <w:gridCol w:w="648"/>
        <w:gridCol w:w="648"/>
      </w:tblGrid>
      <w:tr>
        <w:trPr>
          <w:tblHeader w:val="true"/>
          <w:cantSplit/>
        </w:trPr>
        <w:tc>
          <w:tcPr>
            <w:tcW w:type="dxa" w:w="2232"/>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Koşul</w:t>
            </w:r>
          </w:p>
        </w:tc>
        <w:tc>
          <w:tcPr>
            <w:tcW w:type="dxa" w:w="93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Mod</w:t>
            </w:r>
          </w:p>
        </w:tc>
        <w:tc>
          <w:tcPr>
            <w:tcW w:type="dxa" w:w="864"/>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EA</w:t>
            </w:r>
          </w:p>
        </w:tc>
        <w:tc>
          <w:tcPr>
            <w:tcW w:type="dxa" w:w="792"/>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EA%</w:t>
            </w:r>
          </w:p>
        </w:tc>
        <w:tc>
          <w:tcPr>
            <w:tcW w:type="dxa" w:w="64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CE</w:t>
            </w:r>
          </w:p>
        </w:tc>
        <w:tc>
          <w:tcPr>
            <w:tcW w:type="dxa" w:w="64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RE</w:t>
            </w:r>
          </w:p>
        </w:tc>
        <w:tc>
          <w:tcPr>
            <w:tcW w:type="dxa" w:w="64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FE</w:t>
            </w:r>
          </w:p>
        </w:tc>
        <w:tc>
          <w:tcPr>
            <w:tcW w:type="dxa" w:w="64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NT</w:t>
            </w:r>
          </w:p>
        </w:tc>
      </w:tr>
      <w:tr>
        <w:trPr>
          <w:cantSplit/>
        </w:trPr>
        <w:tc>
          <w:tcPr>
            <w:tcW w:type="dxa" w:w="2232"/>
            <w:vAlign w:val="center"/>
          </w:tcPr>
          <w:p>
            <w:pPr>
              <w:spacing w:after="50" w:before="50" w:line="276" w:lineRule="auto"/>
              <w:jc w:val="left"/>
            </w:pPr>
            <w:r>
              <w:rPr>
                <w:rFonts w:ascii="Times New Roman" w:hAnsi="Times New Roman"/>
                <w:b w:val="0"/>
                <w:sz w:val="16"/>
              </w:rPr>
            </w:r>
            <w:r>
              <w:rPr>
                <w:rFonts w:ascii="Times New Roman" w:hAnsi="Times New Roman"/>
                <w:b w:val="0"/>
                <w:sz w:val="16"/>
              </w:rPr>
              <w:t>R1 — ham çeviri</w:t>
            </w:r>
          </w:p>
        </w:tc>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Debug</w:t>
            </w:r>
          </w:p>
        </w:tc>
        <w:tc>
          <w:tcPr>
            <w:tcW w:type="dxa" w:w="86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40/57</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70.18</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12</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r>
      <w:tr>
        <w:trPr>
          <w:cantSplit/>
        </w:trPr>
        <w:tc>
          <w:tcPr>
            <w:tcW w:type="dxa" w:w="2232"/>
            <w:vAlign w:val="center"/>
          </w:tcPr>
          <w:p>
            <w:pPr>
              <w:spacing w:after="50" w:before="50" w:line="276" w:lineRule="auto"/>
              <w:jc w:val="left"/>
            </w:pPr>
            <w:r>
              <w:rPr>
                <w:rFonts w:ascii="Times New Roman" w:hAnsi="Times New Roman"/>
                <w:b w:val="0"/>
                <w:sz w:val="16"/>
              </w:rPr>
            </w:r>
            <w:r>
              <w:rPr>
                <w:rFonts w:ascii="Times New Roman" w:hAnsi="Times New Roman"/>
                <w:b w:val="0"/>
                <w:sz w:val="16"/>
              </w:rPr>
              <w:t>R1 — ham çeviri</w:t>
            </w:r>
          </w:p>
        </w:tc>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Release</w:t>
            </w:r>
          </w:p>
        </w:tc>
        <w:tc>
          <w:tcPr>
            <w:tcW w:type="dxa" w:w="86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42/57</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73.68</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12</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r>
      <w:tr>
        <w:trPr>
          <w:cantSplit/>
        </w:trPr>
        <w:tc>
          <w:tcPr>
            <w:tcW w:type="dxa" w:w="2232"/>
            <w:vAlign w:val="center"/>
          </w:tcPr>
          <w:p>
            <w:pPr>
              <w:spacing w:after="50" w:before="50" w:line="276" w:lineRule="auto"/>
              <w:jc w:val="left"/>
            </w:pPr>
            <w:r>
              <w:rPr>
                <w:rFonts w:ascii="Times New Roman" w:hAnsi="Times New Roman"/>
                <w:b w:val="0"/>
                <w:sz w:val="16"/>
              </w:rPr>
            </w:r>
            <w:r>
              <w:rPr>
                <w:rFonts w:ascii="Times New Roman" w:hAnsi="Times New Roman"/>
                <w:b w:val="0"/>
                <w:sz w:val="16"/>
              </w:rPr>
              <w:t>R2 — iyileştirilmiş</w:t>
            </w:r>
          </w:p>
        </w:tc>
        <w:tc>
          <w:tcPr>
            <w:tcW w:type="dxa" w:w="93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Debug</w:t>
            </w:r>
          </w:p>
        </w:tc>
        <w:tc>
          <w:tcPr>
            <w:tcW w:type="dxa" w:w="86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57/57</w:t>
            </w:r>
          </w:p>
        </w:tc>
        <w:tc>
          <w:tcPr>
            <w:tcW w:type="dxa" w:w="79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100.0</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w:t>
            </w:r>
          </w:p>
        </w:tc>
      </w:tr>
    </w:tbl>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before="80" w:after="20"/>
      </w:pPr>
      <w:r>
        <w:rPr>
          <w:rFonts w:ascii="Times New Roman" w:hAnsi="Times New Roman"/>
          <w:b w:val="0"/>
          <w:i/>
          <w:sz w:val="20"/>
        </w:rPr>
        <w:t>A. Genel Yürütme Doğruluğu ve Sessiz Başarısızlıklar</w:t>
      </w:r>
    </w:p>
    <w:p>
      <w:pPr>
        <w:spacing w:after="60"/>
        <w:ind w:firstLine="289"/>
        <w:jc w:val="both"/>
      </w:pPr>
      <w:r>
        <w:rPr>
          <w:rFonts w:ascii="Times New Roman" w:hAnsi="Times New Roman"/>
          <w:b w:val="0"/>
          <w:i w:val="0"/>
          <w:sz w:val="20"/>
        </w:rPr>
        <w:t>Ham çeviriler için EA yalnızca %70.18’dir (Şekil 1). Round 1’de başarısız olan 17 örneğin yalnızca biri (s19, global durum) derleme aşamasında (CE) yakalanmıştır; geri kalan 16’sı (%94.1), 4 RE + 12 FE, derleyiciden hiç uyarı almadan sessizce geçmiştir (Şekil 2). Hiçbir örnek 5 sn’lik eşikte sonlanmama (NT) göstermemiştir; bu kategori taksonomide tanımlı olmakla birlikte üç koşulun hiçbirinde gözlenmemiştir.</w:t>
      </w:r>
    </w:p>
    <w:p>
      <w:pPr>
        <w:spacing w:after="60"/>
        <w:ind w:firstLine="289"/>
        <w:jc w:val="both"/>
      </w:pPr>
      <w:r>
        <w:rPr>
          <w:rFonts w:ascii="Times New Roman" w:hAnsi="Times New Roman"/>
          <w:i w:val="0"/>
          <w:sz w:val="20"/>
        </w:rPr>
        <w:t xml:space="preserve">Program düzeyinde %70.18 olan doğruluk, test girdisi düzeyinde %86.3’tür (195/226 — CE olan örneğin girdileri çalıştırılamadığından payda 226’dır); bu, program-düzeyi metriğin katı (“tüm girdileri geçmelidir”) tanımından beklenen bir farktır. Daha çarpıcı olan: 12 FE örneğinin 6’sı (s06, s13, s15, s20, s27, s38) yalnızca </w:t>
      </w:r>
      <w:r>
        <w:rPr>
          <w:rFonts w:ascii="Times New Roman" w:hAnsi="Times New Roman"/>
          <w:i/>
          <w:sz w:val="20"/>
        </w:rPr>
        <w:t>tek</w:t>
      </w:r>
      <w:r>
        <w:rPr>
          <w:rFonts w:ascii="Times New Roman" w:hAnsi="Times New Roman"/>
          <w:i w:val="0"/>
          <w:sz w:val="20"/>
        </w:rPr>
        <w:t xml:space="preserve"> bir sınır girdisinde sapmış, kalan girdilerin tamamında doğru sonuç üretmiştir; sessiz semantik hataların rastgele bir girdiyle yakalanma olasılığının düşük olduğunu, hatanın yalnızca sessiz değil seyrek de olduğunu gösterir.</w:t>
      </w:r>
    </w:p>
    <w:p>
      <w:pPr>
        <w:jc w:val="center"/>
      </w:pPr>
      <w:r>
        <w:drawing>
          <wp:inline xmlns:a="http://schemas.openxmlformats.org/drawingml/2006/main" xmlns:pic="http://schemas.openxmlformats.org/drawingml/2006/picture">
            <wp:extent cx="3024000" cy="190816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3024000" cy="1908167"/>
                    </a:xfrm>
                    <a:prstGeom prst="rect"/>
                  </pic:spPr>
                </pic:pic>
              </a:graphicData>
            </a:graphic>
          </wp:inline>
        </w:drawing>
      </w:r>
    </w:p>
    <w:p>
      <w:pPr>
        <w:spacing w:before="40" w:after="80"/>
        <w:jc w:val="center"/>
      </w:pPr>
      <w:r>
        <w:rPr>
          <w:rFonts w:ascii="Times New Roman" w:hAnsi="Times New Roman"/>
          <w:sz w:val="16"/>
        </w:rPr>
        <w:t>Şekil 1. Üç koşulda yürütme doğruluğu (sırasıyla %70.18, %73.68 ve %100).</w:t>
      </w:r>
    </w:p>
    <w:p>
      <w:pPr>
        <w:jc w:val="center"/>
      </w:pPr>
      <w:r>
        <w:drawing>
          <wp:inline xmlns:a="http://schemas.openxmlformats.org/drawingml/2006/main" xmlns:pic="http://schemas.openxmlformats.org/drawingml/2006/picture">
            <wp:extent cx="3024000" cy="1848231"/>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3024000" cy="1848231"/>
                    </a:xfrm>
                    <a:prstGeom prst="rect"/>
                  </pic:spPr>
                </pic:pic>
              </a:graphicData>
            </a:graphic>
          </wp:inline>
        </w:drawing>
      </w:r>
    </w:p>
    <w:p>
      <w:pPr>
        <w:spacing w:before="40" w:after="80"/>
        <w:jc w:val="center"/>
      </w:pPr>
      <w:r>
        <w:rPr>
          <w:rFonts w:ascii="Times New Roman" w:hAnsi="Times New Roman"/>
          <w:sz w:val="16"/>
        </w:rPr>
        <w:t>Şekil 2. Koşullara göre sonuç dağılımı.</w:t>
      </w:r>
    </w:p>
    <w:p>
      <w:pPr>
        <w:spacing w:before="80" w:after="20"/>
      </w:pPr>
      <w:r>
        <w:rPr>
          <w:rFonts w:ascii="Times New Roman" w:hAnsi="Times New Roman"/>
          <w:b w:val="0"/>
          <w:i/>
          <w:sz w:val="20"/>
        </w:rPr>
        <w:t>B. Kod Uzunluğu ile Başarı İlişkisi</w:t>
      </w:r>
    </w:p>
    <w:p>
      <w:pPr>
        <w:spacing w:after="60"/>
        <w:ind w:firstLine="289"/>
        <w:jc w:val="both"/>
      </w:pPr>
      <w:r>
        <w:rPr>
          <w:rFonts w:ascii="Times New Roman" w:hAnsi="Times New Roman"/>
          <w:b w:val="0"/>
          <w:i w:val="0"/>
          <w:sz w:val="20"/>
        </w:rPr>
        <w:t>Şekil 3, 57 örneğin LoC’sini başarı durumuna göre gösterir: en uzun program (522 satır, s47) geçerken çok daha kısa s38 (154 satır) ve daha kısa s48 (389 satır) başarısız olmuştur — başarısızlık uzunluktan çok hedeflenen semantik boşluğa bağlıdır. PASS (n=40) ve FAIL (n=17) gruplarının LoC dağılımı Mann-Whitney U testiyle karşılaştırılmış, fark anlamlı bulunmamıştır (U=287.0, p=0.359); veri seti genişletme aşamalarında (n=36→57 arası ara kontrollerde) p-değeri 0.076-0.359 arası dalgalanmıştır; küçük örneklemde p-değerinin istikrarsızlığının veriye dayalı bir göstergesi.</w:t>
      </w:r>
    </w:p>
    <w:p>
      <w:pPr>
        <w:jc w:val="center"/>
      </w:pPr>
      <w:r>
        <w:drawing>
          <wp:inline xmlns:a="http://schemas.openxmlformats.org/drawingml/2006/main" xmlns:pic="http://schemas.openxmlformats.org/drawingml/2006/picture">
            <wp:extent cx="3024000" cy="1660819"/>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3024000" cy="1660819"/>
                    </a:xfrm>
                    <a:prstGeom prst="rect"/>
                  </pic:spPr>
                </pic:pic>
              </a:graphicData>
            </a:graphic>
          </wp:inline>
        </w:drawing>
      </w:r>
    </w:p>
    <w:p>
      <w:pPr>
        <w:spacing w:before="40" w:after="80"/>
        <w:jc w:val="center"/>
      </w:pPr>
      <w:r>
        <w:rPr>
          <w:rFonts w:ascii="Times New Roman" w:hAnsi="Times New Roman"/>
          <w:sz w:val="16"/>
        </w:rPr>
        <w:t>Şekil 3. Kod uzunluğu (LoC) ile başarı durumu ilişkisi (n=57).</w:t>
      </w:r>
    </w:p>
    <w:p>
      <w:pPr>
        <w:spacing w:after="60"/>
        <w:ind w:firstLine="289"/>
        <w:jc w:val="both"/>
      </w:pPr>
      <w:r>
        <w:rPr>
          <w:rFonts w:ascii="Times New Roman" w:hAnsi="Times New Roman"/>
          <w:i w:val="0"/>
          <w:sz w:val="20"/>
        </w:rPr>
        <w:t>İlişkinin etki büyüklüğü rank-biserial korelasyon ile r=0.156’dır (küçük etki). Post-hoc güç yerine (bu p-değerinin tekdüze bir dönüşümüdür ve bağımsız bilgi taşımaz [13]) duyarlılık analizi uygulanmıştır: n(FAIL)=17, n(PASS)=40, α=0.05 ile %80 güçte saptanabilecek en küçük etki büyüklüğü, α=0.05’te iki yönlü kritik U değerinden rank-biserial formülüyle (r = 1 - 2U / (n1 × n2)) hesaplandığında |r|≈0.46’dır. Gözlemlenen r=0.156 bu eşiğin belirgin altındadır — veri seti bu büyüklükte küçük-orta etkileri saptayacak güce sahip değildir; “anlamlı fark yoktur” sonucu düşük güçle tutarlı bir gözlem olarak okunmalıdır (Bölüm V-B). EA için de bootstrap %95 güven aralığı hesaplanmıştır (Şekil 4): Round 1 debug %70.18 [%57.89, %82.46]; geniş aralık, n=57’nin tek nokta tahminine duyulan güveni sınırladığını gösterir.</w:t>
      </w:r>
    </w:p>
    <w:p>
      <w:pPr>
        <w:jc w:val="center"/>
      </w:pPr>
      <w:r>
        <w:drawing>
          <wp:inline xmlns:a="http://schemas.openxmlformats.org/drawingml/2006/main" xmlns:pic="http://schemas.openxmlformats.org/drawingml/2006/picture">
            <wp:extent cx="3024000" cy="2025970"/>
            <wp:docPr id="4" name="Picture 4"/>
            <wp:cNvGraphicFramePr>
              <a:graphicFrameLocks noChangeAspect="1"/>
            </wp:cNvGraphicFramePr>
            <a:graphic>
              <a:graphicData uri="http://schemas.openxmlformats.org/drawingml/2006/picture">
                <pic:pic>
                  <pic:nvPicPr>
                    <pic:cNvPr id="0" name="fig4b_bootstrap_ci.png"/>
                    <pic:cNvPicPr/>
                  </pic:nvPicPr>
                  <pic:blipFill>
                    <a:blip r:embed="rId12"/>
                    <a:stretch>
                      <a:fillRect/>
                    </a:stretch>
                  </pic:blipFill>
                  <pic:spPr>
                    <a:xfrm>
                      <a:off x="0" y="0"/>
                      <a:ext cx="3024000" cy="2025970"/>
                    </a:xfrm>
                    <a:prstGeom prst="rect"/>
                  </pic:spPr>
                </pic:pic>
              </a:graphicData>
            </a:graphic>
          </wp:inline>
        </w:drawing>
      </w:r>
    </w:p>
    <w:p>
      <w:pPr>
        <w:spacing w:before="40" w:after="80"/>
        <w:jc w:val="center"/>
      </w:pPr>
      <w:r>
        <w:rPr>
          <w:rFonts w:ascii="Times New Roman" w:hAnsi="Times New Roman"/>
          <w:sz w:val="16"/>
        </w:rPr>
        <w:t>Şekil 4. Üç koşulda EA için bootstrap %95 güven aralığı.</w:t>
      </w:r>
    </w:p>
    <w:p>
      <w:pPr>
        <w:spacing w:after="60"/>
        <w:ind w:firstLine="289"/>
        <w:jc w:val="both"/>
      </w:pPr>
      <w:r>
        <w:rPr>
          <w:rFonts w:ascii="Times New Roman" w:hAnsi="Times New Roman"/>
          <w:b w:val="0"/>
          <w:i w:val="0"/>
          <w:sz w:val="20"/>
        </w:rPr>
        <w:t>Kod uzunluğunun tek başına açıklayıcı olmaması, başka hangi kod özelliklerinin ayırt edici olabileceği sorusunu gündeme getirir. Tablo IV, PASS/FAIL gruplarının işaretçi, dinamik bellek ayırma (malloc/calloc) ve string-fonksiyonu kullanım oranlarını gösterir (ölçüm tanımları regex tabanlı ve tekrarlanabilirdir; ayrıntılar açık veri deposunda belgelenmiştir).</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IV. PASS/FAIL GRUPLARINA GÖRE BETİMSEL KOD ÖZELLİKLERİ (n=57).</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880"/>
        <w:gridCol w:w="1584"/>
        <w:gridCol w:w="1584"/>
      </w:tblGrid>
      <w:tr>
        <w:trPr>
          <w:tblHeader w:val="true"/>
          <w:cantSplit/>
        </w:trPr>
        <w:tc>
          <w:tcPr>
            <w:tcW w:type="dxa" w:w="288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Özellik</w:t>
            </w:r>
          </w:p>
        </w:tc>
        <w:tc>
          <w:tcPr>
            <w:tcW w:type="dxa" w:w="1584"/>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PASS (n=40)</w:t>
            </w:r>
          </w:p>
        </w:tc>
        <w:tc>
          <w:tcPr>
            <w:tcW w:type="dxa" w:w="1584"/>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FAIL (n=17)</w:t>
            </w:r>
          </w:p>
        </w:tc>
      </w:tr>
      <w:tr>
        <w:trPr>
          <w:cantSplit/>
        </w:trPr>
        <w:tc>
          <w:tcPr>
            <w:tcW w:type="dxa" w:w="2880"/>
            <w:vAlign w:val="center"/>
          </w:tcPr>
          <w:p>
            <w:pPr>
              <w:spacing w:after="50" w:before="50" w:line="276" w:lineRule="auto"/>
              <w:jc w:val="left"/>
            </w:pPr>
            <w:r>
              <w:rPr>
                <w:rFonts w:ascii="Times New Roman" w:hAnsi="Times New Roman"/>
                <w:b w:val="0"/>
                <w:sz w:val="16"/>
              </w:rPr>
            </w:r>
            <w:r>
              <w:rPr>
                <w:rFonts w:ascii="Times New Roman" w:hAnsi="Times New Roman"/>
                <w:b w:val="0"/>
                <w:sz w:val="16"/>
              </w:rPr>
              <w:t>Ortalama LoC</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67.0</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59.8</w:t>
            </w:r>
          </w:p>
        </w:tc>
      </w:tr>
      <w:tr>
        <w:trPr>
          <w:cantSplit/>
        </w:trPr>
        <w:tc>
          <w:tcPr>
            <w:tcW w:type="dxa" w:w="2880"/>
            <w:vAlign w:val="center"/>
          </w:tcPr>
          <w:p>
            <w:pPr>
              <w:spacing w:after="50" w:before="50" w:line="276" w:lineRule="auto"/>
              <w:jc w:val="left"/>
            </w:pPr>
            <w:r>
              <w:rPr>
                <w:rFonts w:ascii="Times New Roman" w:hAnsi="Times New Roman"/>
                <w:b w:val="0"/>
                <w:sz w:val="16"/>
              </w:rPr>
            </w:r>
            <w:r>
              <w:rPr>
                <w:rFonts w:ascii="Times New Roman" w:hAnsi="Times New Roman"/>
                <w:b w:val="0"/>
                <w:sz w:val="16"/>
              </w:rPr>
              <w:t>Medyan LoC</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34.5</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27.0</w:t>
            </w:r>
          </w:p>
        </w:tc>
      </w:tr>
      <w:tr>
        <w:trPr>
          <w:cantSplit/>
        </w:trPr>
        <w:tc>
          <w:tcPr>
            <w:tcW w:type="dxa" w:w="2880"/>
            <w:vAlign w:val="center"/>
          </w:tcPr>
          <w:p>
            <w:pPr>
              <w:spacing w:after="50" w:before="50" w:line="276" w:lineRule="auto"/>
              <w:jc w:val="left"/>
            </w:pPr>
            <w:r>
              <w:rPr>
                <w:rFonts w:ascii="Times New Roman" w:hAnsi="Times New Roman"/>
                <w:b w:val="0"/>
                <w:sz w:val="16"/>
              </w:rPr>
            </w:r>
            <w:r>
              <w:rPr>
                <w:rFonts w:ascii="Times New Roman" w:hAnsi="Times New Roman"/>
                <w:b w:val="0"/>
                <w:sz w:val="16"/>
              </w:rPr>
              <w:t>İşaretçi kullanımı</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%57.5</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%41.2</w:t>
            </w:r>
          </w:p>
        </w:tc>
      </w:tr>
      <w:tr>
        <w:trPr>
          <w:cantSplit/>
        </w:trPr>
        <w:tc>
          <w:tcPr>
            <w:tcW w:type="dxa" w:w="2880"/>
            <w:vAlign w:val="center"/>
          </w:tcPr>
          <w:p>
            <w:pPr>
              <w:spacing w:after="50" w:before="50" w:line="276" w:lineRule="auto"/>
              <w:jc w:val="left"/>
            </w:pPr>
            <w:r>
              <w:rPr>
                <w:rFonts w:ascii="Times New Roman" w:hAnsi="Times New Roman"/>
                <w:b w:val="0"/>
                <w:sz w:val="16"/>
              </w:rPr>
            </w:r>
            <w:r>
              <w:rPr>
                <w:rFonts w:ascii="Times New Roman" w:hAnsi="Times New Roman"/>
                <w:b w:val="0"/>
                <w:sz w:val="16"/>
              </w:rPr>
              <w:t>malloc/calloc</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%22.5</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%0.0</w:t>
            </w:r>
          </w:p>
        </w:tc>
      </w:tr>
      <w:tr>
        <w:trPr>
          <w:cantSplit/>
        </w:trPr>
        <w:tc>
          <w:tcPr>
            <w:tcW w:type="dxa" w:w="2880"/>
            <w:vAlign w:val="center"/>
          </w:tcPr>
          <w:p>
            <w:pPr>
              <w:spacing w:after="50" w:before="50" w:line="276" w:lineRule="auto"/>
              <w:jc w:val="left"/>
            </w:pPr>
            <w:r>
              <w:rPr>
                <w:rFonts w:ascii="Times New Roman" w:hAnsi="Times New Roman"/>
                <w:b w:val="0"/>
                <w:sz w:val="16"/>
              </w:rPr>
            </w:r>
            <w:r>
              <w:rPr>
                <w:rFonts w:ascii="Times New Roman" w:hAnsi="Times New Roman"/>
                <w:b w:val="0"/>
                <w:sz w:val="16"/>
              </w:rPr>
              <w:t>String fonksiyonu</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%37.5</w:t>
            </w:r>
          </w:p>
        </w:tc>
        <w:tc>
          <w:tcPr>
            <w:tcW w:type="dxa" w:w="1584"/>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%47.1</w:t>
            </w:r>
          </w:p>
        </w:tc>
      </w:tr>
    </w:tbl>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after="60"/>
        <w:ind w:firstLine="289"/>
        <w:jc w:val="both"/>
      </w:pPr>
      <w:r>
        <w:rPr>
          <w:rFonts w:ascii="Times New Roman" w:hAnsi="Times New Roman"/>
          <w:b w:val="0"/>
          <w:i w:val="0"/>
          <w:sz w:val="20"/>
        </w:rPr>
        <w:t>FAIL grubunun string-fonksiyonu kullanımı (%47.1) PASS grubundan (%37.5) yüksek, malloc/calloc kullanımı ise sıfırdır — bu, Bölüm IV-C’deki kök neden analiziyle tutarlıdır: başarısızlıkların çoğu string/karakter/sayı semantiğiyle ilgilidir; dinamik veri yapısı içeren programlar (bağlı liste, BST, hash tablosu) bu veri setinde istisnasız PASS olmuştur. İşaretçi kullanımı ile PASS/FAIL arasındaki ilişki Fisher’in kesin testiyle de sınanmış, anlamlı bulunmamıştır (tablo=[[23,7],[17,10]], odds oranı=1.93, %95 GA=[0.61, 6.11], p=0.385); güven aralığının 1.0’i içermesi ve genişliği, küçük örneklemin doğal bir sonucudur. Bu veri setinde küçük örneklem büyüklüğü nedeniyle aynı veriler üzerinde birden fazla çıkarımsal test (Mann-Whitney, Fisher, McNemar) uygulanmıştır; bootstrap güven aralığı bir hipotez testi olmadığından bu sayıma dahil değildir. Bunlar keşif amaçlı (exploratory) okunmalı ve bir çoklu-karşılaştırma düzeltmesiyle birlikte değerlendirilmelidir (ayrıntılı düzeltme kontrolü: Bölüm V-B).</w:t>
      </w:r>
    </w:p>
    <w:p>
      <w:pPr>
        <w:spacing w:before="80" w:after="20"/>
      </w:pPr>
      <w:r>
        <w:rPr>
          <w:rFonts w:ascii="Times New Roman" w:hAnsi="Times New Roman"/>
          <w:b w:val="0"/>
          <w:i/>
          <w:sz w:val="20"/>
        </w:rPr>
        <w:t>C. Kök Neden Analizi</w:t>
      </w:r>
    </w:p>
    <w:p>
      <w:pPr>
        <w:spacing w:after="60"/>
        <w:ind w:firstLine="289"/>
        <w:jc w:val="both"/>
      </w:pPr>
      <w:r>
        <w:rPr>
          <w:rFonts w:ascii="Times New Roman" w:hAnsi="Times New Roman"/>
          <w:b w:val="0"/>
          <w:i w:val="0"/>
          <w:sz w:val="20"/>
        </w:rPr>
        <w:t>17 başarısızlık 9 kök nedene ayrıştırılmıştır (Şekil 5, Tablo V): 8 kategoride (A-D, F-I) Rust kodu sözdizimsel olarak geçerlidir; model, kaynağın bit-genişliği/işaretlilik/sarma/kontrol-akışı sözleşmesini korumak yerine hedef dilin idiyomatik varsayılanını seçmiştir. Tek istisna kategori E’dir: aynı türden bir birebir aktarım Rust’ın tip güvenliği tarafından derleme aşamasında engellenmiştir — 17 başarısızlığın tek CE’si. Bu tanım (“derleyici uyarısı almadan geçme”) tek katmanlıdır: 4’ü aslında gürültülü, kolay fark edilen bir çalışma zamanı paniğidir (RE); gerçek anlamda sessiz olanlar yalnızca 12 FE’dir (%70.6): derlenir, çöküp panik vermeden çalışır, ama yanlış çıktı üretir. Daha doğru çerçeveleme iki katmanlıdır: “derleme aşamasında yakalanmamış” (%94.1) ve “çalışma zamanında da sinyal vermeden yanlış sonuç veren” (%70.6).</w:t>
      </w:r>
    </w:p>
    <w:p>
      <w:pPr>
        <w:jc w:val="center"/>
      </w:pPr>
      <w:r>
        <w:drawing>
          <wp:inline xmlns:a="http://schemas.openxmlformats.org/drawingml/2006/main" xmlns:pic="http://schemas.openxmlformats.org/drawingml/2006/picture">
            <wp:extent cx="3024000" cy="1525799"/>
            <wp:docPr id="5" name="Picture 5"/>
            <wp:cNvGraphicFramePr>
              <a:graphicFrameLocks noChangeAspect="1"/>
            </wp:cNvGraphicFramePr>
            <a:graphic>
              <a:graphicData uri="http://schemas.openxmlformats.org/drawingml/2006/picture">
                <pic:pic>
                  <pic:nvPicPr>
                    <pic:cNvPr id="0" name="fig5_rootcause.png"/>
                    <pic:cNvPicPr/>
                  </pic:nvPicPr>
                  <pic:blipFill>
                    <a:blip r:embed="rId13"/>
                    <a:stretch>
                      <a:fillRect/>
                    </a:stretch>
                  </pic:blipFill>
                  <pic:spPr>
                    <a:xfrm>
                      <a:off x="0" y="0"/>
                      <a:ext cx="3024000" cy="1525799"/>
                    </a:xfrm>
                    <a:prstGeom prst="rect"/>
                  </pic:spPr>
                </pic:pic>
              </a:graphicData>
            </a:graphic>
          </wp:inline>
        </w:drawing>
      </w:r>
    </w:p>
    <w:p>
      <w:pPr>
        <w:spacing w:before="40" w:after="80"/>
        <w:jc w:val="center"/>
      </w:pPr>
      <w:r>
        <w:rPr>
          <w:rFonts w:ascii="Times New Roman" w:hAnsi="Times New Roman"/>
          <w:sz w:val="16"/>
        </w:rPr>
        <w:t>Şekil 5. Başarısızlıkların kök-neden dağılımı (Round 1, s49-s53’ün bağımsız 2. örnekleri dahil).</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V. DOKUZ KÖK NEDEN VE TEMSİLİ ÖRNEKLER.</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648"/>
        <w:gridCol w:w="2016"/>
        <w:gridCol w:w="1512"/>
        <w:gridCol w:w="5616"/>
      </w:tblGrid>
      <w:tr>
        <w:trPr>
          <w:tblHeader w:val="true"/>
          <w:cantSplit/>
        </w:trPr>
        <w:tc>
          <w:tcPr>
            <w:tcW w:type="dxa" w:w="64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Kod</w:t>
            </w:r>
          </w:p>
        </w:tc>
        <w:tc>
          <w:tcPr>
            <w:tcW w:type="dxa" w:w="201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Kategori</w:t>
            </w:r>
          </w:p>
        </w:tc>
        <w:tc>
          <w:tcPr>
            <w:tcW w:type="dxa" w:w="1512"/>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Örnek</w:t>
            </w:r>
          </w:p>
        </w:tc>
        <w:tc>
          <w:tcPr>
            <w:tcW w:type="dxa" w:w="561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Boşluk (C sözleşmesi → LLM seçimi)</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A</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Unsigned taşma</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s09,s14(RE)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cs="Times New Roman"/>
                <w:sz w:val="16"/>
                <w:szCs w:val="16"/>
              </w:rPr>
              <w:t xml:space="preserve">Mod-2</w:t>
            </w:r>
            <w:r>
              <w:rPr>
                <w:rFonts w:ascii="Times New Roman" w:hAnsi="Times New Roman" w:cs="Times New Roman"/>
                <w:sz w:val="16"/>
                <w:szCs w:val="16"/>
                <w:vertAlign w:val="superscript"/>
              </w:rPr>
              <w:t xml:space="preserve">n</w:t>
            </w:r>
            <w:r>
              <w:rPr>
                <w:rFonts w:ascii="Times New Roman" w:hAnsi="Times New Roman" w:cs="Times New Roman"/>
                <w:sz w:val="16"/>
                <w:szCs w:val="16"/>
              </w:rPr>
              <w:t xml:space="preserve"> sarma → panik-eden varsayılan aritmetik</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B</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String modeli</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s06,s13(FE)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Bayt-düzeyi C string → .chars() (Unicode)</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C</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char işaretliliği†</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s20,s49(FE)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İşaretli char (128 ve üzeri negatif) → u8 (hep pozitif)</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D</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Çıktı biçimlendirme</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s15,s27,s48(FE)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%g mantığı → Rust’ın varsayılan {} biçimi</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E</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Güvensiz global durum</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s19(CE)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Değiştirilebilir global → static mut (unsafe)</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F</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Platform tamsayı genişliği†</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s38,s51(FE)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Gerçek long genişliği (32-bit) → varsayılan i64</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G</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usize taşması</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s40,s52(RE)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İşaretli int ile güvenli n-1 → usize altında taşma</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H</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Switch fallthrough</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s43,s53(FE)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Kümülatif düşme → bağımsız match kolları</w:t>
            </w:r>
          </w:p>
        </w:tc>
      </w:tr>
      <w:tr>
        <w:trPr>
          <w:cantSplit/>
        </w:trPr>
        <w:tc>
          <w:tcPr>
            <w:tcW w:type="dxa" w:w="648"/>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I</w:t>
            </w:r>
          </w:p>
        </w:tc>
        <w:tc>
          <w:tcPr>
            <w:tcW w:type="dxa" w:w="20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Makro çoklu-değerlendirme</w:t>
            </w:r>
          </w:p>
        </w:tc>
        <w:tc>
          <w:tcPr>
            <w:tcW w:type="dxa" w:w="1512"/>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s56(FE)</w:t>
            </w:r>
          </w:p>
        </w:tc>
        <w:tc>
          <w:tcPr>
            <w:tcW w:type="dxa" w:w="5616"/>
            <w:vAlign w:val="center"/>
          </w:tcPr>
          <w:p>
            <w:pPr>
              <w:spacing w:after="50" w:before="50" w:line="276" w:lineRule="auto"/>
              <w:jc w:val="left"/>
            </w:pPr>
            <w:r>
              <w:rPr>
                <w:rFonts w:ascii="Times New Roman" w:hAnsi="Times New Roman"/>
                <w:b w:val="0"/>
                <w:sz w:val="16"/>
              </w:rPr>
            </w:r>
            <w:r>
              <w:rPr>
                <w:rFonts w:ascii="Times New Roman" w:hAnsi="Times New Roman"/>
                <w:b w:val="0"/>
                <w:sz w:val="16"/>
              </w:rPr>
              <w:t>Metinsel ikame → fn (tek değerlendirme)</w:t>
            </w:r>
          </w:p>
        </w:tc>
      </w:tr>
    </w:tbl>
    <w:p>
      <w:pPr>
        <w:spacing w:before="40" w:after="80"/>
        <w:jc w:val="left"/>
      </w:pPr>
      <w:r>
        <w:rPr>
          <w:rFonts w:ascii="Times New Roman" w:hAnsi="Times New Roman"/>
          <w:sz w:val="15"/>
        </w:rPr>
        <w:t>a. s09,s14,s20 vb. veri setinin özgün ilk turundandır; s49,s51,s52,s53 ilgili kategoriler için sonradan eklenen bağımsız 2. örneklerdir. † C ve F kategorilerinde “doğru” davranış referans platformun (Windows/LLP64) implementation-defined seçimine bağlıdır — bkz. Bölüm V-B. E kategorisinin ikinci örneği (s50) Round 1’de PASS olduğundan bir başarısızlık örneği olarak burada listelenmemiştir.</w:t>
      </w:r>
    </w:p>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after="60"/>
        <w:ind w:firstLine="289"/>
        <w:jc w:val="both"/>
      </w:pPr>
      <w:r>
        <w:rPr>
          <w:rFonts w:ascii="Times New Roman" w:hAnsi="Times New Roman"/>
          <w:b w:val="0"/>
          <w:i w:val="0"/>
          <w:sz w:val="20"/>
        </w:rPr>
        <w:t>Doğrulama iki biçimde gerçekleşmiştir: (a) dört kategori (C, F, G, H) farklı bir kod deseni kullanan ikinci bir örnekle (s49, s51, s52, s53) yeniden sınanmış, kök neden her dördünde tekrarlanmıştır (Bölüm IV-F); (b) kategori D üç bağımsız kod tabanında (iki özgün örnek + cJSON [11]) tekrarlanmış, kategori A ise veri setinin kendi içinde iki bağımsız örnekte (s09, s14) tekrarlanmıştır. (b) maddesindeki üç bağımsız kod tabanı bulgusu, bu boşlukların veri setine özgü değil sistematik C↔Rust farkları olduğunu göstermektedir.</w:t>
      </w:r>
    </w:p>
    <w:p>
      <w:pPr>
        <w:spacing w:before="80" w:after="20"/>
      </w:pPr>
      <w:r>
        <w:rPr>
          <w:rFonts w:ascii="Times New Roman" w:hAnsi="Times New Roman"/>
          <w:b w:val="0"/>
          <w:i/>
          <w:sz w:val="20"/>
        </w:rPr>
        <w:t>D. Derleme Modu ve İyileştirme Döngüsünün Etkisi</w:t>
      </w:r>
    </w:p>
    <w:p>
      <w:pPr>
        <w:spacing w:after="60"/>
        <w:ind w:firstLine="289"/>
        <w:jc w:val="both"/>
      </w:pPr>
      <w:r>
        <w:rPr>
          <w:rFonts w:ascii="Times New Roman" w:hAnsi="Times New Roman"/>
          <w:b w:val="0"/>
          <w:i w:val="0"/>
          <w:sz w:val="20"/>
        </w:rPr>
        <w:t>Release modu EA’yı %70.18’den %73.68’e çıkarır; artışın tamamı iki RE örneğinin (s09, s14, unsigned taşma) sessizce sarmasından gelir — bir düzeltme değil, farklı yapılandırmada tesadüfen doğru sonuçtur; 12 FE’nin hiçbirini etkilemez. Round 2’de (zengin/oracle geri bildirim, yalnızca Claude üzerinde ölçülmüştür) EA %100’e ulaşır, ama bu bir üst sınırdır: Tablo VI, Round 1’de başarısız olan aynı 17 örneğin yeniden çevrilip 57 programlık tam veri setinin geri kalanıyla birlikte yeniden değerlendirilmesiyle hesaplanan EA’yı gösterir: kısıtlı geri bildirim seviyelerinde doğruluğun %86.0’a (Seviye B) ve %71.9’a (Seviye C, yalnızca başarısız test sayısı) düştüğünü ortaya koyar.</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VI. ÜÇ GERİ BİLDİRİM SEVİYESİNİN KARŞILAŞTIRMASI, CLAUDE.</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656"/>
        <w:gridCol w:w="5400"/>
        <w:gridCol w:w="1296"/>
      </w:tblGrid>
      <w:tr>
        <w:trPr>
          <w:tblHeader w:val="true"/>
          <w:cantSplit/>
        </w:trPr>
        <w:tc>
          <w:tcPr>
            <w:tcW w:type="dxa" w:w="165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Seviye</w:t>
            </w:r>
          </w:p>
        </w:tc>
        <w:tc>
          <w:tcPr>
            <w:tcW w:type="dxa" w:w="540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İçerik</w:t>
            </w:r>
          </w:p>
        </w:tc>
        <w:tc>
          <w:tcPr>
            <w:tcW w:type="dxa" w:w="1296"/>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EA% (Claude)</w:t>
            </w:r>
          </w:p>
        </w:tc>
      </w:tr>
      <w:tr>
        <w:trPr>
          <w:cantSplit/>
        </w:trPr>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A (Oracle)</w:t>
            </w:r>
          </w:p>
        </w:tc>
        <w:tc>
          <w:tcPr>
            <w:tcW w:type="dxa" w:w="5400"/>
            <w:vAlign w:val="center"/>
          </w:tcPr>
          <w:p>
            <w:pPr>
              <w:spacing w:after="50" w:before="50" w:line="276" w:lineRule="auto"/>
              <w:jc w:val="left"/>
            </w:pPr>
            <w:r>
              <w:rPr>
                <w:rFonts w:ascii="Times New Roman" w:hAnsi="Times New Roman"/>
                <w:b w:val="0"/>
                <w:sz w:val="16"/>
              </w:rPr>
            </w:r>
            <w:r>
              <w:rPr>
                <w:rFonts w:ascii="Times New Roman" w:hAnsi="Times New Roman"/>
                <w:b w:val="0"/>
                <w:sz w:val="16"/>
              </w:rPr>
              <w:t>Tam derleyici/panik metni + beklenen/alınan farkı</w:t>
            </w:r>
          </w:p>
        </w:tc>
        <w:tc>
          <w:tcPr>
            <w:tcW w:type="dxa" w:w="129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100.0</w:t>
            </w:r>
          </w:p>
        </w:tc>
      </w:tr>
      <w:tr>
        <w:trPr>
          <w:cantSplit/>
        </w:trPr>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B (CI-benzeri)</w:t>
            </w:r>
          </w:p>
        </w:tc>
        <w:tc>
          <w:tcPr>
            <w:tcW w:type="dxa" w:w="5400"/>
            <w:vAlign w:val="center"/>
          </w:tcPr>
          <w:p>
            <w:pPr>
              <w:spacing w:after="50" w:before="50" w:line="276" w:lineRule="auto"/>
              <w:jc w:val="left"/>
            </w:pPr>
            <w:r>
              <w:rPr>
                <w:rFonts w:ascii="Times New Roman" w:hAnsi="Times New Roman"/>
                <w:b w:val="0"/>
                <w:sz w:val="16"/>
              </w:rPr>
            </w:r>
            <w:r>
              <w:rPr>
                <w:rFonts w:ascii="Times New Roman" w:hAnsi="Times New Roman"/>
                <w:b w:val="0"/>
                <w:sz w:val="16"/>
              </w:rPr>
              <w:t>Derleyici/panik metni tam; FE’de yalnızca girdi</w:t>
            </w:r>
          </w:p>
        </w:tc>
        <w:tc>
          <w:tcPr>
            <w:tcW w:type="dxa" w:w="129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86.0</w:t>
            </w:r>
          </w:p>
        </w:tc>
      </w:tr>
      <w:tr>
        <w:trPr>
          <w:cantSplit/>
        </w:trPr>
        <w:tc>
          <w:tcPr>
            <w:tcW w:type="dxa" w:w="1656"/>
            <w:vAlign w:val="center"/>
          </w:tcPr>
          <w:p>
            <w:pPr>
              <w:spacing w:after="50" w:before="50" w:line="276" w:lineRule="auto"/>
              <w:jc w:val="left"/>
            </w:pPr>
            <w:r>
              <w:rPr>
                <w:rFonts w:ascii="Times New Roman" w:hAnsi="Times New Roman"/>
                <w:b w:val="0"/>
                <w:sz w:val="16"/>
              </w:rPr>
            </w:r>
            <w:r>
              <w:rPr>
                <w:rFonts w:ascii="Times New Roman" w:hAnsi="Times New Roman"/>
                <w:b w:val="0"/>
                <w:sz w:val="16"/>
              </w:rPr>
              <w:t>C (Minimal)</w:t>
            </w:r>
          </w:p>
        </w:tc>
        <w:tc>
          <w:tcPr>
            <w:tcW w:type="dxa" w:w="5400"/>
            <w:vAlign w:val="center"/>
          </w:tcPr>
          <w:p>
            <w:pPr>
              <w:spacing w:after="50" w:before="50" w:line="276" w:lineRule="auto"/>
              <w:jc w:val="left"/>
            </w:pPr>
            <w:r>
              <w:rPr>
                <w:rFonts w:ascii="Times New Roman" w:hAnsi="Times New Roman"/>
                <w:b w:val="0"/>
                <w:sz w:val="16"/>
              </w:rPr>
            </w:r>
            <w:r>
              <w:rPr>
                <w:rFonts w:ascii="Times New Roman" w:hAnsi="Times New Roman"/>
                <w:b w:val="0"/>
                <w:sz w:val="16"/>
              </w:rPr>
              <w:t>Yalnızca başarısız test sayısı (CE hariç)</w:t>
            </w:r>
          </w:p>
        </w:tc>
        <w:tc>
          <w:tcPr>
            <w:tcW w:type="dxa" w:w="1296"/>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71.9</w:t>
            </w:r>
          </w:p>
        </w:tc>
      </w:tr>
    </w:tbl>
    <w:p>
      <w:pPr>
        <w:spacing w:before="40" w:after="80"/>
        <w:jc w:val="left"/>
      </w:pPr>
      <w:r>
        <w:rPr>
          <w:rFonts w:ascii="Times New Roman" w:hAnsi="Times New Roman"/>
          <w:sz w:val="15"/>
        </w:rPr>
        <w:t>a. n=57; yalnızca Round 1’de başarısız olan 17 örnek yeniden çevrilmiş, EA tüm 57 program üzerinden yeniden hesaplanmıştır.</w:t>
      </w:r>
    </w:p>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before="80" w:after="20"/>
      </w:pPr>
      <w:r>
        <w:rPr>
          <w:rFonts w:ascii="Times New Roman" w:hAnsi="Times New Roman"/>
          <w:b w:val="0"/>
          <w:i/>
          <w:sz w:val="20"/>
        </w:rPr>
        <w:t>E. Gerçek Dünya Kodu ve Bellek Güvenliği</w:t>
      </w:r>
    </w:p>
    <w:p>
      <w:pPr>
        <w:spacing w:after="60"/>
        <w:ind w:firstLine="289"/>
        <w:jc w:val="both"/>
      </w:pPr>
      <w:r>
        <w:rPr>
          <w:rFonts w:ascii="Times New Roman" w:hAnsi="Times New Roman" w:cs="Times New Roman"/>
          <w:sz w:val="20"/>
          <w:szCs w:val="20"/>
        </w:rPr>
        <w:t xml:space="preserve">13 bağımsız gerçek dünya programının 11’i (%84.6) ilk seferde geçmiştir: Rosetta Code 7/7, BSD libc 2/3, musl/Redis/cJSON 2/3 (Claude). En uzun örnek (522 satır, s47) PASS olurken çok daha kısa s48 (389 satır) başarısız olması, uzunluk değil boşluğun belirleyici olduğunu burada da doğrular. Bellek güvenliği tarafında, Claude’un ürettiği 74 farklı çeviriden (57 Round 1 + Seviye A geri bildirimiyle yeniden çevrilen 17 Round 2 örneği; Seviye B ve C çevirileri bu sayıma dahil değildir) yalnızca 4’ü (%5.4) unsafe içerir: s37_bsd_getopt, s44_fib_memo_static, s46_musl_qsort, s50_id_generator — dördü de Round 1’de PASS olduğundan Round 2’de yeniden çevrilmemiştir. Kategori E aynı model tarafından iki farklı biçimde çözülmüştür: s50_id_generator’da </w:t>
      </w:r>
      <w:r>
        <w:rPr>
          <w:rFonts w:ascii="Courier New" w:hAnsi="Courier New" w:cs="Courier New" w:eastAsia="Courier New"/>
          <w:sz w:val="18"/>
          <w:szCs w:val="18"/>
        </w:rPr>
        <w:t xml:space="preserve">unsafe</w:t>
      </w:r>
      <w:r>
        <w:rPr>
          <w:rFonts w:ascii="Times New Roman" w:hAnsi="Times New Roman" w:cs="Times New Roman"/>
          <w:sz w:val="20"/>
          <w:szCs w:val="20"/>
        </w:rPr>
        <w:t xml:space="preserve"> bloğu doğru eklenerek ilk seferde PASS olunurken, s19_global_counter Round 2’de </w:t>
      </w:r>
      <w:r>
        <w:rPr>
          <w:rFonts w:ascii="Courier New" w:hAnsi="Courier New" w:cs="Courier New" w:eastAsia="Courier New"/>
          <w:sz w:val="18"/>
          <w:szCs w:val="18"/>
        </w:rPr>
        <w:t xml:space="preserve">unsafe</w:t>
      </w:r>
      <w:r>
        <w:rPr>
          <w:rFonts w:ascii="Times New Roman" w:hAnsi="Times New Roman" w:cs="Times New Roman"/>
          <w:sz w:val="20"/>
          <w:szCs w:val="20"/>
        </w:rPr>
        <w:t xml:space="preserve"> </w:t>
      </w:r>
      <w:r>
        <w:rPr>
          <w:rFonts w:ascii="Times New Roman" w:hAnsi="Times New Roman"/>
          <w:i/>
          <w:sz w:val="20"/>
        </w:rPr>
        <w:t>kullanmadan</w:t>
      </w:r>
      <w:r>
        <w:rPr>
          <w:rFonts w:ascii="Times New Roman" w:hAnsi="Times New Roman" w:cs="Times New Roman"/>
          <w:sz w:val="20"/>
          <w:szCs w:val="20"/>
        </w:rPr>
        <w:t xml:space="preserve"> (global sayaç yerine </w:t>
      </w:r>
      <w:r>
        <w:rPr>
          <w:rFonts w:ascii="Courier New" w:hAnsi="Courier New" w:cs="Courier New" w:eastAsia="Courier New"/>
          <w:sz w:val="18"/>
          <w:szCs w:val="18"/>
        </w:rPr>
        <w:t xml:space="preserve">&amp;mut i32</w:t>
      </w:r>
      <w:r>
        <w:rPr>
          <w:rFonts w:ascii="Times New Roman" w:hAnsi="Times New Roman" w:cs="Times New Roman"/>
          <w:sz w:val="20"/>
          <w:szCs w:val="20"/>
        </w:rPr>
        <w:t xml:space="preserve"> parametresi geçirilerek) düzeltilmiştir; bu, Kategori E’nin </w:t>
      </w:r>
      <w:r>
        <w:rPr>
          <w:rFonts w:ascii="Courier New" w:hAnsi="Courier New" w:cs="Courier New" w:eastAsia="Courier New"/>
          <w:sz w:val="18"/>
          <w:szCs w:val="18"/>
        </w:rPr>
        <w:t xml:space="preserve">unsafe</w:t>
      </w:r>
      <w:r>
        <w:rPr>
          <w:rFonts w:ascii="Times New Roman" w:hAnsi="Times New Roman" w:cs="Times New Roman"/>
          <w:sz w:val="20"/>
          <w:szCs w:val="20"/>
        </w:rPr>
        <w:t xml:space="preserve"> gerektirmeden de çözülebildiğinin somut kanıtıdır. Ham işaretçi aritmetiğine bağımlı heapsort (s39) ve Redis’in SDS kütüphanesi (s47) bile tamamen güvenli, deyimsel Rust’a çevrilmiştir.</w:t>
      </w:r>
    </w:p>
    <w:p>
      <w:pPr>
        <w:spacing w:before="80" w:after="20"/>
      </w:pPr>
      <w:r>
        <w:rPr>
          <w:rFonts w:ascii="Times New Roman" w:hAnsi="Times New Roman"/>
          <w:b w:val="0"/>
          <w:i/>
          <w:sz w:val="20"/>
        </w:rPr>
        <w:t>F. Çoklu-Model Karşılaştırması (Gemini)</w:t>
      </w:r>
    </w:p>
    <w:p>
      <w:pPr>
        <w:spacing w:after="60"/>
        <w:ind w:firstLine="289"/>
        <w:jc w:val="both"/>
      </w:pPr>
      <w:r>
        <w:rPr>
          <w:rFonts w:ascii="Times New Roman" w:hAnsi="Times New Roman"/>
          <w:i w:val="0"/>
          <w:sz w:val="20"/>
        </w:rPr>
        <w:t xml:space="preserve">Gemini ile 57 örneğin tamamı üzerinde gerçek, otomatik ölçüm yapılmıştır: EA=%89.47 (51/57; 4 CE, 2 FE, 0 RE), Claude’dan (%70.18) yüksektir; iki model </w:t>
      </w:r>
      <w:r>
        <w:rPr>
          <w:rFonts w:ascii="Times New Roman" w:hAnsi="Times New Roman"/>
          <w:i/>
          <w:sz w:val="20"/>
        </w:rPr>
        <w:t>aynı</w:t>
      </w:r>
      <w:r>
        <w:rPr>
          <w:rFonts w:ascii="Times New Roman" w:hAnsi="Times New Roman"/>
          <w:i w:val="0"/>
          <w:sz w:val="20"/>
        </w:rPr>
        <w:t xml:space="preserve"> 57 program üzerinde ölçüldüğü için eşleştirilmiş McNemar testiyle sınandığında fark anlamlıdır (yalnızca Claude’un başarısız olduğu 14 vs. yalnızca Gemini’nin başarısız olduğu 3 örnek; p=0.013). Ancak Tablo VII’deki kategori-bazlı kırılım bu genel farkın kategoriye özgü olduğunu ve yön değiştirebildiğini gösterir. Ayrıca Gemini’nin 6 başarısızlığının 4’ü (s26, s27, s46, s48) CE’dir, yani derleyici tarafından yakalanmıştır — Claude’da gözlenen “çoğu sessizdir” örüntüsü Gemini için aynı güçte geçerli değildir; sessiz hata oranı modele göre değişir.</w:t>
      </w:r>
    </w:p>
    <w:p>
      <w:pPr>
        <w:sectPr>
          <w:type w:val="continuous"/>
          <w:pgSz w:w="11906" w:h="16838"/>
          <w:pgMar w:top="1077" w:right="935" w:bottom="1077" w:left="935" w:header="720" w:footer="720" w:gutter="0"/>
          <w:cols w:space="283" w:num="2" w:equalWidth="1"/>
          <w:docGrid w:linePitch="360"/>
        </w:sectPr>
      </w:pPr>
    </w:p>
    <w:p>
      <w:pPr>
        <w:spacing w:before="40" w:after="80"/>
        <w:jc w:val="center"/>
      </w:pPr>
      <w:r>
        <w:rPr>
          <w:rFonts w:ascii="Times New Roman" w:hAnsi="Times New Roman"/>
          <w:sz w:val="16"/>
        </w:rPr>
        <w:t>TABLO VII. MODEL × KATEGORİ KIRILIMI.</w:t>
      </w:r>
    </w:p>
    <w:tbl>
      <w:tblPr>
        <w:tblW w:type="auto" w:w="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888"/>
        <w:gridCol w:w="1440"/>
        <w:gridCol w:w="1440"/>
      </w:tblGrid>
      <w:tr>
        <w:trPr>
          <w:tblHeader w:val="true"/>
          <w:cantSplit/>
        </w:trPr>
        <w:tc>
          <w:tcPr>
            <w:tcW w:type="dxa" w:w="3888"/>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Kategori (n)</w:t>
            </w:r>
          </w:p>
        </w:tc>
        <w:tc>
          <w:tcPr>
            <w:tcW w:type="dxa" w:w="144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Claude</w:t>
            </w:r>
          </w:p>
        </w:tc>
        <w:tc>
          <w:tcPr>
            <w:tcW w:type="dxa" w:w="1440"/>
            <w:vAlign w:val="center"/>
            <w:tcBorders>
              <w:bottom w:val="single" w:sz="8" w:color="000000"/>
            </w:tcBorders>
          </w:tcPr>
          <w:p>
            <w:pPr>
              <w:spacing w:after="50" w:before="50" w:line="276" w:lineRule="auto"/>
              <w:jc w:val="center"/>
            </w:pPr>
            <w:r>
              <w:rPr>
                <w:rFonts w:ascii="Times New Roman" w:hAnsi="Times New Roman"/>
                <w:b/>
                <w:sz w:val="16"/>
              </w:rPr>
            </w:r>
            <w:r>
              <w:rPr>
                <w:rFonts w:ascii="Times New Roman" w:hAnsi="Times New Roman"/>
                <w:b/>
                <w:sz w:val="16"/>
              </w:rPr>
              <w:t>Gemini</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Temel algoritmalar (24)</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17/24</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23/24</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Uzun özgün (5)</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4/5</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3/5</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Rosetta Code (7)</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7/7</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7/7</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BSD libc (3)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3/3</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Hedeflenmemiş boşluk (6)</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4/6</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6/6</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musl/Redis/cJSON (3)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2/3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0/3</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Kök-neden 2.örnek (5)</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1/5</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5/5</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Çok dosyalı (3)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3/3</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3/3</w:t>
            </w:r>
          </w:p>
        </w:tc>
      </w:tr>
      <w:tr>
        <w:trPr>
          <w:cantSplit/>
        </w:trPr>
        <w:tc>
          <w:tcPr>
            <w:tcW w:type="dxa" w:w="3888"/>
            <w:vAlign w:val="center"/>
          </w:tcPr>
          <w:p>
            <w:pPr>
              <w:spacing w:after="50" w:before="50" w:line="276" w:lineRule="auto"/>
              <w:jc w:val="left"/>
            </w:pPr>
            <w:r>
              <w:rPr>
                <w:rFonts w:ascii="Times New Roman" w:hAnsi="Times New Roman"/>
                <w:b w:val="0"/>
                <w:sz w:val="16"/>
              </w:rPr>
            </w:r>
            <w:r>
              <w:rPr>
                <w:rFonts w:ascii="Times New Roman" w:hAnsi="Times New Roman"/>
                <w:b w:val="0"/>
                <w:sz w:val="16"/>
              </w:rPr>
              <w:t>Karmaşık makro (1)</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0/1</w:t>
            </w:r>
          </w:p>
        </w:tc>
        <w:tc>
          <w:tcPr>
            <w:tcW w:type="dxa" w:w="1440"/>
            <w:vAlign w:val="center"/>
          </w:tcPr>
          <w:p>
            <w:pPr>
              <w:spacing w:after="50" w:before="50" w:line="276" w:lineRule="auto"/>
              <w:jc w:val="center"/>
            </w:pPr>
            <w:r>
              <w:rPr>
                <w:rFonts w:ascii="Times New Roman" w:hAnsi="Times New Roman"/>
                <w:b w:val="0"/>
                <w:sz w:val="16"/>
              </w:rPr>
            </w:r>
            <w:r>
              <w:rPr>
                <w:rFonts w:ascii="Times New Roman" w:hAnsi="Times New Roman"/>
                <w:b w:val="0"/>
                <w:sz w:val="16"/>
              </w:rPr>
              <w:t>1/1</w:t>
            </w:r>
          </w:p>
        </w:tc>
      </w:tr>
    </w:tbl>
    <w:p>
      <w:pPr>
        <w:spacing w:before="40" w:after="80"/>
        <w:jc w:val="left"/>
      </w:pPr>
      <w:r>
        <w:rPr>
          <w:rFonts w:ascii="Times New Roman" w:hAnsi="Times New Roman"/>
          <w:sz w:val="15"/>
        </w:rPr>
        <w:t>a. 57/57, her iki model için tam.</w:t>
      </w:r>
    </w:p>
    <w:p>
      <w:pPr>
        <w:spacing w:after="0" w:before="0"/>
      </w:pPr>
      <w:r>
        <w:rPr>
          <w:sz w:val="4"/>
        </w:rPr>
      </w:r>
    </w:p>
    <w:p>
      <w:pPr>
        <w:sectPr>
          <w:type w:val="continuous"/>
          <w:pgSz w:w="11906" w:h="16838"/>
          <w:pgMar w:top="1077" w:right="935" w:bottom="1077" w:left="935" w:header="720" w:footer="720" w:gutter="0"/>
          <w:cols w:space="283" w:num="1" w:equalWidth="1"/>
          <w:docGrid w:linePitch="360"/>
        </w:sectPr>
      </w:pPr>
    </w:p>
    <w:p>
      <w:pPr>
        <w:spacing w:after="60"/>
        <w:ind w:firstLine="289"/>
        <w:jc w:val="both"/>
      </w:pPr>
      <w:r>
        <w:rPr>
          <w:rFonts w:ascii="Times New Roman" w:hAnsi="Times New Roman"/>
          <w:b w:val="0"/>
          <w:i w:val="0"/>
          <w:sz w:val="20"/>
        </w:rPr>
        <w:t>Üç örüntü dikkat çekicidir. Birincisi, “kök-neden 2. örnek” grubunda (s49-s53: Claude’un Round 1’de yalnızca birer örnekle temsil ettiği C, E, F, G, H kategorileri için bağımsız ikinci sınama) Claude bu beş örneğin dördünde aynı kök nedeni tekrarlamış, yalnızca birinde geçmiştir (1/5) — sistematik bir model-özgü kör nokta kanıtıdır. Gemini ise tamamında (5/5) farklı deyimsel tercihlerle (ör. wrapping_mul, AtomicI32) bu kategorileri sistemli biçimde atlatmıştır. İkincisi, tam tersi yönde: en uzun/karmaşık üç gerçek üretim kodu örneğinde (musl qsort, Redis SDS, cJSON, 262-522 satır) Claude 2/3 geçerken Gemini 0/3 geçmiştir. Üçüncüsü, Claude’un Round 1’deki tek makro-kaynaklı başarısızlığı (s56, kategori I) Gemini tarafından ilk seferde doğru çevrilmiştir (1/1): küçük ama ek bir kanıt. Bu üç bulgu birlikte, “bir model diğerinden genel olarak daha iyidir” iddiasının yanlış çerçeveleme olduğunu gösterir; Tablo VII’de betimsel olarak gözlenen kırılım, model ile kod kategorisi arasında bir etkileşime işaret etmektedir (istatistiksel olarak test edilmemiştir, bkz. Bölüm V-B); kısa sızıntı kategorilerinde Gemini, uzun/karmaşık üretim kodunda Claude daha dayanıklıdır.</w:t>
      </w:r>
    </w:p>
    <w:p>
      <w:pPr>
        <w:spacing w:after="60"/>
        <w:ind w:firstLine="289"/>
        <w:jc w:val="both"/>
      </w:pPr>
      <w:r>
        <w:rPr>
          <w:rFonts w:ascii="Times New Roman" w:hAnsi="Times New Roman" w:cs="Times New Roman"/>
          <w:sz w:val="20"/>
          <w:szCs w:val="20"/>
        </w:rPr>
        <w:t>Gemini’nin Claude’da hiç görülmeyen üç başarısızlığı vardır. İkisi (s46_musl_qsort, s47_redis_sds) yukarıdaki üretim kodu üçlüsüne aittir: s46’da Gemini geçersiz bir işaretçi söz dizimi (</w:t>
      </w:r>
      <w:r>
        <w:rPr>
          <w:rFonts w:ascii="Courier New" w:hAnsi="Courier New" w:cs="Courier New" w:eastAsia="Courier New"/>
          <w:sz w:val="18"/>
          <w:szCs w:val="18"/>
        </w:rPr>
        <w:t xml:space="preserve">*mut u8::null()</w:t>
      </w:r>
      <w:r>
        <w:rPr>
          <w:rFonts w:ascii="Times New Roman" w:hAnsi="Times New Roman" w:cs="Times New Roman"/>
          <w:sz w:val="20"/>
          <w:szCs w:val="20"/>
        </w:rPr>
        <w:t xml:space="preserve">) üretmiş; s47’de ekleme işleminin büyüme mantığını yanlış uygulayıp </w:t>
      </w:r>
      <w:r>
        <w:rPr>
          <w:rFonts w:ascii="Courier New" w:hAnsi="Courier New" w:cs="Courier New" w:eastAsia="Courier New"/>
          <w:sz w:val="18"/>
          <w:szCs w:val="18"/>
        </w:rPr>
        <w:t xml:space="preserve">LEN=0</w:t>
      </w:r>
      <w:r>
        <w:rPr>
          <w:rFonts w:ascii="Times New Roman" w:hAnsi="Times New Roman" w:cs="Times New Roman"/>
          <w:sz w:val="20"/>
          <w:szCs w:val="20"/>
        </w:rPr>
        <w:t xml:space="preserve"> döndürmüştür — Claude’un s47’yi hiç unsafe kullanmadan, s46’yı ise sınırlı unsafe ile doğru çevirdiği hatırlanmalıdır (Bölüm IV-E). Üçüncüsü (s26_rpn_calculator) tamamen farklı bir hata sınıfıyla ilgilidir: model bir ödünç denetleyicisi hatası (E0499, iki </w:t>
      </w:r>
      <w:r>
        <w:rPr>
          <w:rFonts w:ascii="Courier New" w:hAnsi="Courier New" w:cs="Courier New" w:eastAsia="Courier New"/>
          <w:sz w:val="18"/>
          <w:szCs w:val="18"/>
        </w:rPr>
        <w:t xml:space="preserve">FnMut</w:t>
      </w:r>
      <w:r>
        <w:rPr>
          <w:rFonts w:ascii="Times New Roman" w:hAnsi="Times New Roman" w:cs="Times New Roman"/>
          <w:sz w:val="20"/>
          <w:szCs w:val="20"/>
        </w:rPr>
        <w:t xml:space="preserve"> kapanışının aynı yığın işaretçisini yakalaması) üretmiş; Claude farklı bir kontrol akışı seçtiğinden bu hataya hiç maruz kalmamıştır. Bu üçünün ikisi derleme hatası (s46, s26), biri fonksiyonel hatadır (s47); ikisi (s46, s47) kod karmaşıklığına, biri (s26) modelin kendi hata profiline bağlıdır; bu, tek bir kök-neden taksonomisinin tüm modellere aynı biçimde uygulanamayabileceğini gösterir.</w:t>
      </w:r>
    </w:p>
    <w:p>
      <w:pPr>
        <w:spacing w:after="60"/>
        <w:ind w:firstLine="289"/>
        <w:jc w:val="both"/>
      </w:pPr>
      <w:r>
        <w:rPr>
          <w:rFonts w:ascii="Times New Roman" w:hAnsi="Times New Roman" w:cs="Times New Roman"/>
          <w:sz w:val="20"/>
          <w:szCs w:val="20"/>
        </w:rPr>
        <w:t xml:space="preserve">Her iki modelin de başarısız olduğu üç örnek vardır: s15 (kategori D) aynı kök nedenden; s27_csv_stats ve s48_cjson_number’da ise farklı türde — Claude’da derlenen ama yanlış sonuç veren kod (FE), Gemini’de derleme aşamasında takılan geçersiz söz dizimi (CE: s27’de </w:t>
      </w:r>
      <w:r>
        <w:rPr>
          <w:rFonts w:ascii="Courier New" w:hAnsi="Courier New" w:cs="Courier New" w:eastAsia="Courier New"/>
          <w:sz w:val="18"/>
          <w:szCs w:val="18"/>
        </w:rPr>
        <w:t xml:space="preserve">{:+=03}</w:t>
      </w:r>
      <w:r>
        <w:rPr>
          <w:rFonts w:ascii="Times New Roman" w:hAnsi="Times New Roman" w:cs="Times New Roman"/>
          <w:sz w:val="20"/>
          <w:szCs w:val="20"/>
        </w:rPr>
        <w:t xml:space="preserve"> biçim belirteci, s48’de işaretçi bildirimi hatası). Kategori D’nin üç bağımsız kod tabanının (s15, s27, s48) üçünde de başarısızlık, bu boşluğun modele özgü olmadığını doğrular. Çok dosyalı/eşzamanlı yapıda (s54, s55, s57) her iki model de ilk seferde başarılıdır; bu alt kümede (n=3) model farkı gözlenmemiştir.</w:t>
      </w:r>
    </w:p>
    <w:p>
      <w:pPr>
        <w:spacing w:after="60"/>
        <w:ind w:firstLine="289"/>
        <w:jc w:val="both"/>
      </w:pPr>
      <w:r>
        <w:rPr>
          <w:rFonts w:ascii="Times New Roman" w:hAnsi="Times New Roman" w:cs="Times New Roman"/>
          <w:sz w:val="20"/>
          <w:szCs w:val="20"/>
        </w:rPr>
        <w:t xml:space="preserve">Son olarak, deney gerçek bir Linux/LP64 ortamında (Docker) bir tekrar ile de genişletilmiştir (52/55 PASS; veri seti 55 örnekken, s56/s57 eklenmeden önce, yapıldığından n=55 üzerindendir). Bu, en önemli ek bulguyu vermiştir: Windows’ta ölçülen %100 Round-2 doğruluğu Linux’ta %94.55’e (52/55) düşmüştür. Üç örnekte farklı sonuç gözlenmiştir: s38 ve s51’in Round 2 düzeltmeleri 32-bit </w:t>
      </w:r>
      <w:r>
        <w:rPr>
          <w:rFonts w:ascii="Courier New" w:hAnsi="Courier New" w:cs="Courier New" w:eastAsia="Courier New"/>
          <w:sz w:val="18"/>
          <w:szCs w:val="18"/>
        </w:rPr>
        <w:t xml:space="preserve">long</w:t>
      </w:r>
      <w:r>
        <w:rPr>
          <w:rFonts w:ascii="Times New Roman" w:hAnsi="Times New Roman" w:cs="Times New Roman"/>
          <w:sz w:val="20"/>
          <w:szCs w:val="20"/>
        </w:rPr>
        <w:t xml:space="preserve"> varsayımına dayandığından Linux’un 64-bit </w:t>
      </w:r>
      <w:r>
        <w:rPr>
          <w:rFonts w:ascii="Courier New" w:hAnsi="Courier New" w:cs="Courier New" w:eastAsia="Courier New"/>
          <w:sz w:val="18"/>
          <w:szCs w:val="18"/>
        </w:rPr>
        <w:t xml:space="preserve">long</w:t>
      </w:r>
      <w:r>
        <w:rPr>
          <w:rFonts w:ascii="Times New Roman" w:hAnsi="Times New Roman" w:cs="Times New Roman"/>
          <w:sz w:val="20"/>
          <w:szCs w:val="20"/>
        </w:rPr>
        <w:t>’unda geçersiz kalmıştır (bir platformda doğrulanmış bir düzeltme başka platformda geçersiz olabilir); s47_redis_sds’teki neden ise Rust çevirisiyle ilgili değildir — bir test girdisi (05.txt) CRLF içerir ve Windows’un C çalışma zamanı bunu \r\n→\n’e çevirirken Linux/glibc çevirmez, yani C referans programının kendisi (Rust çevirisi değil) iki platformda farklı sayıda komut tüketir. Yani hem “düzeltilmiş bir çeviri evrensel doğrudur” varsayımı hem de referans C programının platformlar arası tam taşınabilirliği yanlış olabilir.</w:t>
      </w:r>
    </w:p>
    <w:p>
      <w:pPr>
        <w:spacing w:before="120" w:after="60"/>
        <w:jc w:val="center"/>
      </w:pPr>
      <w:r>
        <w:rPr>
          <w:rFonts w:ascii="Times New Roman" w:hAnsi="Times New Roman"/>
          <w:b w:val="0"/>
          <w:smallCaps/>
          <w:sz w:val="20"/>
        </w:rPr>
        <w:t>V. Tartışma</w:t>
      </w:r>
    </w:p>
    <w:p>
      <w:pPr>
        <w:spacing w:before="80" w:after="20"/>
      </w:pPr>
      <w:r>
        <w:rPr>
          <w:rFonts w:ascii="Times New Roman" w:hAnsi="Times New Roman"/>
          <w:b w:val="0"/>
          <w:i/>
          <w:sz w:val="20"/>
        </w:rPr>
        <w:t>A. Bulguların Özeti ve Değerlendirmesi</w:t>
      </w:r>
    </w:p>
    <w:p>
      <w:pPr>
        <w:spacing w:after="60"/>
        <w:ind w:firstLine="289"/>
        <w:jc w:val="both"/>
      </w:pPr>
      <w:r>
        <w:rPr>
          <w:rFonts w:ascii="Times New Roman" w:hAnsi="Times New Roman"/>
          <w:b w:val="0"/>
          <w:i w:val="0"/>
          <w:sz w:val="20"/>
        </w:rPr>
        <w:t>Bu çalışmanın merkezi bulgusu, incelenen modellerin (Claude, Gemini) ürettiği C→Rust çevirilerinde asıl riskin sözdizimsel değil sessiz semantik hatalar olduğudur; Claude’da 17 başarısızlığın 16’sı derleyiciden hiç uyarı almadan geçmiştir. İkinci gözlem: derleme yapılandırması (debug/release) ve platform (Windows/Linux) gizli birer değişkendir — aynı kod farklı yapılandırmada farklı sonuç verebilir. Üçüncü, en yeni gözlem: iki bağımsız modelin karşılaştırması “model A, B’den genel olarak daha iyidir” biçiminde tek boyutlu bir sıralamanın yanıltıcı olduğunu gösterir (genel EA farkı anlamlı olsa da, p=0.013, Bölüm IV-F); Gemini kısa hedeflenmiş kategorilerde (5/5) Claude’dan (1/5) daha dayanıklı, uzun/karmaşık üretim kodunda (0/3) Claude’dan (2/3) daha kırılgandır; model seçimi kod tabanının niteliğine göre yapılmalıdır. Dördüncü gözlem: kod uzunluğu ile başarı arasında anlamlı bir ilişki bulunmamıştır (p=0.359); semantik karmaşıklık, ham uzunluktan daha belirleyicidir.</w:t>
      </w:r>
    </w:p>
    <w:p>
      <w:pPr>
        <w:spacing w:before="80" w:after="20"/>
      </w:pPr>
      <w:r>
        <w:rPr>
          <w:rFonts w:ascii="Times New Roman" w:hAnsi="Times New Roman"/>
          <w:b w:val="0"/>
          <w:i/>
          <w:sz w:val="20"/>
        </w:rPr>
        <w:t>B. Sınırlamalar</w:t>
      </w:r>
    </w:p>
    <w:p>
      <w:pPr>
        <w:spacing w:after="60"/>
        <w:ind w:firstLine="289"/>
        <w:jc w:val="both"/>
      </w:pPr>
      <w:r>
        <w:rPr>
          <w:rFonts w:ascii="Times New Roman" w:hAnsi="Times New Roman" w:cs="Times New Roman"/>
          <w:sz w:val="20"/>
          <w:szCs w:val="20"/>
        </w:rPr>
        <w:t xml:space="preserve">İç geçerlilik: test girdileri elle seçilmiş, referans çıktılar C programı çalıştırılarak üretilmiştir; sınır durumlarının sistematik bir kapsam (coverage) ölçümü yapılmamıştır — bu, 522 satırlık s47_redis_sds gibi uzun örneklerde 4-5 test girdisiyle “PASS” denmesinin gücünü sınırlar. Ayrıca iki model farklı arayüzlerde koşturulmuştur (Claude etkileşimli CLI, Gemini doğrudan API); bu, model karşılaştırmasında yalnızca bir tekrarlanabilirlik asimetrisi değil, aynı zamanda bir karıştırıcı değişken (confounder) oluşturur; McNemar farkının ne kadarının modelden, ne kadarının koşum ortamından geldiği ayrıştırılamamıştır. C her koşulda </w:t>
      </w:r>
      <w:r>
        <w:rPr>
          <w:rFonts w:ascii="Courier New" w:hAnsi="Courier New" w:cs="Courier New" w:eastAsia="Courier New"/>
          <w:sz w:val="18"/>
          <w:szCs w:val="18"/>
        </w:rPr>
        <w:t xml:space="preserve">-O2</w:t>
      </w:r>
      <w:r>
        <w:rPr>
          <w:rFonts w:ascii="Times New Roman" w:hAnsi="Times New Roman" w:cs="Times New Roman"/>
          <w:sz w:val="20"/>
          <w:szCs w:val="20"/>
        </w:rPr>
        <w:t xml:space="preserve"> ile derlenirken Rust debug/release olarak ayrılmıştır (bilinçli bir tasarım kararı); C’nin farklı optimizasyon seviyelerinde tekrarlanması ayrı bir sağlamlık kontrolü olurdu. Her örnek yalnızca bir kez (k=1) çevrilmiştir; k=3-5 olsaydı pass@1/pass@k ile daha güvenilir bir tahmin elde edilebilirdi; bu, en önemli metodolojik sınırlamadır. İstatistiksel geçerlilik: FAIL grubu küçüktür (n=17); duyarlılık analizi (Bölüm IV-B) yalnızca orta-büyük etkilerin (|r| ≥ 0.46) saptanabileceğini göstermiştir. Üç çıkarımsal test (Mann-Whitney, Fisher, McNemar) keşif amaçlı okunmalıdır; Bonferroni düzeltmesinde (α=0.05/3≈0.0167) yalnızca McNemar (p=0.013) anlamlı kalır, dolayısıyla yorum değişmez. Dış geçerlilik: veri seti 57 program/229 girdiyle sınırlıdır, endüstriyel kod tabanlarına genellenemez; GPT-4o/DeepSeek adaptörleri API erişimi olmadığından çalıştırılamamış, çoklu-model bulgusu iki modelle sınırlıdır. Yapı geçerliliği: EA yalnızca gözlenen davranışsal eşdeğerliği ölçer; Seviye A oracle verdiğinden %100 yalnızca </w:t>
      </w:r>
      <w:r>
        <w:rPr>
          <w:i/>
          <w:rFonts w:ascii="Times New Roman" w:hAnsi="Times New Roman" w:cs="Times New Roman"/>
          <w:sz w:val="20"/>
          <w:szCs w:val="20"/>
        </w:rPr>
        <w:t xml:space="preserve">görülen</w:t>
      </w:r>
      <w:r>
        <w:rPr>
          <w:rFonts w:ascii="Times New Roman" w:hAnsi="Times New Roman" w:cs="Times New Roman"/>
          <w:sz w:val="20"/>
          <w:szCs w:val="20"/>
        </w:rPr>
        <w:t xml:space="preserve"> girdilere karşı bir üst sınırdır, held-out doğrulama yapılmamıştır. Veri seti seçim yanlılığı: veri setinin 44/57’si bilinen boşlukları hedefler; dengeleyen 13 bağımsız örneğin 11’i geçmiştir. Kalıcı bir arşiv DOI’si henüz atanmamıştır; depo bağlantısı ve DOI kabul sonrası paylaşılacaktır (Bölüm III-F). Kategori C ve F’de “doğru davranış” referans platforma (Windows/LLP64) bağlıdır; bir kök neden değil bir artefakttır (Claude’un </w:t>
      </w:r>
      <w:r>
        <w:rPr>
          <w:rFonts w:ascii="Courier New" w:hAnsi="Courier New" w:cs="Courier New" w:eastAsia="Courier New"/>
          <w:sz w:val="18"/>
          <w:szCs w:val="18"/>
        </w:rPr>
        <w:t xml:space="preserve">i64</w:t>
      </w:r>
      <w:r>
        <w:rPr>
          <w:rFonts w:ascii="Times New Roman" w:hAnsi="Times New Roman" w:cs="Times New Roman"/>
          <w:sz w:val="20"/>
          <w:szCs w:val="20"/>
        </w:rPr>
        <w:t xml:space="preserve"> seçimi Linux/LP64’te doğru olurdu, Bölüm IV-F). Model × kategori etkileşimi test edilmemiştir; Tablo VII’deki kırılım betimseldir.</w:t>
      </w:r>
    </w:p>
    <w:p>
      <w:pPr>
        <w:spacing w:before="80" w:after="20"/>
      </w:pPr>
      <w:r>
        <w:rPr>
          <w:rFonts w:ascii="Times New Roman" w:hAnsi="Times New Roman"/>
          <w:b w:val="0"/>
          <w:i/>
          <w:sz w:val="20"/>
        </w:rPr>
        <w:t>C. Öneriler</w:t>
      </w:r>
    </w:p>
    <w:p>
      <w:pPr>
        <w:spacing w:after="60"/>
        <w:ind w:firstLine="289"/>
        <w:jc w:val="both"/>
      </w:pPr>
      <w:r>
        <w:rPr>
          <w:rFonts w:ascii="Times New Roman" w:hAnsi="Times New Roman"/>
          <w:b w:val="0"/>
          <w:i w:val="0"/>
          <w:sz w:val="20"/>
        </w:rPr>
        <w:t>En iyi modelde bile (Gemini, %89.47) 57 programın 6’sında hata kalması, doğrulama ve iteratif düzeltmenin LLM destekli araç zincirlerinde zorunlu olması gerektiğini gösterir. Tablo VII’deki betimsel model × kategori kırılımı, tek bir “en iyi model” aramak yerine kod tabanının niteliğine göre model seçimi veya çoklu-model oylaması (ensemble) araştırılmasını önerir. Somut olarak: (i) derleme başarısı yeterli değildir, diferansiyel test veya eşdeğeri bir yürütme tabanlı doğrulama zorunlu tutulmalıdır; (ii) dokuz kök-neden kategorisi (Tablo V) bir statik analiz/lint kuralı setine dönüştürülüp derleme hattına eklenebilir — özellikle derleyicinin yakalayamadığı unsigned aritmetik, char işaretliliği ve çıktı biçimlendirme için; (iii) uzun/karmaşık üretim kodunda bu kategoride daha dayanıklı bulunan model (Claude) tercih edilebilir, kısa izole fonksiyonlarda iki model de kabul edilebilir; ancak bu öneri yalnızca iki model ve 57 örneğe dayanır, daha geniş bir veri setiyle doğrulanmadan genel bir kural olarak benimsenmemelidir.</w:t>
      </w:r>
    </w:p>
    <w:p>
      <w:pPr>
        <w:spacing w:before="120" w:after="60"/>
        <w:jc w:val="center"/>
      </w:pPr>
      <w:r>
        <w:rPr>
          <w:rFonts w:ascii="Times New Roman" w:hAnsi="Times New Roman"/>
          <w:b w:val="0"/>
          <w:smallCaps/>
          <w:sz w:val="20"/>
        </w:rPr>
        <w:t>VI. Sonuç</w:t>
      </w:r>
    </w:p>
    <w:p>
      <w:pPr>
        <w:spacing w:after="60"/>
        <w:ind w:firstLine="289"/>
        <w:jc w:val="both"/>
      </w:pPr>
      <w:r>
        <w:rPr>
          <w:rFonts w:ascii="Times New Roman" w:hAnsi="Times New Roman"/>
          <w:b w:val="0"/>
          <w:i w:val="0"/>
          <w:sz w:val="20"/>
        </w:rPr>
        <w:t>Bu çalışma, iki bağımsız LLM’in (Claude Sonnet 5, Google Gemini) ürettiği zero-shot C→Rust çevirilerinin yürütme doğruluğunu 57 programlık bir kıyaslama setinde (13’ü bağımsız gerçek dünya kodu) diferansiyel test ile ölçmüştür: Claude %70.18 (başarısızlıkların %94.1’i derleyiciden uyarı almadan, %70.6’sı çalışma zamanında da hiçbir sinyal vermeden geçmiştir), Gemini %89.47 (51/57) doğruluk göstermiştir. Kök neden analizi hataları dokuz tekrar eden C↔Rust semantik boşluğuna ayırmıştır; model × kategori karşılaştırması hiçbir modelin diğerinden tekdüze üstün olmadığını göstermiştir — Gemini kısa hedeflenmiş kategorilerde (5/5 vs. 1/5) daha dayanıklı, uzun gerçek üretim kodunda (0/3 vs. 2/3) daha kırılgandır; sessiz hata oranı da model-özgüdür (Claude: derlemede yakalanmayan %94.1, çalışma zamanında da sinyalsiz %70.6; Gemini: her iki katmanda da %33.3). Hata geri bildirimi Claude’da doğruluğu %100’e taşımış, ama kısıtlı geri bildirimde bu %71.9-86.0’a düşmüştür. Gelecek çalışmalar GPT-4o/DeepSeek dahil daha geniş bir model havuzunu ve model-seçim/ensemble stratejilerini hedefleyebilir.</w:t>
      </w:r>
    </w:p>
    <w:p>
      <w:pPr>
        <w:spacing w:before="120" w:after="60"/>
        <w:jc w:val="center"/>
      </w:pPr>
      <w:r>
        <w:rPr>
          <w:rFonts w:ascii="Times New Roman" w:hAnsi="Times New Roman"/>
          <w:b w:val="0"/>
          <w:smallCaps/>
          <w:sz w:val="20"/>
        </w:rPr>
        <w:t>Kaynakça</w:t>
      </w:r>
    </w:p>
    <w:p>
      <w:pPr>
        <w:spacing w:after="20"/>
        <w:ind w:left="198" w:hanging="198"/>
      </w:pPr>
      <w:r>
        <w:rPr>
          <w:rFonts w:ascii="Times New Roman" w:hAnsi="Times New Roman"/>
          <w:sz w:val="16"/>
        </w:rPr>
        <w:t xml:space="preserve">[1] </w:t>
      </w:r>
      <w:r>
        <w:rPr>
          <w:rFonts w:ascii="Times New Roman" w:hAnsi="Times New Roman"/>
          <w:sz w:val="16"/>
        </w:rPr>
        <w:t>Cybersecurity and Infrastructure Security Agency (CISA), National Security Agency (NSA), Federal Bureau of Investigation (FBI) et al., “The Case for Memory Safe Roadmaps: Why both C-Suite Executives and Technical Experts Need to Take Memory Safe Coding Seriously,” joint cybersecurity guidance, Dec. 2023. [Online]. Available: https://cisa.gov/case-memory-safe-roadmaps. [Accessed: Jul. 25, 2026].</w:t>
      </w:r>
    </w:p>
    <w:p>
      <w:pPr>
        <w:spacing w:after="20"/>
        <w:ind w:left="198" w:hanging="198"/>
      </w:pPr>
      <w:r>
        <w:rPr>
          <w:rFonts w:ascii="Times New Roman" w:hAnsi="Times New Roman"/>
          <w:sz w:val="16"/>
        </w:rPr>
        <w:t xml:space="preserve">[2] </w:t>
      </w:r>
      <w:r>
        <w:rPr>
          <w:rFonts w:ascii="Times New Roman" w:hAnsi="Times New Roman"/>
          <w:sz w:val="16"/>
        </w:rPr>
        <w:t>S. Gandhi, M. Patwardhan, J. Khatri, L. Vig, and R. K. Medicherla, “Translation of Low-Resource COBOL to Logically Correct and Readable Java leveraging High-Resource Java Refinement,” in Proc. 1st Int. Workshop on Large Language Models for Code (LLM4Code ’24), ICSE 2024, Lisbon, Portugal, pp. 46-53, doi: 10.1145/3643795.3648388.</w:t>
      </w:r>
    </w:p>
    <w:p>
      <w:pPr>
        <w:spacing w:after="20"/>
        <w:ind w:left="198" w:hanging="198"/>
      </w:pPr>
      <w:r>
        <w:rPr>
          <w:rFonts w:ascii="Times New Roman" w:hAnsi="Times New Roman"/>
          <w:sz w:val="16"/>
        </w:rPr>
        <w:t xml:space="preserve">[3] </w:t>
      </w:r>
      <w:r>
        <w:rPr>
          <w:rFonts w:ascii="Times New Roman" w:hAnsi="Times New Roman"/>
          <w:sz w:val="16"/>
        </w:rPr>
        <w:t>H. F. Eniser, H. Zhang, C. David, M. Wang, M. Christakis, B. Paulsen, J. Dodds, and D. Kroening, “Towards Translating Real-World Code with LLMs: A Study of Translating to Rust,” arXiv:2405.11514, 2024.</w:t>
      </w:r>
    </w:p>
    <w:p>
      <w:pPr>
        <w:spacing w:after="20"/>
        <w:ind w:left="198" w:hanging="198"/>
      </w:pPr>
      <w:r>
        <w:rPr>
          <w:rFonts w:ascii="Times New Roman" w:hAnsi="Times New Roman"/>
          <w:sz w:val="16"/>
        </w:rPr>
        <w:t xml:space="preserve">[4] </w:t>
      </w:r>
      <w:r>
        <w:rPr>
          <w:rFonts w:ascii="Times New Roman" w:hAnsi="Times New Roman"/>
          <w:sz w:val="16"/>
        </w:rPr>
        <w:t>X. Yin, C. Ni, T. N. Nguyen, S. Wang, and X. Yang, “Rectifier: Code Translation with Corrector via LLMs,” arXiv:2407.07472, 2024.</w:t>
      </w:r>
    </w:p>
    <w:p>
      <w:pPr>
        <w:spacing w:after="20"/>
        <w:ind w:left="198" w:hanging="198"/>
      </w:pPr>
      <w:r>
        <w:rPr>
          <w:rFonts w:ascii="Times New Roman" w:hAnsi="Times New Roman"/>
          <w:sz w:val="16"/>
        </w:rPr>
        <w:t xml:space="preserve">[5] </w:t>
      </w:r>
      <w:r>
        <w:rPr>
          <w:rFonts w:ascii="Times New Roman" w:hAnsi="Times New Roman"/>
          <w:sz w:val="16"/>
        </w:rPr>
        <w:t>Immunant, Inc., “C2Rust: migrate C code to Rust,” open-source project. [Online]. Available: https://github.com/immunant/c2rust. [Accessed: Jul. 25, 2026].</w:t>
      </w:r>
    </w:p>
    <w:p>
      <w:pPr>
        <w:spacing w:after="20"/>
        <w:ind w:left="198" w:hanging="198"/>
      </w:pPr>
      <w:r>
        <w:rPr>
          <w:rFonts w:ascii="Times New Roman" w:hAnsi="Times New Roman"/>
          <w:sz w:val="16"/>
        </w:rPr>
        <w:t xml:space="preserve">[6] </w:t>
      </w:r>
      <w:r>
        <w:rPr>
          <w:rFonts w:ascii="Times New Roman" w:hAnsi="Times New Roman"/>
          <w:sz w:val="16"/>
        </w:rPr>
        <w:t>B. Rozière, M.-A. Lachaux, L. Chanussot, and G. Lample, “Unsupervised Translation of Programming Languages,” in Advances in Neural Information Processing Systems (NeurIPS), vol. 33, 2020, pp. 20601-20611.</w:t>
      </w:r>
    </w:p>
    <w:p>
      <w:pPr>
        <w:spacing w:after="20"/>
        <w:ind w:left="198" w:hanging="198"/>
      </w:pPr>
      <w:r>
        <w:rPr>
          <w:rFonts w:ascii="Times New Roman" w:hAnsi="Times New Roman"/>
          <w:sz w:val="16"/>
        </w:rPr>
        <w:t xml:space="preserve">[7] </w:t>
      </w:r>
      <w:r>
        <w:rPr>
          <w:rFonts w:ascii="Times New Roman" w:hAnsi="Times New Roman"/>
          <w:sz w:val="16"/>
        </w:rPr>
        <w:t>Rosetta Code, rosettacode.org — Luhn test, Soundex, Levenshtein distance, 0-1 Knapsack, Towers of Hanoi, LCS, CRC-32 (C solutions). [Online]. Available: https://github.com/acmeism/RosettaCodeData. [Accessed: Jul. 25, 2026].</w:t>
      </w:r>
    </w:p>
    <w:p>
      <w:pPr>
        <w:spacing w:after="20"/>
        <w:ind w:left="198" w:hanging="198"/>
      </w:pPr>
      <w:r>
        <w:rPr>
          <w:rFonts w:ascii="Times New Roman" w:hAnsi="Times New Roman"/>
          <w:sz w:val="16"/>
        </w:rPr>
        <w:t xml:space="preserve">[8] </w:t>
      </w:r>
      <w:r>
        <w:rPr>
          <w:rFonts w:ascii="Times New Roman" w:hAnsi="Times New Roman"/>
          <w:sz w:val="16"/>
        </w:rPr>
        <w:t>The Regents of the Univ. of California / OpenBSD and FreeBSD Projects, getopt.c (1987), strtol.c (1990), heapsort.c (1991). [Online]. Available: https://github.com/openbsd/src, https://github.com/freebsd/freebsd-src. [Accessed: Jul. 25, 2026].</w:t>
      </w:r>
    </w:p>
    <w:p>
      <w:pPr>
        <w:spacing w:after="20"/>
        <w:ind w:left="198" w:hanging="198"/>
      </w:pPr>
      <w:r>
        <w:rPr>
          <w:rFonts w:ascii="Times New Roman" w:hAnsi="Times New Roman"/>
          <w:sz w:val="16"/>
        </w:rPr>
        <w:t xml:space="preserve">[9] </w:t>
      </w:r>
      <w:r>
        <w:rPr>
          <w:rFonts w:ascii="Times New Roman" w:hAnsi="Times New Roman"/>
          <w:sz w:val="16"/>
        </w:rPr>
        <w:t>musl libc Project (R. Felker et al.), qsort.c (smoothsort, V. Ochs, 2011). [Online]. Available: https://git.musl-libc.org/cgit/musl/tree/src/stdlib/qsort.c. [Accessed: Jul. 25, 2026].</w:t>
      </w:r>
    </w:p>
    <w:p>
      <w:pPr>
        <w:spacing w:after="20"/>
        <w:ind w:left="198" w:hanging="198"/>
      </w:pPr>
      <w:r>
        <w:rPr>
          <w:rFonts w:ascii="Times New Roman" w:hAnsi="Times New Roman"/>
          <w:sz w:val="16"/>
        </w:rPr>
        <w:t xml:space="preserve">[10] </w:t>
      </w:r>
      <w:r>
        <w:rPr>
          <w:rFonts w:ascii="Times New Roman" w:hAnsi="Times New Roman"/>
          <w:sz w:val="16"/>
        </w:rPr>
        <w:t>S. Sanfilippo et al., sds.c/sds.h (SDS v2.0), Redis 7.2.4. [Online]. Available: https://github.com/redis/redis (tag 7.2.4). [Accessed: Jul. 25, 2026].</w:t>
      </w:r>
    </w:p>
    <w:p>
      <w:pPr>
        <w:spacing w:after="20"/>
        <w:ind w:left="198" w:hanging="198"/>
      </w:pPr>
      <w:r>
        <w:rPr>
          <w:rFonts w:ascii="Times New Roman" w:hAnsi="Times New Roman"/>
          <w:sz w:val="16"/>
        </w:rPr>
        <w:t xml:space="preserve">[11] </w:t>
      </w:r>
      <w:r>
        <w:rPr>
          <w:rFonts w:ascii="Times New Roman" w:hAnsi="Times New Roman"/>
          <w:sz w:val="16"/>
        </w:rPr>
        <w:t>D. Gamble et al., cJSON.c (parse_number, print_number). [Online]. Available: https://github.com/DaveGamble/cJSON. [Accessed: Jul. 25, 2026].</w:t>
      </w:r>
    </w:p>
    <w:p>
      <w:pPr>
        <w:spacing w:after="20"/>
        <w:ind w:left="198" w:hanging="198"/>
      </w:pPr>
      <w:r>
        <w:rPr>
          <w:rFonts w:ascii="Times New Roman" w:hAnsi="Times New Roman"/>
          <w:sz w:val="16"/>
        </w:rPr>
        <w:t xml:space="preserve">[12] </w:t>
      </w:r>
      <w:r>
        <w:rPr>
          <w:rFonts w:ascii="Times New Roman" w:hAnsi="Times New Roman"/>
          <w:sz w:val="16"/>
        </w:rPr>
        <w:t>Google, “Gemini API — Models,” Google AI for Developers, 2026. [Online]. Available: https://ai.google.dev/gemini-api/docs/models. [Accessed: Jul. 25, 2026].</w:t>
      </w:r>
    </w:p>
    <w:p>
      <w:pPr>
        <w:spacing w:after="20"/>
        <w:ind w:left="198" w:hanging="198"/>
      </w:pPr>
      <w:r>
        <w:rPr>
          <w:rFonts w:ascii="Times New Roman" w:hAnsi="Times New Roman"/>
          <w:sz w:val="16"/>
        </w:rPr>
        <w:t xml:space="preserve">[13] </w:t>
      </w:r>
      <w:r>
        <w:rPr>
          <w:rFonts w:ascii="Times New Roman" w:hAnsi="Times New Roman"/>
          <w:sz w:val="16"/>
        </w:rPr>
        <w:t>J. M. Hoenig and D. M. Heisey, “The Abuse of Power: The Pervasive Fallacy of Power Calculations for Data Analysis,” The American Statistician, vol. 55, no. 1, pp. 19-24, 2001.</w:t>
      </w:r>
    </w:p>
    <w:sectPr w:rsidR="00FC693F" w:rsidRPr="0006063C" w:rsidSect="00034616">
      <w:type w:val="continuous"/>
      <w:pgSz w:w="11906" w:h="16838"/>
      <w:pgMar w:top="1077" w:right="935" w:bottom="1077" w:left="935"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Destekli Kod Çevirisinde Sessiz Semantik Hatalar: C'den Rust'a Çoklu-Model Deneysel Bir Değerlendirme</dc:title>
  <dc:subject>C-to-Rust LLM kod çevirisi, diferansiyel test, sessiz semantik hatalar</dc:subject>
  <dc:creator>Muhammet Baykara, İbrahim Halil Şahin, Emre Aşkın</dc:creator>
  <cp:keywords/>
  <dc:description/>
  <cp:lastModifiedBy/>
  <cp:revision>1</cp:revision>
  <dcterms:created xsi:type="dcterms:W3CDTF">2013-12-23T23:15:00Z</dcterms:created>
  <dcterms:modified xsi:type="dcterms:W3CDTF">2013-12-23T23:15:00Z</dcterms:modified>
  <cp:category/>
</cp:coreProperties>
</file>