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pStyle w:val="Title"/>
        <w:jc w:val="right"/>
      </w:pPr>
      <w:r>
        <w:rPr>
          <w:rFonts w:ascii="Calibri" w:hAnsi="Calibri"/>
          <w:b/>
          <w:color w:val="4F46E5"/>
          <w:sz w:val="44"/>
        </w:rPr>
        <w:t>تقرير المبيعات الشهري -- ابريل 2026</w:t>
      </w:r>
    </w:p>
    <w:p>
      <w:pPr>
        <w:bidi/>
        <w:jc w:val="right"/>
      </w:pPr>
      <w:r>
        <w:rPr>
          <w:rFonts w:ascii="Calibri" w:hAnsi="Calibri"/>
          <w:color w:val="6B7280"/>
          <w:sz w:val="24"/>
        </w:rPr>
        <w:t>اعداد: قسم المبيعات والتطوير  |  تاريخ التقرير: 19 ابريل 2026</w:t>
      </w:r>
    </w:p>
    <w:p/>
    <w:p>
      <w:pPr>
        <w:bidi/>
        <w:pStyle w:val="Heading1"/>
        <w:jc w:val="right"/>
      </w:pPr>
      <w:r>
        <w:rPr>
          <w:rFonts w:ascii="Calibri" w:hAnsi="Calibri"/>
          <w:b/>
          <w:color w:val="6B21A8"/>
          <w:sz w:val="32"/>
        </w:rPr>
        <w:t>ملخص تنفيذي</w:t>
      </w:r>
    </w:p>
    <w:p>
      <w:pPr>
        <w:bidi/>
        <w:pStyle w:val="ListBullet"/>
        <w:jc w:val="right"/>
      </w:pPr>
      <w:r>
        <w:rPr>
          <w:rFonts w:ascii="Calibri" w:hAnsi="Calibri"/>
          <w:b/>
          <w:sz w:val="24"/>
        </w:rPr>
        <w:t xml:space="preserve">اجمالي الصفقات هذا الشهر: </w:t>
      </w:r>
      <w:r>
        <w:rPr>
          <w:rFonts w:ascii="Calibri" w:hAnsi="Calibri"/>
          <w:color w:val="059669"/>
          <w:sz w:val="24"/>
        </w:rPr>
        <w:t>15 صفقة</w:t>
      </w:r>
    </w:p>
    <w:p>
      <w:pPr>
        <w:bidi/>
        <w:pStyle w:val="ListBullet"/>
        <w:jc w:val="right"/>
      </w:pPr>
      <w:r>
        <w:rPr>
          <w:rFonts w:ascii="Calibri" w:hAnsi="Calibri"/>
          <w:b/>
          <w:sz w:val="24"/>
        </w:rPr>
        <w:t xml:space="preserve">الصفقات المكتملة بنجاح: </w:t>
      </w:r>
      <w:r>
        <w:rPr>
          <w:rFonts w:ascii="Calibri" w:hAnsi="Calibri"/>
          <w:color w:val="059669"/>
          <w:sz w:val="24"/>
        </w:rPr>
        <w:t>6 صفقات -- باجمالي 635,000 جنيه</w:t>
      </w:r>
    </w:p>
    <w:p>
      <w:pPr>
        <w:bidi/>
        <w:pStyle w:val="ListBullet"/>
        <w:jc w:val="right"/>
      </w:pPr>
      <w:r>
        <w:rPr>
          <w:rFonts w:ascii="Calibri" w:hAnsi="Calibri"/>
          <w:b/>
          <w:sz w:val="24"/>
        </w:rPr>
        <w:t xml:space="preserve">الصفقات قيد التفاوض: </w:t>
      </w:r>
      <w:r>
        <w:rPr>
          <w:rFonts w:ascii="Calibri" w:hAnsi="Calibri"/>
          <w:color w:val="059669"/>
          <w:sz w:val="24"/>
        </w:rPr>
        <w:t>5 صفقات -- بقيمة مفترضة 403,000 جنيه</w:t>
      </w:r>
    </w:p>
    <w:p>
      <w:pPr>
        <w:bidi/>
        <w:pStyle w:val="ListBullet"/>
        <w:jc w:val="right"/>
      </w:pPr>
      <w:r>
        <w:rPr>
          <w:rFonts w:ascii="Calibri" w:hAnsi="Calibri"/>
          <w:b/>
          <w:sz w:val="24"/>
        </w:rPr>
        <w:t xml:space="preserve">الصفقات المرفوضة: </w:t>
      </w:r>
      <w:r>
        <w:rPr>
          <w:rFonts w:ascii="Calibri" w:hAnsi="Calibri"/>
          <w:color w:val="059669"/>
          <w:sz w:val="24"/>
        </w:rPr>
        <w:t>4 صفقات -- خسارة محتملة 158,000 جنيه</w:t>
      </w:r>
    </w:p>
    <w:p>
      <w:pPr>
        <w:bidi/>
        <w:pStyle w:val="ListBullet"/>
        <w:jc w:val="right"/>
      </w:pPr>
      <w:r>
        <w:rPr>
          <w:rFonts w:ascii="Calibri" w:hAnsi="Calibri"/>
          <w:b/>
          <w:sz w:val="24"/>
        </w:rPr>
        <w:t xml:space="preserve">نسبة النجاح: </w:t>
      </w:r>
      <w:r>
        <w:rPr>
          <w:rFonts w:ascii="Calibri" w:hAnsi="Calibri"/>
          <w:color w:val="059669"/>
          <w:sz w:val="24"/>
        </w:rPr>
        <w:t>40% (6 من اصل 15)</w:t>
      </w:r>
    </w:p>
    <w:p>
      <w:pPr>
        <w:bidi/>
        <w:pStyle w:val="ListBullet"/>
        <w:jc w:val="right"/>
      </w:pPr>
      <w:r>
        <w:rPr>
          <w:rFonts w:ascii="Calibri" w:hAnsi="Calibri"/>
          <w:b/>
          <w:sz w:val="24"/>
        </w:rPr>
        <w:t xml:space="preserve">اعلى صفقة قيمة: </w:t>
      </w:r>
      <w:r>
        <w:rPr>
          <w:rFonts w:ascii="Calibri" w:hAnsi="Calibri"/>
          <w:color w:val="059669"/>
          <w:sz w:val="24"/>
        </w:rPr>
        <w:t>مستشفى الشروق -- 210,000 جنيه</w:t>
      </w:r>
    </w:p>
    <w:p/>
    <w:p>
      <w:pPr>
        <w:bidi/>
        <w:pStyle w:val="Heading1"/>
        <w:jc w:val="right"/>
      </w:pPr>
      <w:r>
        <w:rPr>
          <w:rFonts w:ascii="Calibri" w:hAnsi="Calibri"/>
          <w:b/>
          <w:color w:val="059669"/>
          <w:sz w:val="30"/>
        </w:rPr>
        <w:t>جدول ابرز الصفقات المكتملة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8"/>
        <w:gridCol w:w="3488"/>
        <w:gridCol w:w="3488"/>
        <w:gridCol w:w="3488"/>
      </w:tblGrid>
      <w:tr>
        <w:tc>
          <w:tcPr>
            <w:tcW w:type="dxa" w:w="3488"/>
            <w:shd w:val="clear" w:color="auto" w:fill="6366F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العميل</w:t>
            </w:r>
          </w:p>
        </w:tc>
        <w:tc>
          <w:tcPr>
            <w:tcW w:type="dxa" w:w="3488"/>
            <w:shd w:val="clear" w:color="auto" w:fill="6366F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المحافظة</w:t>
            </w:r>
          </w:p>
        </w:tc>
        <w:tc>
          <w:tcPr>
            <w:tcW w:type="dxa" w:w="3488"/>
            <w:shd w:val="clear" w:color="auto" w:fill="6366F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المنتج / الخدمة</w:t>
            </w:r>
          </w:p>
        </w:tc>
        <w:tc>
          <w:tcPr>
            <w:tcW w:type="dxa" w:w="3488"/>
            <w:shd w:val="clear" w:color="auto" w:fill="6366F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قيمة الصفقة</w:t>
            </w:r>
          </w:p>
        </w:tc>
      </w:tr>
      <w:tr>
        <w:tc>
          <w:tcPr>
            <w:tcW w:type="dxa" w:w="3488"/>
            <w:shd w:val="clear" w:color="auto" w:fill="D1FAE5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شركة النور للتجارة</w:t>
            </w:r>
          </w:p>
        </w:tc>
        <w:tc>
          <w:tcPr>
            <w:tcW w:type="dxa" w:w="3488"/>
            <w:shd w:val="clear" w:color="auto" w:fill="D1FAE5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القاهرة</w:t>
            </w:r>
          </w:p>
        </w:tc>
        <w:tc>
          <w:tcPr>
            <w:tcW w:type="dxa" w:w="3488"/>
            <w:shd w:val="clear" w:color="auto" w:fill="D1FAE5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نظام ERP للمبيعات</w:t>
            </w:r>
          </w:p>
        </w:tc>
        <w:tc>
          <w:tcPr>
            <w:tcW w:type="dxa" w:w="3488"/>
            <w:shd w:val="clear" w:color="auto" w:fill="D1FAE5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85,000 جنيه</w:t>
            </w:r>
          </w:p>
        </w:tc>
      </w:tr>
      <w:tr>
        <w:tc>
          <w:tcPr>
            <w:tcW w:type="dxa" w:w="3488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شركة الأمل للإنشاءات</w:t>
            </w:r>
          </w:p>
        </w:tc>
        <w:tc>
          <w:tcPr>
            <w:tcW w:type="dxa" w:w="3488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القليوبية</w:t>
            </w:r>
          </w:p>
        </w:tc>
        <w:tc>
          <w:tcPr>
            <w:tcW w:type="dxa" w:w="3488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نظام توريد ومخازن</w:t>
            </w:r>
          </w:p>
        </w:tc>
        <w:tc>
          <w:tcPr>
            <w:tcW w:type="dxa" w:w="3488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120,000 جنيه</w:t>
            </w:r>
          </w:p>
        </w:tc>
      </w:tr>
      <w:tr>
        <w:tc>
          <w:tcPr>
            <w:tcW w:type="dxa" w:w="3488"/>
            <w:shd w:val="clear" w:color="auto" w:fill="D1FAE5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مصنع الوطن للغزل</w:t>
            </w:r>
          </w:p>
        </w:tc>
        <w:tc>
          <w:tcPr>
            <w:tcW w:type="dxa" w:w="3488"/>
            <w:shd w:val="clear" w:color="auto" w:fill="D1FAE5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الغربية</w:t>
            </w:r>
          </w:p>
        </w:tc>
        <w:tc>
          <w:tcPr>
            <w:tcW w:type="dxa" w:w="3488"/>
            <w:shd w:val="clear" w:color="auto" w:fill="D1FAE5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برنامج إدارة المصنع</w:t>
            </w:r>
          </w:p>
        </w:tc>
        <w:tc>
          <w:tcPr>
            <w:tcW w:type="dxa" w:w="3488"/>
            <w:shd w:val="clear" w:color="auto" w:fill="D1FAE5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95,000 جنيه</w:t>
            </w:r>
          </w:p>
        </w:tc>
      </w:tr>
      <w:tr>
        <w:tc>
          <w:tcPr>
            <w:tcW w:type="dxa" w:w="3488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مستشفى الشروق</w:t>
            </w:r>
          </w:p>
        </w:tc>
        <w:tc>
          <w:tcPr>
            <w:tcW w:type="dxa" w:w="3488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الشرقية</w:t>
            </w:r>
          </w:p>
        </w:tc>
        <w:tc>
          <w:tcPr>
            <w:tcW w:type="dxa" w:w="3488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نظام إدارة المرضى</w:t>
            </w:r>
          </w:p>
        </w:tc>
        <w:tc>
          <w:tcPr>
            <w:tcW w:type="dxa" w:w="3488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210,000 جنيه</w:t>
            </w:r>
          </w:p>
        </w:tc>
      </w:tr>
      <w:tr>
        <w:tc>
          <w:tcPr>
            <w:tcW w:type="dxa" w:w="3488"/>
            <w:shd w:val="clear" w:color="auto" w:fill="D1FAE5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مدرسة النور الدولية</w:t>
            </w:r>
          </w:p>
        </w:tc>
        <w:tc>
          <w:tcPr>
            <w:tcW w:type="dxa" w:w="3488"/>
            <w:shd w:val="clear" w:color="auto" w:fill="D1FAE5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الإسكندرية</w:t>
            </w:r>
          </w:p>
        </w:tc>
        <w:tc>
          <w:tcPr>
            <w:tcW w:type="dxa" w:w="3488"/>
            <w:shd w:val="clear" w:color="auto" w:fill="D1FAE5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نظام شؤون الطلاب</w:t>
            </w:r>
          </w:p>
        </w:tc>
        <w:tc>
          <w:tcPr>
            <w:tcW w:type="dxa" w:w="3488"/>
            <w:shd w:val="clear" w:color="auto" w:fill="D1FAE5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55,000 جنيه</w:t>
            </w:r>
          </w:p>
        </w:tc>
      </w:tr>
      <w:tr>
        <w:tc>
          <w:tcPr>
            <w:tcW w:type="dxa" w:w="3488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شركة النيل للشحن</w:t>
            </w:r>
          </w:p>
        </w:tc>
        <w:tc>
          <w:tcPr>
            <w:tcW w:type="dxa" w:w="3488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بورسعيد</w:t>
            </w:r>
          </w:p>
        </w:tc>
        <w:tc>
          <w:tcPr>
            <w:tcW w:type="dxa" w:w="3488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نظام تتبع الشحنات</w:t>
            </w:r>
          </w:p>
        </w:tc>
        <w:tc>
          <w:tcPr>
            <w:tcW w:type="dxa" w:w="3488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88,000 جنيه</w:t>
            </w:r>
          </w:p>
        </w:tc>
      </w:tr>
    </w:tbl>
    <w:p/>
    <w:p>
      <w:pPr>
        <w:bidi/>
        <w:pStyle w:val="Heading1"/>
        <w:jc w:val="right"/>
      </w:pPr>
      <w:r>
        <w:rPr>
          <w:rFonts w:ascii="Calibri" w:hAnsi="Calibri"/>
          <w:b/>
          <w:color w:val="D97706"/>
          <w:sz w:val="30"/>
        </w:rPr>
        <w:t>توصيات للفريق</w:t>
      </w:r>
    </w:p>
    <w:p>
      <w:pPr>
        <w:bidi/>
        <w:pStyle w:val="ListNumber"/>
        <w:jc w:val="right"/>
      </w:pPr>
      <w:r>
        <w:rPr>
          <w:rFonts w:ascii="Calibri" w:hAnsi="Calibri"/>
          <w:sz w:val="24"/>
        </w:rPr>
        <w:t>متابعة عملاء التفاوض اسبوعيا وتحديث الحالة في النظام.</w:t>
      </w:r>
    </w:p>
    <w:p>
      <w:pPr>
        <w:bidi/>
        <w:pStyle w:val="ListNumber"/>
        <w:jc w:val="right"/>
      </w:pPr>
      <w:r>
        <w:rPr>
          <w:rFonts w:ascii="Calibri" w:hAnsi="Calibri"/>
          <w:sz w:val="24"/>
        </w:rPr>
        <w:t>تحليل اسباب الرفض وتقديم حلول تسعيرية بديلة.</w:t>
      </w:r>
    </w:p>
    <w:p>
      <w:pPr>
        <w:bidi/>
        <w:pStyle w:val="ListNumber"/>
        <w:jc w:val="right"/>
      </w:pPr>
      <w:r>
        <w:rPr>
          <w:rFonts w:ascii="Calibri" w:hAnsi="Calibri"/>
          <w:sz w:val="24"/>
        </w:rPr>
        <w:t>التركيز على قطاع المستشفيات والمدارس (اعلى عائد).</w:t>
      </w:r>
    </w:p>
    <w:p>
      <w:pPr>
        <w:bidi/>
        <w:pStyle w:val="ListNumber"/>
        <w:jc w:val="right"/>
      </w:pPr>
      <w:r>
        <w:rPr>
          <w:rFonts w:ascii="Calibri" w:hAnsi="Calibri"/>
          <w:sz w:val="24"/>
        </w:rPr>
        <w:t>الملف المرفق (Excel) يحتوي البيانات التفصيلية الكاملة.</w:t>
      </w:r>
    </w:p>
    <w:p/>
    <w:p>
      <w:pPr>
        <w:jc w:val="center"/>
      </w:pPr>
      <w:r>
        <w:rPr>
          <w:rFonts w:ascii="Calibri" w:hAnsi="Calibri"/>
          <w:i/>
          <w:color w:val="9CA3AF"/>
          <w:sz w:val="20"/>
        </w:rPr>
        <w:t>-- تم انشاء هذا التقرير بواسطة Excel Magic Pro --</w:t>
      </w:r>
    </w:p>
    <w:sectPr w:rsidR="00FC693F" w:rsidRPr="0006063C" w:rsidSect="00034616">
      <w:pgSz w:w="16834" w:h="1190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