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AAC" w:sz="6" w:space="4"/>
        </w:pBdr>
        <w:spacing w:after="60"/>
      </w:pPr>
      <w:r>
        <w:rPr>
          <w:b/>
          <w:bCs/>
          <w:color w:val="2E5AAC"/>
          <w:sz w:val="40"/>
          <w:szCs w:val="40"/>
        </w:rPr>
        <w:t xml:space="preserve">Besprechungsprotokoll</w:t>
      </w:r>
    </w:p>
    <w:p>
      <w:pPr>
        <w:spacing w:after="200"/>
      </w:pPr>
      <w:r>
        <w:rPr>
          <w:color w:val="666666"/>
          <w:sz w:val="26"/>
          <w:szCs w:val="26"/>
        </w:rPr>
        <w:t xml:space="preserve">Portierung der Breitband-FMR-Auswertung von LabVIEW nach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Datum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08.05.2026, 10:00 – 11:15 Uhr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Büro 137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Teilnehmer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Ibrahim (Bearbeiter), Johannes Weber (Betreuer / wiss. Mitarbeiter)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Thema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Ablösung des LabVIEW-Auswerteprogramms durch eine Python-Lösung für Breitband-FMR-Messdaten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Referenzen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Dissertation M. Müller (2023), Kap. 2 – FMR-Theorie; </w:t>
            </w:r>
            <w:r>
              <w:t xml:space="preserve">D. Polder, Physica XV (1949) – Originalarbeit; </w:t>
            </w:r>
            <w:r>
              <w:t xml:space="preserve">Mathematica-Notebook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Chi_Fit_Functions_and_Inductances_2020-04-06.nb</w:t>
            </w:r>
            <w:r>
              <w:t xml:space="preserve"> – Fitfunktionen; </w:t>
            </w:r>
            <w:r>
              <w:t xml:space="preserve">Slack-Notiz J. Weber zu den Fitfunktionen und Beispieldateien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1. Zielsetzung</w:t>
      </w:r>
    </w:p>
    <w:p>
      <w:pPr>
        <w:spacing w:after="120" w:line="276"/>
      </w:pPr>
      <w:r>
        <w:t xml:space="preserve">Das bestehende LabVIEW-Auswerteprogramm soll für diesen einen Arbeitsschritt – die Auswertung von Breitband-FMR-Messungen – durch eine eigenständige Python-Lösung ersetzt werden. LabVIEW liefert weiterhin die Messdaten (TDMS-Dateien), übernimmt aber keine Auswertung mehr.</w:t>
      </w:r>
    </w:p>
    <w:p>
      <w:pPr>
        <w:spacing w:after="120" w:line="276"/>
      </w:pPr>
      <w:r>
        <w:t xml:space="preserve">Begründung („Overhead“): LabVIEW ist zu langsam, zu unflexibel und lizenzkostenpflichtig. Die Python-Lösung soll leicht wartbar, erweiterbar und dokumentiert sein.</w:t>
      </w:r>
    </w:p>
    <w:p>
      <w:pPr>
        <w:spacing w:after="120" w:line="276"/>
      </w:pPr>
      <w:r>
        <w:rPr>
          <w:i/>
          <w:iCs/>
        </w:rPr>
        <w:t xml:space="preserve">Kernanforderung von Johannes Weber, in einem Satz:</w:t>
      </w:r>
    </w:p>
    <w:p>
      <w:pPr>
        <w:pBdr>
          <w:left w:val="single" w:color="2E5AAC" w:sz="18" w:space="8"/>
        </w:pBdr>
        <w:spacing w:after="120" w:before="40"/>
        <w:ind w:left="360"/>
      </w:pPr>
      <w:r>
        <w:rPr>
          <w:i/>
          <w:iCs/>
        </w:rPr>
        <w:t xml:space="preserve">Messwerte sollen beliebig – idealerweise vollautomatisch – geprüft und als Plot aufgetragen werden können; aus den ermittelten Resonanzkurven sollen anschließend physikalische Parameter berechnet werden.</w:t>
      </w:r>
    </w:p>
    <w:p>
      <w:pPr>
        <w:pStyle w:val="Heading1"/>
      </w:pPr>
      <w:r>
        <w:t xml:space="preserve">2. Physikalischer Hintergrund</w:t>
      </w:r>
    </w:p>
    <w:p>
      <w:pPr>
        <w:spacing w:after="120" w:line="276"/>
      </w:pPr>
      <w:r>
        <w:t xml:space="preserve">Gefittet wird das komplexe S21-Signal eines VNA mit der Polder-Suszeptibilität der ferromagnetischen Resonanz. Die Probe sitzt z. B. zwischen Helmholtzspulen; gemessen werden Real- und Imaginärteil des transmittierten Signals.</w:t>
      </w:r>
    </w:p>
    <w:p>
      <w:pPr>
        <w:spacing w:after="120" w:line="276"/>
      </w:pPr>
      <w:r>
        <w:t xml:space="preserve">Die im Mathematica-Notebook hinterlegten Fitfunktionen (übernommen aus der Habilitation M. Weiler, Gl. 2.7) gehen von der inversen Suszeptibilität aus. Für den Out-of-Plane-Fall (oop) lautet sie: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χ⁻¹_oop = 1/(µ0·γ) · [ [ γ(µ0H0 − µ0Meff) + iαω ,  −iω ] , [ iω ,  γ(µ0H0 − µ0Meff) + iαω ] ]</w:t>
      </w:r>
    </w:p>
    <w:p>
      <w:pPr>
        <w:spacing w:after="120" w:line="276"/>
      </w:pPr>
      <w:r>
        <w:t xml:space="preserve">Die eigentliche Fit-Suszeptibilität ergibt sich aus der Inversion (χ = Inverse[χ⁻¹]·Ms; im Notebook werden χ/Ms gefittet). Wichtig für die Portierung: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Einheiten-/µ0-Konvention: </w:t>
      </w:r>
      <w:r>
        <w:t xml:space="preserve">Im Skript sind die Felder konsequent als µ0H0 und µ0Meff (also in Tesla) parametrisiert, γ in rad·s⁻¹·T⁻¹. Der Vorfaktor 1/(µ0·γ) muss bei der Python-Implementierung exakt in dieser Konvention übernommen werden – Mischformen (H in A/m vs. µ0H in T) sind die wahrscheinlichste Fehlerquelle.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Resonanzlage: </w:t>
      </w:r>
      <w:r>
        <w:t xml:space="preserve">Die Resonanz zieht sich diagonal durch die Frequenz-Feld-Matrix („von oben nach unten“); pro Frequenz verschiebt sich das Resonanzfeld.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Peak/Dip-Verhalten: </w:t>
      </w:r>
      <w:r>
        <w:t xml:space="preserve">Die Linie erscheint je nach Frequenz mal als Peak, mal als Dip, mal gemischt (z. B. 10 GHz Dip, 11 GHz Dip-Peak). Ursache ist die frequenzabhängige komplexe Phase zwischen Real- und Imaginärteil.</w:t>
      </w:r>
    </w:p>
    <w:p>
      <w:pPr>
        <w:pStyle w:val="Heading1"/>
      </w:pPr>
      <w:r>
        <w:t xml:space="preserve">3. Datengrundlage und -struktur</w:t>
      </w:r>
    </w:p>
    <w:p>
      <w:pPr>
        <w:spacing w:after="120" w:line="276"/>
      </w:pPr>
      <w:r>
        <w:t xml:space="preserve">Laut Notiz von J. Weber liegen zur Beispielmessung zwei zusammengehörige TDMS-Dateien vor: das vollständige Rohdaten-Messfile und eine bereits sortierte (vorverarbeitete) Variante. Der Einlese-Layer muss beide Formate erkennen und auf eine gemeinsame interne Frequenz-Feld-Matrix (Re + Im) abbilden.</w:t>
      </w:r>
    </w:p>
    <w:p>
      <w:pPr>
        <w:pStyle w:val="Heading2"/>
      </w:pPr>
      <w:r>
        <w:t xml:space="preserve">3.1 Unsortiertes Messfile (Rohdaten, „alle Daten“)</w:t>
      </w:r>
    </w:p>
    <w:p>
      <w:pPr>
        <w:spacing w:after="120" w:line="276"/>
      </w:pPr>
      <w:r>
        <w:t xml:space="preserve">Beispiel: 2023-APR-14-Linescan-2D-map-oop--5K_1.615deg.tdms. Enthält zahlreiche Gruppen (Set.* mit Mess-Settings, Read.* mit Messwerten). Relevant sind: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Gruppe / Kanal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Inhalt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Gruppe / Kanal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Inhalt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Read.PNAX / Frequency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Frequenz in Hz (725 725 Punkte)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Read.PNAX / REALS21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Realteil S21 (725 725 Punkte)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Read.PNAX / IMAGinaryS21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Imaginärteil S21 (725 725 Punkte)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Read.Fieldbefore / IPS X-Field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Feld vor dem Sweep, in Tesla (725 Werte)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Read.Fieldafter / IPS X-Field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Feld nach dem Sweep, in Tesla (725 Werte)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Read.Temperature / LakeshoreTemperature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Probentemperatur (für Resonanz-vs-T)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Set.PNA / PointsLIN, Start/Stop Frq.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Mess-Settings: 1001 Punkte, 10 MHz – 50 GHz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1E8449" w:sz="18" w:space="8"/>
        </w:pBdr>
        <w:spacing w:after="120" w:before="40"/>
        <w:ind w:left="360"/>
      </w:pPr>
      <w:r>
        <w:rPr>
          <w:b/>
          <w:bCs/>
        </w:rPr>
        <w:t xml:space="preserve">Geklärt: </w:t>
      </w:r>
      <w:r>
        <w:t xml:space="preserve">Die Annahme „1001 Frequenzpunkte pro Feldwert“ ist für die Rohdaten korrekt. Pro Feldwert wird ein voller Frequenzsweep mit 1001 Punkten (10 MHz – 50 GHz) gemessen; bei 725 Feldwerten ergibt das 725 × 1001 = 725 725 Punkte. Der Sweep ist für jede Zeile identisch, die Daten lassen sich daher direkt zu einer (725 × 1001)-Matrix umformen (reshape). Das Feld läuft monoton (im Beispiel 4,42 → 2,31 T).</w:t>
      </w:r>
    </w:p>
    <w:p>
      <w:pPr>
        <w:pStyle w:val="Heading2"/>
      </w:pPr>
      <w:r>
        <w:t xml:space="preserve">3.2 Sortiertes File (vorverarbeitet)</w:t>
      </w:r>
    </w:p>
    <w:p>
      <w:pPr>
        <w:spacing w:after="120" w:line="276"/>
      </w:pPr>
      <w:r>
        <w:t xml:space="preserve">Beispiel: 2023-APR-14-Linescan-2D-map-oop--5K_1.615deg-sorted (1).tdms. Schlanke Struktur mit zwei Gruppen: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Gruppe / Kanal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Inhalt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Gruppe / Kanal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Inhalt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Field / Field-before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Magnetfeld vor dem Messpunkt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Field / Field-after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Magnetfeld nach dem Messpunkt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ZVB / frequency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Frequenz (in Hz, z. B. 5,009·10⁹)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ZVB / ReS21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Realteil des S21-Signals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ZVB / ImS21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Imaginärteil des S21-Signals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C0392B" w:sz="18" w:space="8"/>
        </w:pBdr>
        <w:spacing w:after="120" w:before="40"/>
        <w:ind w:left="360"/>
      </w:pPr>
      <w:r>
        <w:rPr>
          <w:b/>
          <w:bCs/>
        </w:rPr>
        <w:t xml:space="preserve">Achtung – abweichende Form: </w:t>
      </w:r>
      <w:r>
        <w:t xml:space="preserve">Im sortierten File ist die Punktzahl je Frequenz NICHT konstant. Die untersuchte Datei enthält 6 151 Zeilen, 90 eindeutige Frequenzen (5,0 – 49,5 GHz) und je Frequenz nur ca. 68–71 Feldpunkte (594 eindeutige Feldwerte) – die Daten sind offenbar bereits auf das Resonanzband reduziert/sortiert. Für dieses Format darf die Matrixform daher NICHT auf 1001 hart codiert werden, sondern muss aus den Daten abgeleitet werden.</w:t>
      </w:r>
    </w:p>
    <w:p>
      <w:pPr>
        <w:spacing w:after="120" w:line="276"/>
      </w:pPr>
      <w:r>
        <w:t xml:space="preserve">Daten werden typischerweise als Frequenz gegen Feld aufgetragen (Frequenz auf der y-Achse). Zum Aufbau der Matrix wird ggf. adjungiert/transponiert, sodass jede Zeile bzw. Spalte einer festen Frequenz entspricht. Die Felddaten liegen in beiden Formaten bereits in Tesla vor.</w:t>
      </w:r>
    </w:p>
    <w:p>
      <w:pPr>
        <w:pStyle w:val="Heading1"/>
      </w:pPr>
      <w:r>
        <w:t xml:space="preserve">4. Datenfluss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LabVIEW misst und exportiert die VNA-Rohdaten als (große) TDMS-Datei (vollständiges Messfile, 725 × 1001 Punkte).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Python liest die TDMS-Datei ein (Roh- oder sortiertes Format) und baut die Frequenz-Feld-Matrix für Real- und Imaginärteil auf.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In der interaktiven GUI wird entlang der Resonanz ein Band ausgeschnitten (siehe Abschnitt 5).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Die ausgeschnittenen Linescans werden mit der Polder-Suszeptibilität gefittet (automatisch, mit manueller Nachkorrektur).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Ergebnisse werden gespeichert: Rohdaten + Fitkurven als </w:t>
      </w:r>
      <w:r>
        <w:rPr>
          <w:b/>
          <w:bCs/>
        </w:rPr>
        <w:t xml:space="preserve">TDMS</w:t>
      </w:r>
      <w:r>
        <w:t xml:space="preserve"> (vorher/nachher, freq, re, im); Fitparameter und Kennzahlen als </w:t>
      </w:r>
      <w:r>
        <w:rPr>
          <w:b/>
          <w:bCs/>
        </w:rPr>
        <w:t xml:space="preserve">Excel/CSV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Aus den Fitergebnissen werden Übersichts- und Publikationsplots erzeugt (Resonanz gegen T, Resonanz gegen Frequenz, Kittel-/LLG-Fit).</w:t>
      </w:r>
    </w:p>
    <w:p>
      <w:pPr>
        <w:pStyle w:val="Heading1"/>
      </w:pPr>
      <w:r>
        <w:t xml:space="preserve">5. GUI-Konzept</w:t>
      </w:r>
    </w:p>
    <w:p>
      <w:pPr>
        <w:spacing w:after="120" w:line="276"/>
      </w:pPr>
      <w:r>
        <w:t xml:space="preserve">Die GUI bildet den interaktiven Teil ab, der heute in LabVIEW liegt. Stärke des Werkzeugs soll das händische Nachfitten sein.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Technologie: </w:t>
      </w:r>
      <w:r>
        <w:t xml:space="preserve">Umsetzung mit PyQt/PySide (mächtig genug und gut geeignet zum Einbetten von Matplotlib).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Bereichsauswahl: </w:t>
      </w:r>
      <w:r>
        <w:t xml:space="preserve">Zwei frei verschiebbare Geraden (links/rechts bzw. oben/unten) spannen ein Fenster auf. Damit wird ein Band um die Resonanzkurve ausgeschnitten (Resonanzbereich + umgebendes Band), direkt aus der großen Matrix.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Visualisierung: </w:t>
      </w:r>
      <w:r>
        <w:t xml:space="preserve">Real- und Imaginärteil werden gleichzeitig dargestellt und gefittet; die ausgeschnittenen Daten werden übersichtlich geplottet.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Manueller Eingriff: </w:t>
      </w:r>
      <w:r>
        <w:t xml:space="preserve">Da der automatische Fit nicht für alle Datensätze funktioniert, müssen die Grenzen je Frequenz von Hand angepasst werden können („rumfitten“), bis ein sauberer Fit vorliegt – analog zur bisherigen LabVIEW-Bedienung.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Rückgabe: </w:t>
      </w:r>
      <w:r>
        <w:t xml:space="preserve">Die (zugeschnittenen) Rohdaten werden wieder als TDMS-Datei übergeben (vorher/nachher).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Messrechner: </w:t>
      </w:r>
      <w:r>
        <w:t xml:space="preserve">Auf den Messrechner soll zugegriffen werden können; ein regelmäßiges, automatisches Einlesen ist nicht zwingend. Die Auswertung läuft auf einem separaten Auswerte-PC.</w:t>
      </w:r>
    </w:p>
    <w:p>
      <w:pPr>
        <w:pStyle w:val="Heading1"/>
      </w:pPr>
      <w:r>
        <w:t xml:space="preserve">6. Fit-Konzept</w:t>
      </w:r>
    </w:p>
    <w:p>
      <w:pPr>
        <w:spacing w:after="120" w:line="276"/>
      </w:pPr>
      <w:r>
        <w:t xml:space="preserve">Gefittet wird das komplexe Signal (Real- und Imaginärteil simultan) mit der Polder-Suszeptibilität. Als Verfahren kommt nichtlineares Least-Squares zum Einsatz; das Prinzip funktioniert bereits in LabVIEW und soll reproduziert werden.</w:t>
      </w:r>
    </w:p>
    <w:p>
      <w:pPr>
        <w:spacing w:after="120" w:line="276"/>
      </w:pPr>
      <w:r>
        <w:t xml:space="preserve">Modellbestandteile pro Linescan: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Komplexer Vorfaktor A: </w:t>
      </w:r>
      <w:r>
        <w:t xml:space="preserve">wird mitgefittet, um Amplitude und Phase korrekt zu skalieren bzw. „richtig herum“ zu drehen (Real-/Imaginärteil sind über die Phase aneinander gebunden). Er fängt das frequenzabhängige Peak/Dip-Verhalten ab.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Offsets: </w:t>
      </w:r>
      <w:r>
        <w:t xml:space="preserve">je ein konstanter Offset für Real- und Imaginärteil.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Gradient: </w:t>
      </w:r>
      <w:r>
        <w:t xml:space="preserve">leichte lineare Steigung entlang des Feldes (feldabhängiger Hintergrund), getrennt für Real und Imag.</w:t>
      </w:r>
    </w:p>
    <w:p>
      <w:pPr>
        <w:spacing w:after="60"/>
      </w:pPr>
      <w:r>
        <w:t xml:space="preserve"/>
      </w:r>
    </w:p>
    <w:p>
      <w:pPr>
        <w:pBdr>
          <w:left w:val="single" w:color="C0392B" w:sz="18" w:space="8"/>
        </w:pBdr>
        <w:spacing w:after="120" w:before="40"/>
        <w:ind w:left="360"/>
      </w:pPr>
      <w:r>
        <w:rPr>
          <w:b/>
          <w:bCs/>
        </w:rPr>
        <w:t xml:space="preserve">Offener technischer Punkt: </w:t>
      </w:r>
      <w:r>
        <w:t xml:space="preserve">Die Startwerte für den komplexen Vorfaktor A sind heikel. Da A die frequenzabhängige Phase trägt, führt ein fester Startwert über alle Frequenzen leicht in lokale Minima (Peak/Dip-Verwechslung). Empfehlung: A-Startwert je Frequenz aus dem gemessenen Signal schätzen (z. B. Amplitude aus max−min, Phase aus dem Verhältnis Re/Im am Resonanzpunkt).</w:t>
      </w:r>
    </w:p>
    <w:p>
      <w:pPr>
        <w:pStyle w:val="Heading2"/>
      </w:pPr>
      <w:r>
        <w:t xml:space="preserve">AutoWindows / automatischer Ablauf</w:t>
      </w:r>
    </w:p>
    <w:p>
      <w:pPr>
        <w:spacing w:after="120" w:line="276"/>
      </w:pPr>
      <w:r>
        <w:t xml:space="preserve">Der Prozess sucht die Resonanz automatisch: Magnitude berechnen, Maximum/Minimum bestimmen, daraus eine horizontale Linie bei der jeweiligen Frequenz setzen („AutoWindows“). Real- und Imaginärteil werden als Rohdaten gespeichert. Wo die Automatik versagt, wird manuell nachjustiert.</w:t>
      </w:r>
    </w:p>
    <w:p>
      <w:pPr>
        <w:pStyle w:val="Heading1"/>
      </w:pPr>
      <w:r>
        <w:t xml:space="preserve">7. Fitparameter und Ausgabedaten</w:t>
      </w:r>
    </w:p>
    <w:p>
      <w:pPr>
        <w:spacing w:after="120" w:line="276"/>
      </w:pPr>
      <w:r>
        <w:t xml:space="preserve">Alle Fitparameter, Fitkurven und Qualitätskennzahlen werden gespeichert. Es sollen sowohl die Plots selbst als auch die zugrunde liegenden Daten ausgegeben werden, damit Plots auch nachträglich selbst erstellt werden können.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Größe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Anmerkung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Größe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Anmerkung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Resonanzfeld H_res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physikalischer Hauptparameter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Linienbreite ΔH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aus der Dämpfung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Komplexer Vorfaktor 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Amplitude + Phase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Phasenwinkel φ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frequenzabhängig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Offsets (Re, Im)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Hintergrund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Steigungen / Slope (Re, Im)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feldabhängiger Gradient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R² (r square)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Fitgüte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Unsicherheiten / Fehler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zu allen relevanten Parametern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Fit Re / Fit Im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Fitkurven – ausdrücklich wichtig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Rohdaten zum Fit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zur visuellen Kontrolle mitgespeichert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Formate: Rohdaten und Fitkurven als TDMS (vorher/nachher, freq, re, im); Fitparameter und Kennzahlen als Excel/CSV.</w:t>
      </w:r>
    </w:p>
    <w:p>
      <w:pPr>
        <w:pStyle w:val="Heading1"/>
      </w:pPr>
      <w:r>
        <w:t xml:space="preserve">8. Fehlerbehandlung und Korrekturlauf</w:t>
      </w:r>
    </w:p>
    <w:p>
      <w:pPr>
        <w:spacing w:after="120" w:line="276"/>
      </w:pPr>
      <w:r>
        <w:t xml:space="preserve">Bei Fehlern soll man im Programm schrittweise zurückgehen können. Notiert wurden u. a. die Marker „15, 15/1/2“ sowie „Continue – nochmal zurück“.</w:t>
      </w:r>
    </w:p>
    <w:p>
      <w:pPr>
        <w:pBdr>
          <w:left w:val="single" w:color="B7950B" w:sz="18" w:space="8"/>
        </w:pBdr>
        <w:spacing w:after="120" w:before="40"/>
        <w:ind w:left="360"/>
      </w:pPr>
      <w:r>
        <w:rPr>
          <w:b/>
          <w:bCs/>
        </w:rPr>
        <w:t xml:space="preserve">Zu klären: </w:t>
      </w:r>
      <w:r>
        <w:t xml:space="preserve">Bedeutung der Codes „15“ und „15/1/2“ (Fehlercodes? Datensatz-/Iterationszähler?) bei Johannes nachfragen.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Nach einem Fehlfit: Nutzer kann zurückgehen, Grenzen anpassen und erneut fitten („händisch rumspielen“).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Einzelne Datensätze müssen nachträglich neu gefittet werden können.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Der Korrekturlauf ist iterativ: continue / zurück / nochmal fitten, bis der Fehler unterboten ist.</w:t>
      </w:r>
    </w:p>
    <w:p>
      <w:pPr>
        <w:pStyle w:val="Heading1"/>
      </w:pPr>
      <w:r>
        <w:t xml:space="preserve">9. Übergreifende Auswertung und Publikationsplots</w:t>
      </w:r>
    </w:p>
    <w:p>
      <w:pPr>
        <w:spacing w:after="120" w:line="276"/>
      </w:pPr>
      <w:r>
        <w:t xml:space="preserve">Nach Abschluss der Einzelfits werden alle Datensätze gesammelt geplottet. Verbindlich gefordert: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Resonanz gegen Temperatur (Resonanz vs. T).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Resonanz gegen Frequenz (Resonanz vs. f). – zwei separate Plots.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Kittel-Fit: </w:t>
      </w:r>
      <w:r>
        <w:t xml:space="preserve">nach den Einzelfits erneut auswählbar.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LLG-Fit: </w:t>
      </w:r>
      <w:r>
        <w:t xml:space="preserve">Landau-Lifshitz-Gilbert-Auswertung als zusätzliche, verbindliche Auswertung.</w:t>
      </w:r>
    </w:p>
    <w:p>
      <w:pPr>
        <w:spacing w:after="120" w:line="276"/>
      </w:pPr>
      <w:r>
        <w:t xml:space="preserve">Mittelfristig sollen daraus Publikationsplots entstehen; die Datenausgabe ist so anzulegen, dass Plots auch extern reproduzierbar sind.</w:t>
      </w:r>
    </w:p>
    <w:p>
      <w:pPr>
        <w:pStyle w:val="Heading1"/>
      </w:pPr>
      <w:r>
        <w:t xml:space="preserve">10. Offene Punkte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Nr.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Offener Punkt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Nr.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Offener Punkt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Bedeutung der Fehlercodes „15“ und „15/1/2“ klären.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µ0-/Einheiten-Konvention der Suszeptibilität gegen das Mathematica-Notebook gegenprüfen (µ0H0, µ0Meff in Tesla; Vorfaktor 1/(µ0·γ)).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Startwert-Strategie für den komplexen Vorfaktor A je Frequenz festlegen.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Welche LabVIEW-Optimierung wird genau verwendet (bestätigt: Least-Squares; Variante / Solver offen)?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Genauer Umfang „Messrechner-Zugriff“ (nur Lesen vs. Steuerung) abstimmen.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Umfang einer möglichen funktionalen Erweiterung über die reine Portierung hinaus definieren.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Sortier-/Vorverarbeitungsschritt (Rohfile → sorted) dokumentieren: nach welchem Kriterium wird das Resonanzband im sorted-File ausgewählt?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top w:val="single" w:color="2E5AAC" w:sz="6" w:space="6"/>
        </w:pBdr>
        <w:spacing w:before="200"/>
      </w:pPr>
      <w:r>
        <w:rPr>
          <w:i/>
          <w:iCs/>
          <w:color w:val="666666"/>
          <w:sz w:val="18"/>
          <w:szCs w:val="18"/>
        </w:rPr>
        <w:t xml:space="preserve">Protokoll auf Basis handschriftlicher Notizen rekonstruiert; offene Punkte in Abschnitt 10 sind vor Umsetzungsbeginn mit J. Weber abzustimmen.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von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360"/>
      </w:tabs>
    </w:pPr>
    <w:r>
      <w:rPr>
        <w:color w:val="666666"/>
        <w:sz w:val="16"/>
        <w:szCs w:val="16"/>
      </w:rPr>
      <w:t xml:space="preserve">FMR-Auswertung – Python-Portierung</w:t>
    </w:r>
    <w:r>
      <w:rPr>
        <w:color w:val="666666"/>
        <w:sz w:val="16"/>
        <w:szCs w:val="16"/>
      </w:rPr>
      <w:t xml:space="preserve">	08.05.2026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E5AA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1F3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2026-06-17T12:59:45.850Z</dcterms:created>
  <dcterms:modified xsi:type="dcterms:W3CDTF">2026-06-17T12:59:45.864Z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