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sz w:val="28"/>
          <w:szCs w:val="28"/>
          <w:rtl w:val="0"/>
        </w:rPr>
        <w:t xml:space="preserve">Estrategia de FitProject: Seguridad y Privacidad</w:t>
      </w:r>
    </w:p>
    <w:p w:rsidR="00000000" w:rsidDel="00000000" w:rsidP="00000000" w:rsidRDefault="00000000" w:rsidRPr="00000000" w14:paraId="00000002">
      <w:pPr>
        <w:jc w:val="center"/>
        <w:rPr>
          <w:sz w:val="28"/>
          <w:szCs w:val="28"/>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La protección de datos en nuestro ecosistema digital se fundamenta si hablamos en un enfoque de Defensa en Profundidad, ya que aseguramos que la información de los socios inversores y el inventario industrial estén protegidos en todas las capas del sistema. </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ind w:left="0" w:firstLine="0"/>
        <w:rPr>
          <w:sz w:val="24"/>
          <w:szCs w:val="24"/>
        </w:rPr>
      </w:pPr>
      <w:r w:rsidDel="00000000" w:rsidR="00000000" w:rsidRPr="00000000">
        <w:rPr>
          <w:sz w:val="24"/>
          <w:szCs w:val="24"/>
          <w:rtl w:val="0"/>
        </w:rPr>
        <w:t xml:space="preserve">1. Protección de la Información (Capa de Aplicación y Transporte) </w:t>
      </w:r>
    </w:p>
    <w:p w:rsidR="00000000" w:rsidDel="00000000" w:rsidP="00000000" w:rsidRDefault="00000000" w:rsidRPr="00000000" w14:paraId="00000006">
      <w:pPr>
        <w:ind w:left="0" w:firstLine="0"/>
        <w:rPr>
          <w:sz w:val="24"/>
          <w:szCs w:val="24"/>
        </w:rPr>
      </w:pPr>
      <w:r w:rsidDel="00000000" w:rsidR="00000000" w:rsidRPr="00000000">
        <w:rPr>
          <w:rtl w:val="0"/>
        </w:rPr>
      </w:r>
    </w:p>
    <w:p w:rsidR="00000000" w:rsidDel="00000000" w:rsidP="00000000" w:rsidRDefault="00000000" w:rsidRPr="00000000" w14:paraId="00000007">
      <w:pPr>
        <w:numPr>
          <w:ilvl w:val="0"/>
          <w:numId w:val="4"/>
        </w:numPr>
        <w:ind w:left="720" w:hanging="360"/>
        <w:rPr>
          <w:sz w:val="24"/>
          <w:szCs w:val="24"/>
        </w:rPr>
      </w:pPr>
      <w:r w:rsidDel="00000000" w:rsidR="00000000" w:rsidRPr="00000000">
        <w:rPr>
          <w:sz w:val="24"/>
          <w:szCs w:val="24"/>
          <w:rtl w:val="0"/>
        </w:rPr>
        <w:t xml:space="preserve">Autenticación y Autorización (JWT): Implementación de JSON Web Tokens (JWT) para la gestión de sesiones. Cada petición a los servicios críticos de inversión requiere un token firmado que valida la identidad del usuario y sus permisos jerárquicos, denegando automáticamente cualquier intento de acceso no autorizado con estado 403 Forbidden. </w:t>
      </w:r>
    </w:p>
    <w:p w:rsidR="00000000" w:rsidDel="00000000" w:rsidP="00000000" w:rsidRDefault="00000000" w:rsidRPr="00000000" w14:paraId="00000008">
      <w:pPr>
        <w:ind w:left="0" w:firstLine="0"/>
        <w:rPr>
          <w:sz w:val="24"/>
          <w:szCs w:val="24"/>
        </w:rPr>
      </w:pPr>
      <w:r w:rsidDel="00000000" w:rsidR="00000000" w:rsidRPr="00000000">
        <w:rPr>
          <w:rtl w:val="0"/>
        </w:rPr>
      </w:r>
    </w:p>
    <w:p w:rsidR="00000000" w:rsidDel="00000000" w:rsidP="00000000" w:rsidRDefault="00000000" w:rsidRPr="00000000" w14:paraId="00000009">
      <w:pPr>
        <w:numPr>
          <w:ilvl w:val="0"/>
          <w:numId w:val="4"/>
        </w:numPr>
        <w:ind w:left="720" w:hanging="360"/>
        <w:rPr>
          <w:sz w:val="24"/>
          <w:szCs w:val="24"/>
        </w:rPr>
      </w:pPr>
      <w:r w:rsidDel="00000000" w:rsidR="00000000" w:rsidRPr="00000000">
        <w:rPr>
          <w:sz w:val="24"/>
          <w:szCs w:val="24"/>
          <w:rtl w:val="0"/>
        </w:rPr>
        <w:t xml:space="preserve">Cifrado en Tránsito: Todas las comunicaciones entre el Frontend (Next.js) y el Backend (Spring Boot) se canalizan bajo el protocolo HTTPS/TLS, asegurando que los datos no puedan ser interceptados en la red.</w:t>
      </w:r>
    </w:p>
    <w:p w:rsidR="00000000" w:rsidDel="00000000" w:rsidP="00000000" w:rsidRDefault="00000000" w:rsidRPr="00000000" w14:paraId="0000000A">
      <w:pPr>
        <w:ind w:left="0" w:firstLine="0"/>
        <w:rPr>
          <w:sz w:val="24"/>
          <w:szCs w:val="24"/>
        </w:rPr>
      </w:pPr>
      <w:r w:rsidDel="00000000" w:rsidR="00000000" w:rsidRPr="00000000">
        <w:rPr>
          <w:rtl w:val="0"/>
        </w:rPr>
      </w:r>
    </w:p>
    <w:p w:rsidR="00000000" w:rsidDel="00000000" w:rsidP="00000000" w:rsidRDefault="00000000" w:rsidRPr="00000000" w14:paraId="0000000B">
      <w:pPr>
        <w:ind w:left="0" w:firstLine="0"/>
        <w:rPr>
          <w:sz w:val="24"/>
          <w:szCs w:val="24"/>
        </w:rPr>
      </w:pPr>
      <w:r w:rsidDel="00000000" w:rsidR="00000000" w:rsidRPr="00000000">
        <w:rPr>
          <w:sz w:val="24"/>
          <w:szCs w:val="24"/>
          <w:rtl w:val="0"/>
        </w:rPr>
        <w:t xml:space="preserve">2. Manejo de Datos Sensibles </w:t>
      </w:r>
    </w:p>
    <w:p w:rsidR="00000000" w:rsidDel="00000000" w:rsidP="00000000" w:rsidRDefault="00000000" w:rsidRPr="00000000" w14:paraId="0000000C">
      <w:pPr>
        <w:ind w:left="0" w:firstLine="0"/>
        <w:rPr>
          <w:sz w:val="24"/>
          <w:szCs w:val="24"/>
        </w:rPr>
      </w:pPr>
      <w:r w:rsidDel="00000000" w:rsidR="00000000" w:rsidRPr="00000000">
        <w:rPr>
          <w:rtl w:val="0"/>
        </w:rPr>
      </w:r>
    </w:p>
    <w:p w:rsidR="00000000" w:rsidDel="00000000" w:rsidP="00000000" w:rsidRDefault="00000000" w:rsidRPr="00000000" w14:paraId="0000000D">
      <w:pPr>
        <w:numPr>
          <w:ilvl w:val="0"/>
          <w:numId w:val="3"/>
        </w:numPr>
        <w:ind w:left="720" w:hanging="360"/>
        <w:rPr>
          <w:sz w:val="24"/>
          <w:szCs w:val="24"/>
          <w:u w:val="none"/>
        </w:rPr>
      </w:pPr>
      <w:r w:rsidDel="00000000" w:rsidR="00000000" w:rsidRPr="00000000">
        <w:rPr>
          <w:sz w:val="24"/>
          <w:szCs w:val="24"/>
          <w:rtl w:val="0"/>
        </w:rPr>
        <w:t xml:space="preserve">Principio de Privilegio Mínimo: Los controladores de API exponen solo la información necesaria del modelo. Los campos sensibles (como contraseñas, hashes de seguridad o datos financieros privados) están marcados con anotaciones @JsonIgnore en las clases Entity de Java, evitando que se expongan accidentalmente en las respuestas JSON. </w:t>
      </w:r>
    </w:p>
    <w:p w:rsidR="00000000" w:rsidDel="00000000" w:rsidP="00000000" w:rsidRDefault="00000000" w:rsidRPr="00000000" w14:paraId="0000000E">
      <w:pPr>
        <w:ind w:left="0" w:firstLine="0"/>
        <w:rPr>
          <w:sz w:val="24"/>
          <w:szCs w:val="24"/>
        </w:rPr>
      </w:pPr>
      <w:r w:rsidDel="00000000" w:rsidR="00000000" w:rsidRPr="00000000">
        <w:rPr>
          <w:rtl w:val="0"/>
        </w:rPr>
      </w:r>
    </w:p>
    <w:p w:rsidR="00000000" w:rsidDel="00000000" w:rsidP="00000000" w:rsidRDefault="00000000" w:rsidRPr="00000000" w14:paraId="0000000F">
      <w:pPr>
        <w:numPr>
          <w:ilvl w:val="0"/>
          <w:numId w:val="3"/>
        </w:numPr>
        <w:ind w:left="720" w:hanging="360"/>
        <w:rPr>
          <w:sz w:val="24"/>
          <w:szCs w:val="24"/>
          <w:u w:val="none"/>
        </w:rPr>
      </w:pPr>
      <w:r w:rsidDel="00000000" w:rsidR="00000000" w:rsidRPr="00000000">
        <w:rPr>
          <w:sz w:val="24"/>
          <w:szCs w:val="24"/>
          <w:rtl w:val="0"/>
        </w:rPr>
        <w:t xml:space="preserve">Validación Estricta: Implementación de restricciones de validación a nivel de Backend (@NotNull, @Min(0)), evitando que datos corruptos, vacíos o maliciosos impacten la integridad de la base de datos PostgreSQL.</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3. Cumplimiento de Normativas </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numPr>
          <w:ilvl w:val="0"/>
          <w:numId w:val="2"/>
        </w:numPr>
        <w:ind w:left="720" w:hanging="360"/>
        <w:rPr>
          <w:sz w:val="24"/>
          <w:szCs w:val="24"/>
          <w:u w:val="none"/>
        </w:rPr>
      </w:pPr>
      <w:r w:rsidDel="00000000" w:rsidR="00000000" w:rsidRPr="00000000">
        <w:rPr>
          <w:sz w:val="24"/>
          <w:szCs w:val="24"/>
          <w:rtl w:val="0"/>
        </w:rPr>
        <w:t xml:space="preserve">Integridad Referencial y ACID: El uso del motor de base de datos PostgreSQL garantiza la atomicidad y consistencia de las transacciones financieras (propiedades ACID), asegurando que, ante cualquier fallo, el sistema mantenga un estado financiero íntegro y sin registros duplicados o inconsistentes. </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Auditoría y Logback: Utilización de herramientas de logeo profesional (Logback) configuradas para monitoreo, lo que permite realizar trazabilidad sobre qué usuario realizó qué cambio en los registros de inversión, cumpliendo con los estándares básicos de auditoría técnica.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