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bCs w:val="1"/>
                <w:sz w:val="52"/>
                <w:szCs w:val="52"/>
                <w:rtl w:val="0"/>
              </w:rPr>
              <w:t xml:space="preserve">ACTA 01.02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27-03-2026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Participantes ausentes</w:t>
            </w:r>
          </w:p>
        </w:tc>
      </w:tr>
      <w:tr>
        <w:trPr>
          <w:cantSplit w:val="0"/>
          <w:trHeight w:val="237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Cesar Maldonado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Vania Carvajal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Vicente Bravo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Anuncios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-Se avanza en la redacción del informe del proyecto.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-Se elimina la modalidad de compra de tickets.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-Se elimina modelado en 3D.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-Se avanza en el diagrama de solución (vista componentes).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-Se centra el proyecto en la construcción del gimnasio en container, para el cambio de estado y proyecciones de avances.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Debates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-Vistas de los usuarios.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-Diagramas.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-Retroalimentación del profesor.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Acuerdos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-Avanzar en el proyecto, la creación de los diagramas y el informe.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-Determinar el Valor agregado que el proyecto tiene.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-Investigar sobre las herramientas a utilizar y justificarlas.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eaeaea" w:val="clear"/>
    </w:tc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UM2bD9oDBmQlGo15tUmWyusQ9w==">CgMxLjA4AHIhMXdndkFWRW4tcTRwNXB2MzNYYTBYWDZ6RC03bDJmRGZH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2024-06-10T06:55:00Z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