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sz w:val="22"/>
          <w:szCs w:val="22"/>
        </w:rPr>
        <w:t xml:space="preserve"/>
      </w:r>
    </w:p>
    <w:p>
      <w:pPr>
        <w:spacing w:after="80" w:before="0"/>
        <w:jc w:val="center"/>
      </w:pPr>
      <w:r>
        <w:rPr>
          <w:rFonts w:ascii="Arial" w:cs="Arial" w:eastAsia="Arial" w:hAnsi="Arial"/>
          <w:b/>
          <w:bCs/>
          <w:color w:val="1A3C5E"/>
          <w:sz w:val="72"/>
          <w:szCs w:val="72"/>
        </w:rPr>
        <w:t xml:space="preserve">UWAZI</w:t>
      </w:r>
    </w:p>
    <w:p>
      <w:pPr>
        <w:spacing w:after="200" w:before="0"/>
        <w:jc w:val="center"/>
      </w:pPr>
      <w:r>
        <w:rPr>
          <w:rFonts w:ascii="Arial" w:cs="Arial" w:eastAsia="Arial" w:hAnsi="Arial"/>
          <w:b w:val="false"/>
          <w:bCs w:val="false"/>
          <w:color w:val="2E7D32"/>
          <w:sz w:val="32"/>
          <w:szCs w:val="32"/>
        </w:rPr>
        <w:t xml:space="preserve">Public Projects Accountability System</w:t>
      </w:r>
    </w:p>
    <w:p>
      <w:pPr>
        <w:pBdr>
          <w:top w:val="single" w:color="1A3C5E" w:sz="6" w:space="8"/>
          <w:bottom w:val="single" w:color="1A3C5E" w:sz="6" w:space="8"/>
        </w:pBdr>
        <w:spacing w:after="160" w:before="160"/>
        <w:jc w:val="center"/>
      </w:pPr>
      <w:r>
        <w:rPr>
          <w:rFonts w:ascii="Arial" w:cs="Arial" w:eastAsia="Arial" w:hAnsi="Arial"/>
          <w:b/>
          <w:bCs/>
          <w:color w:val="1A3C5E"/>
          <w:sz w:val="28"/>
          <w:szCs w:val="28"/>
        </w:rPr>
        <w:t xml:space="preserve">System Design &amp; Proposal Document</w:t>
      </w:r>
    </w:p>
    <w:p>
      <w:pPr>
        <w:spacing w:after="100" w:before="0"/>
      </w:pPr>
      <w:r>
        <w:rPr>
          <w:sz w:val="22"/>
          <w:szCs w:val="22"/>
        </w:rPr>
        <w:t xml:space="preserve"/>
      </w:r>
    </w:p>
    <w:p>
      <w:pPr>
        <w:spacing w:after="60" w:before="80"/>
        <w:jc w:val="center"/>
      </w:pPr>
      <w:r>
        <w:rPr>
          <w:rFonts w:ascii="Arial" w:cs="Arial" w:eastAsia="Arial" w:hAnsi="Arial"/>
          <w:i/>
          <w:iCs/>
          <w:color w:val="666666"/>
          <w:sz w:val="24"/>
          <w:szCs w:val="24"/>
        </w:rPr>
        <w:t xml:space="preserve">Transforming Kenya's Public Project Monitoring Through</w:t>
      </w:r>
    </w:p>
    <w:p>
      <w:pPr>
        <w:spacing w:after="200" w:before="0"/>
        <w:jc w:val="center"/>
      </w:pPr>
      <w:r>
        <w:rPr>
          <w:rFonts w:ascii="Arial" w:cs="Arial" w:eastAsia="Arial" w:hAnsi="Arial"/>
          <w:b/>
          <w:bCs/>
          <w:color w:val="2563A8"/>
          <w:sz w:val="24"/>
          <w:szCs w:val="24"/>
        </w:rPr>
        <w:t xml:space="preserve">Radical Transparency, Citizen Participation &amp; Digital Accountability</w:t>
      </w:r>
    </w:p>
    <w:p>
      <w:pPr>
        <w:spacing w:after="200" w:before="0"/>
      </w:pPr>
      <w:r>
        <w:rPr>
          <w:sz w:val="22"/>
          <w:szCs w:val="22"/>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 Initial Proposal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Audience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Stakeholders, Development Partners, Civil Society</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Classification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Confidential — For Review Purposes</w:t>
            </w:r>
          </w:p>
        </w:tc>
      </w:tr>
    </w:tbl>
    <w:p>
      <w:pPr>
        <w:spacing w:after="3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1. Executive Summary</w:t>
      </w:r>
    </w:p>
    <w:p>
      <w:pPr>
        <w:spacing w:after="140" w:before="100"/>
        <w:jc w:val="both"/>
      </w:pPr>
      <w:r>
        <w:rPr>
          <w:rFonts w:ascii="Arial" w:cs="Arial" w:eastAsia="Arial" w:hAnsi="Arial"/>
          <w:b w:val="false"/>
          <w:bCs w:val="false"/>
          <w:i w:val="false"/>
          <w:iCs w:val="false"/>
          <w:color w:val="222222"/>
          <w:sz w:val="22"/>
          <w:szCs w:val="22"/>
        </w:rPr>
        <w:t xml:space="preserve">Kenya has made strides in making public project information accessible through platforms such as deliver.co.ke. However, these platforms remain largely passive information-display tools that fall short of the transparency and civic engagement standards demanded by Kenya's Constitution of 2010, the Public Finance Management Act, and international best practices for open government.</w:t>
      </w:r>
    </w:p>
    <w:p>
      <w:pPr>
        <w:spacing w:after="100" w:before="0"/>
      </w:pPr>
      <w:r>
        <w:rPr>
          <w:sz w:val="22"/>
          <w:szCs w:val="22"/>
        </w:rPr>
        <w:t xml:space="preserve"/>
      </w:r>
    </w:p>
    <w:p>
      <w:pPr>
        <w:spacing w:after="140" w:before="100"/>
        <w:jc w:val="both"/>
      </w:pPr>
      <w:r>
        <w:rPr>
          <w:rFonts w:ascii="Arial" w:cs="Arial" w:eastAsia="Arial" w:hAnsi="Arial"/>
          <w:b w:val="false"/>
          <w:bCs w:val="false"/>
          <w:i w:val="false"/>
          <w:iCs w:val="false"/>
          <w:color w:val="222222"/>
          <w:sz w:val="22"/>
          <w:szCs w:val="22"/>
        </w:rPr>
        <w:t xml:space="preserve">This document proposes UWAZI — derived from the Kiswahili word for transparency — a next-generation, citizen-centric Public Projects Accountability System designed to replace the current model with one that is interactive, granular, verifiable, and inclusive. UWAZI will enable citizens to actively monitor project progress, validate work on the ground, track every shilling of public funds, and hold contractors and government agencies accountable.</w:t>
      </w:r>
    </w:p>
    <w:p>
      <w:pPr>
        <w:spacing w:after="100" w:before="0"/>
      </w:pPr>
      <w:r>
        <w:rPr>
          <w:sz w:val="22"/>
          <w:szCs w:val="22"/>
        </w:rPr>
        <w:t xml:space="preserve"/>
      </w:r>
    </w:p>
    <w:p>
      <w:pPr>
        <w:spacing w:after="140" w:before="100"/>
        <w:jc w:val="both"/>
      </w:pPr>
      <w:r>
        <w:rPr>
          <w:rFonts w:ascii="Arial" w:cs="Arial" w:eastAsia="Arial" w:hAnsi="Arial"/>
          <w:b w:val="false"/>
          <w:bCs w:val="false"/>
          <w:i w:val="false"/>
          <w:iCs w:val="false"/>
          <w:color w:val="222222"/>
          <w:sz w:val="22"/>
          <w:szCs w:val="22"/>
        </w:rPr>
        <w:t xml:space="preserve">The system is designed for deployment at both the national and county levels, supporting Kenya's devolution framework and ensuring that communities at the ward level can engage meaningfully with the projects funded by their taxes.</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2. Problem Statement: Failures of the Current System</w:t>
      </w:r>
    </w:p>
    <w:p>
      <w:pPr>
        <w:spacing w:after="140" w:before="100"/>
        <w:jc w:val="both"/>
      </w:pPr>
      <w:r>
        <w:rPr>
          <w:rFonts w:ascii="Arial" w:cs="Arial" w:eastAsia="Arial" w:hAnsi="Arial"/>
          <w:b w:val="false"/>
          <w:bCs w:val="false"/>
          <w:i w:val="false"/>
          <w:iCs w:val="false"/>
          <w:color w:val="222222"/>
          <w:sz w:val="22"/>
          <w:szCs w:val="22"/>
        </w:rPr>
        <w:t xml:space="preserve">Kenya has invested significantly in public infrastructure under successive administrations, yet accountability in project implementation remains a persistent challenge. The deliver.co.ke platform — and similar government portals — represent a first step toward transparency but embody several structural and functional weaknesses that limit their effectiveness.</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2.1 Passive Information Architecture</w:t>
      </w:r>
    </w:p>
    <w:p>
      <w:pPr>
        <w:spacing w:after="140" w:before="100"/>
        <w:jc w:val="both"/>
      </w:pPr>
      <w:r>
        <w:rPr>
          <w:rFonts w:ascii="Arial" w:cs="Arial" w:eastAsia="Arial" w:hAnsi="Arial"/>
          <w:b w:val="false"/>
          <w:bCs w:val="false"/>
          <w:i w:val="false"/>
          <w:iCs w:val="false"/>
          <w:color w:val="222222"/>
          <w:sz w:val="22"/>
          <w:szCs w:val="22"/>
        </w:rPr>
        <w:t xml:space="preserve">The existing system operates on a one-way information broadcast model. Citizens can view projects listed on the portal but cannot interact with, question, or respond to the information presented. There is no mechanism for public comment, community feedback, or raising concerns about projects affecting local communities. This passive model fundamentally contradicts the spirit of participatory governance envisioned in Article 10 of the Constitution, which mandates public participation as a national value.</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Key Weaknesses — Citizen Engagement</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comment or feedback functionality on any project page</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mechanism to report stalled, substandard, or fraudulent projects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Citizens cannot verify or dispute information displayed on the platform</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user accounts or identity verification for community members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Persons with disabilities have no accessible interface or alternative formats</w:t>
            </w:r>
          </w:p>
        </w:tc>
      </w:tr>
    </w:tbl>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2.2 Opaque Budget and Financial Information</w:t>
      </w:r>
    </w:p>
    <w:p>
      <w:pPr>
        <w:spacing w:after="140" w:before="100"/>
        <w:jc w:val="both"/>
      </w:pPr>
      <w:r>
        <w:rPr>
          <w:rFonts w:ascii="Arial" w:cs="Arial" w:eastAsia="Arial" w:hAnsi="Arial"/>
          <w:b w:val="false"/>
          <w:bCs w:val="false"/>
          <w:i w:val="false"/>
          <w:iCs w:val="false"/>
          <w:color w:val="222222"/>
          <w:sz w:val="22"/>
          <w:szCs w:val="22"/>
        </w:rPr>
        <w:t xml:space="preserve">Perhaps the most critical failure of the current system is its treatment of project finances. While total budget figures are sometimes displayed, there is no granular breakdown of how funds are allocated across phases, activities, procurement, labour, materials, and administrative costs. Citizens and oversight bodies are left unable to determine whether money is being spent appropriately or being siphoned through corruption and inflated invoices.</w:t>
      </w:r>
    </w:p>
    <w:p>
      <w:pPr>
        <w:spacing w:after="100" w:before="0"/>
      </w:pPr>
      <w:r>
        <w:rPr>
          <w:sz w:val="22"/>
          <w:szCs w:val="22"/>
        </w:rPr>
        <w:t xml:space="preserve"/>
      </w:r>
    </w:p>
    <w:p>
      <w:pPr>
        <w:spacing w:after="140" w:before="100"/>
        <w:jc w:val="both"/>
      </w:pPr>
      <w:r>
        <w:rPr>
          <w:rFonts w:ascii="Arial" w:cs="Arial" w:eastAsia="Arial" w:hAnsi="Arial"/>
          <w:b w:val="false"/>
          <w:bCs w:val="false"/>
          <w:i w:val="false"/>
          <w:iCs w:val="false"/>
          <w:color w:val="222222"/>
          <w:sz w:val="22"/>
          <w:szCs w:val="22"/>
        </w:rPr>
        <w:t xml:space="preserve">For example, a road project worth KES 500 million may appear as a single line item. Citizens cannot see how much was paid to the contractor in advance, how much has been disbursed at each milestone, or whether disbursements match the actual state of work on the ground. This information vacuum enables ghost projects, inflated contracts, and duplicate billing.</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Key Weaknesses — Financial Transparency</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line-item budget breakdowns (materials, labour, overhead, profit margins)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Disbursement schedules are not disclosed to the public</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tracking of actual expenditure versus budgeted amounts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disclosure of who receives payments (contractors, sub-contractors, suppliers)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No mechanism to flag suspicious financial patterns or anomalies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Variation orders and contract amendments are not publicly disclosed</w:t>
            </w:r>
          </w:p>
        </w:tc>
      </w:tr>
    </w:tbl>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2.3 No Verification or Evidence Mechanisms</w:t>
      </w:r>
    </w:p>
    <w:p>
      <w:pPr>
        <w:spacing w:after="140" w:before="100"/>
        <w:jc w:val="both"/>
      </w:pPr>
      <w:r>
        <w:rPr>
          <w:rFonts w:ascii="Arial" w:cs="Arial" w:eastAsia="Arial" w:hAnsi="Arial"/>
          <w:b w:val="false"/>
          <w:bCs w:val="false"/>
          <w:i w:val="false"/>
          <w:iCs w:val="false"/>
          <w:color w:val="222222"/>
          <w:sz w:val="22"/>
          <w:szCs w:val="22"/>
        </w:rPr>
        <w:t xml:space="preserve">The information on existing platforms is entirely self-reported by government agencies and contractors. There is no independent verification layer and no way for citizens on the ground — who can physically see the state of a project — to contribute evidence. This creates a significant information asymmetry: a contractor can report 80% completion while the road remains barely started, and citizens have no channel to correct the record.</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2.4 Poor Geographic and Administrative Granularity</w:t>
      </w:r>
    </w:p>
    <w:p>
      <w:pPr>
        <w:spacing w:after="140" w:before="100"/>
        <w:jc w:val="both"/>
      </w:pPr>
      <w:r>
        <w:rPr>
          <w:rFonts w:ascii="Arial" w:cs="Arial" w:eastAsia="Arial" w:hAnsi="Arial"/>
          <w:b w:val="false"/>
          <w:bCs w:val="false"/>
          <w:i w:val="false"/>
          <w:iCs w:val="false"/>
          <w:color w:val="222222"/>
          <w:sz w:val="22"/>
          <w:szCs w:val="22"/>
        </w:rPr>
        <w:t xml:space="preserve">Kenya's devolution framework distributes governance across 47 counties, approximately 290 constituencies, and 1,450 wards. Yet the existing platform provides limited granularity at the county level and virtually none at the constituency or ward level. Communities cannot easily identify and monitor projects within their specific area, undermining devolution's promise of localized accountability.</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2.5 Inaccessibility and Digital Exclusion</w:t>
      </w:r>
    </w:p>
    <w:p>
      <w:pPr>
        <w:spacing w:after="140" w:before="100"/>
        <w:jc w:val="both"/>
      </w:pPr>
      <w:r>
        <w:rPr>
          <w:rFonts w:ascii="Arial" w:cs="Arial" w:eastAsia="Arial" w:hAnsi="Arial"/>
          <w:b w:val="false"/>
          <w:bCs w:val="false"/>
          <w:i w:val="false"/>
          <w:iCs w:val="false"/>
          <w:color w:val="222222"/>
          <w:sz w:val="22"/>
          <w:szCs w:val="22"/>
        </w:rPr>
        <w:t xml:space="preserve">The existing system requires stable internet connectivity and a web browser, effectively excluding millions of Kenyans in rural areas with limited connectivity, as well as citizens who rely on basic mobile phones (feature phones). There is no SMS-based interface, no USSD menu, and no offline functionality. The platform is also available only in English, excluding Swahili-speaking and other language communities from meaningful access.</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2.6 Lack of Contractor Accountability</w:t>
      </w:r>
    </w:p>
    <w:p>
      <w:pPr>
        <w:spacing w:after="140" w:before="100"/>
        <w:jc w:val="both"/>
      </w:pPr>
      <w:r>
        <w:rPr>
          <w:rFonts w:ascii="Arial" w:cs="Arial" w:eastAsia="Arial" w:hAnsi="Arial"/>
          <w:b w:val="false"/>
          <w:bCs w:val="false"/>
          <w:i w:val="false"/>
          <w:iCs w:val="false"/>
          <w:color w:val="222222"/>
          <w:sz w:val="22"/>
          <w:szCs w:val="22"/>
        </w:rPr>
        <w:t xml:space="preserve">Contractor information is largely absent from the current system. The public cannot ascertain which company was awarded a project, whether the company is duly registered, what its previous performance record is, or whether it has links to politically exposed persons. This opacity enables politically connected firms to repeatedly win contracts despite poor delivery records.</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2.7 No Complaints or Escalation Mechanism</w:t>
      </w:r>
    </w:p>
    <w:p>
      <w:pPr>
        <w:spacing w:after="140" w:before="100"/>
        <w:jc w:val="both"/>
      </w:pPr>
      <w:r>
        <w:rPr>
          <w:rFonts w:ascii="Arial" w:cs="Arial" w:eastAsia="Arial" w:hAnsi="Arial"/>
          <w:b w:val="false"/>
          <w:bCs w:val="false"/>
          <w:i w:val="false"/>
          <w:iCs w:val="false"/>
          <w:color w:val="222222"/>
          <w:sz w:val="22"/>
          <w:szCs w:val="22"/>
        </w:rPr>
        <w:t xml:space="preserve">Citizens who discover malfeasance — a stopped project, substandard work, missing equipment — have no in-system way to report it. They must navigate external bureaucracies (EACC, public ombudsman, parliamentary petitions) with no feedback or tracking. The absence of an integrated complaints mechanism means most grievances go unaddressed and problems escalate before they are caught.</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3. Proposed Solution: The UWAZI Platform</w:t>
      </w:r>
    </w:p>
    <w:p>
      <w:pPr>
        <w:spacing w:after="140" w:before="100"/>
        <w:jc w:val="both"/>
      </w:pPr>
      <w:r>
        <w:rPr>
          <w:rFonts w:ascii="Arial" w:cs="Arial" w:eastAsia="Arial" w:hAnsi="Arial"/>
          <w:b w:val="false"/>
          <w:bCs w:val="false"/>
          <w:i w:val="false"/>
          <w:iCs w:val="false"/>
          <w:color w:val="222222"/>
          <w:sz w:val="22"/>
          <w:szCs w:val="22"/>
        </w:rPr>
        <w:t xml:space="preserve">UWAZI is a comprehensive, open-source, citizen-facing public project accountability platform built on a robust relational database engine. It replaces the passive model of the current system with an active, participatory architecture centred on three pillars: Radical Transparency, Citizen Verification, and Actionable Accountability.</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3.1 Platform Vision and Principles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Radical Transparency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project, every budget line, every disbursement, and every contractor is publicly disclosed in real-time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Citizen Primacy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Citizens are not passive viewers — they are active validators, reporters, and co-monitors of public works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Granularity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Information is accessible at the ward level, enabling hyper-local accountability</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Evidence-Based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about project status must be backed by photographic, video, or documentary evidence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Inclusive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USSD, and web interfaces ensure no Kenyan is excluded by technology or language barriers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Open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data is available via public API for journalists, researchers, and watchdog organizations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Legal Grounding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is designed to comply with and enforce Kenya's PFM Act, Public Procurement Act, and the Constitution</w:t>
            </w:r>
          </w:p>
        </w:tc>
      </w:tr>
    </w:tbl>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3.2 Core Modules and Features</w:t>
      </w:r>
    </w:p>
    <w:p>
      <w:pPr>
        <w:pStyle w:val="Heading3"/>
        <w:spacing w:after="120" w:before="200"/>
      </w:pPr>
      <w:r>
        <w:rPr>
          <w:rFonts w:ascii="Arial" w:cs="Arial" w:eastAsia="Arial" w:hAnsi="Arial"/>
          <w:b/>
          <w:bCs/>
          <w:color w:val="2E7D32"/>
          <w:sz w:val="22"/>
          <w:szCs w:val="22"/>
        </w:rPr>
        <w:t xml:space="preserve">3.2.1 Project Registry and Lifecycle Tracker</w:t>
      </w:r>
    </w:p>
    <w:p>
      <w:pPr>
        <w:spacing w:after="140" w:before="100"/>
        <w:jc w:val="both"/>
      </w:pPr>
      <w:r>
        <w:rPr>
          <w:rFonts w:ascii="Arial" w:cs="Arial" w:eastAsia="Arial" w:hAnsi="Arial"/>
          <w:b w:val="false"/>
          <w:bCs w:val="false"/>
          <w:i w:val="false"/>
          <w:iCs w:val="false"/>
          <w:color w:val="222222"/>
          <w:sz w:val="22"/>
          <w:szCs w:val="22"/>
        </w:rPr>
        <w:t xml:space="preserve">Every public project — whether funded by national government, county government, CDF, or development partners — is registered in a structured database with full metadata including project type, location coordinates, implementing agency, start and end dates, contractor details, and funding source. Projects are tracked through defined lifecycle stages from procurement through completion.</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Geospatial mapping of all projects down to GPS coordinates</w:t>
      </w:r>
    </w:p>
    <w:p>
      <w:pPr>
        <w:pStyle w:val="ListParagraph"/>
        <w:numPr>
          <w:ilvl w:val="0"/>
          <w:numId w:val="2"/>
        </w:numPr>
        <w:spacing w:after="60" w:before="60"/>
      </w:pPr>
      <w:r>
        <w:rPr>
          <w:rFonts w:ascii="Arial" w:cs="Arial" w:eastAsia="Arial" w:hAnsi="Arial"/>
          <w:color w:val="222222"/>
          <w:sz w:val="22"/>
          <w:szCs w:val="22"/>
        </w:rPr>
        <w:t xml:space="preserve">Automated status updates linked to official milestone completion reports</w:t>
      </w:r>
    </w:p>
    <w:p>
      <w:pPr>
        <w:pStyle w:val="ListParagraph"/>
        <w:numPr>
          <w:ilvl w:val="0"/>
          <w:numId w:val="2"/>
        </w:numPr>
        <w:spacing w:after="60" w:before="60"/>
      </w:pPr>
      <w:r>
        <w:rPr>
          <w:rFonts w:ascii="Arial" w:cs="Arial" w:eastAsia="Arial" w:hAnsi="Arial"/>
          <w:color w:val="222222"/>
          <w:sz w:val="22"/>
          <w:szCs w:val="22"/>
        </w:rPr>
        <w:t xml:space="preserve">Historical archive of all project changes, delays, and amendments</w:t>
      </w:r>
    </w:p>
    <w:p>
      <w:pPr>
        <w:pStyle w:val="ListParagraph"/>
        <w:numPr>
          <w:ilvl w:val="0"/>
          <w:numId w:val="2"/>
        </w:numPr>
        <w:spacing w:after="60" w:before="60"/>
      </w:pPr>
      <w:r>
        <w:rPr>
          <w:rFonts w:ascii="Arial" w:cs="Arial" w:eastAsia="Arial" w:hAnsi="Arial"/>
          <w:color w:val="222222"/>
          <w:sz w:val="22"/>
          <w:szCs w:val="22"/>
        </w:rPr>
        <w:t xml:space="preserve">Integration with the Public Procurement Information Portal (PPIP)</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3.2.2 Budget Transparency Engine</w:t>
      </w:r>
    </w:p>
    <w:p>
      <w:pPr>
        <w:spacing w:after="140" w:before="100"/>
        <w:jc w:val="both"/>
      </w:pPr>
      <w:r>
        <w:rPr>
          <w:rFonts w:ascii="Arial" w:cs="Arial" w:eastAsia="Arial" w:hAnsi="Arial"/>
          <w:b w:val="false"/>
          <w:bCs w:val="false"/>
          <w:i w:val="false"/>
          <w:iCs w:val="false"/>
          <w:color w:val="222222"/>
          <w:sz w:val="22"/>
          <w:szCs w:val="22"/>
        </w:rPr>
        <w:t xml:space="preserve">This is the most transformative feature of UWAZI. Unlike the existing system which shows only totals, the Budget Transparency Engine enforces granular financial disclosure as a condition of project registration.</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Line-item budget breakdown: materials, labour, equipment, professional fees, VAT, contingency</w:t>
      </w:r>
    </w:p>
    <w:p>
      <w:pPr>
        <w:pStyle w:val="ListParagraph"/>
        <w:numPr>
          <w:ilvl w:val="0"/>
          <w:numId w:val="2"/>
        </w:numPr>
        <w:spacing w:after="60" w:before="60"/>
      </w:pPr>
      <w:r>
        <w:rPr>
          <w:rFonts w:ascii="Arial" w:cs="Arial" w:eastAsia="Arial" w:hAnsi="Arial"/>
          <w:color w:val="222222"/>
          <w:sz w:val="22"/>
          <w:szCs w:val="22"/>
        </w:rPr>
        <w:t xml:space="preserve">Real-time disbursement ledger showing every payment made against a project</w:t>
      </w:r>
    </w:p>
    <w:p>
      <w:pPr>
        <w:pStyle w:val="ListParagraph"/>
        <w:numPr>
          <w:ilvl w:val="0"/>
          <w:numId w:val="2"/>
        </w:numPr>
        <w:spacing w:after="60" w:before="60"/>
      </w:pPr>
      <w:r>
        <w:rPr>
          <w:rFonts w:ascii="Arial" w:cs="Arial" w:eastAsia="Arial" w:hAnsi="Arial"/>
          <w:color w:val="222222"/>
          <w:sz w:val="22"/>
          <w:szCs w:val="22"/>
        </w:rPr>
        <w:t xml:space="preserve">Milestone-linked payments: disbursements are only recorded after milestone validation</w:t>
      </w:r>
    </w:p>
    <w:p>
      <w:pPr>
        <w:pStyle w:val="ListParagraph"/>
        <w:numPr>
          <w:ilvl w:val="0"/>
          <w:numId w:val="2"/>
        </w:numPr>
        <w:spacing w:after="60" w:before="60"/>
      </w:pPr>
      <w:r>
        <w:rPr>
          <w:rFonts w:ascii="Arial" w:cs="Arial" w:eastAsia="Arial" w:hAnsi="Arial"/>
          <w:color w:val="222222"/>
          <w:sz w:val="22"/>
          <w:szCs w:val="22"/>
        </w:rPr>
        <w:t xml:space="preserve">Variation order disclosure: all contract amendments are published with justifications</w:t>
      </w:r>
    </w:p>
    <w:p>
      <w:pPr>
        <w:pStyle w:val="ListParagraph"/>
        <w:numPr>
          <w:ilvl w:val="0"/>
          <w:numId w:val="2"/>
        </w:numPr>
        <w:spacing w:after="60" w:before="60"/>
      </w:pPr>
      <w:r>
        <w:rPr>
          <w:rFonts w:ascii="Arial" w:cs="Arial" w:eastAsia="Arial" w:hAnsi="Arial"/>
          <w:color w:val="222222"/>
          <w:sz w:val="22"/>
          <w:szCs w:val="22"/>
        </w:rPr>
        <w:t xml:space="preserve">Supplier and sub-contractor payment chains made visible to the public</w:t>
      </w:r>
    </w:p>
    <w:p>
      <w:pPr>
        <w:pStyle w:val="ListParagraph"/>
        <w:numPr>
          <w:ilvl w:val="0"/>
          <w:numId w:val="2"/>
        </w:numPr>
        <w:spacing w:after="60" w:before="60"/>
      </w:pPr>
      <w:r>
        <w:rPr>
          <w:rFonts w:ascii="Arial" w:cs="Arial" w:eastAsia="Arial" w:hAnsi="Arial"/>
          <w:color w:val="222222"/>
          <w:sz w:val="22"/>
          <w:szCs w:val="22"/>
        </w:rPr>
        <w:t xml:space="preserve">AI-assisted anomaly detection flagging expenditure patterns inconsistent with work progress</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3.2.3 Citizen Verification and Evidence System</w:t>
      </w:r>
    </w:p>
    <w:p>
      <w:pPr>
        <w:spacing w:after="140" w:before="100"/>
        <w:jc w:val="both"/>
      </w:pPr>
      <w:r>
        <w:rPr>
          <w:rFonts w:ascii="Arial" w:cs="Arial" w:eastAsia="Arial" w:hAnsi="Arial"/>
          <w:b w:val="false"/>
          <w:bCs w:val="false"/>
          <w:i w:val="false"/>
          <w:iCs w:val="false"/>
          <w:color w:val="222222"/>
          <w:sz w:val="22"/>
          <w:szCs w:val="22"/>
        </w:rPr>
        <w:t xml:space="preserve">The Citizen Verification System is what fundamentally distinguishes UWAZI from all existing platforms. It enables any Kenyan citizen to become a ground-truth validator of project status.</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Citizens upload geo-tagged photographs and videos from project sites with timestamps</w:t>
      </w:r>
    </w:p>
    <w:p>
      <w:pPr>
        <w:pStyle w:val="ListParagraph"/>
        <w:numPr>
          <w:ilvl w:val="0"/>
          <w:numId w:val="2"/>
        </w:numPr>
        <w:spacing w:after="60" w:before="60"/>
      </w:pPr>
      <w:r>
        <w:rPr>
          <w:rFonts w:ascii="Arial" w:cs="Arial" w:eastAsia="Arial" w:hAnsi="Arial"/>
          <w:color w:val="222222"/>
          <w:sz w:val="22"/>
          <w:szCs w:val="22"/>
        </w:rPr>
        <w:t xml:space="preserve">Community verification: multiple citizens in a location can corroborate or dispute a report</w:t>
      </w:r>
    </w:p>
    <w:p>
      <w:pPr>
        <w:pStyle w:val="ListParagraph"/>
        <w:numPr>
          <w:ilvl w:val="0"/>
          <w:numId w:val="2"/>
        </w:numPr>
        <w:spacing w:after="60" w:before="60"/>
      </w:pPr>
      <w:r>
        <w:rPr>
          <w:rFonts w:ascii="Arial" w:cs="Arial" w:eastAsia="Arial" w:hAnsi="Arial"/>
          <w:color w:val="222222"/>
          <w:sz w:val="22"/>
          <w:szCs w:val="22"/>
        </w:rPr>
        <w:t xml:space="preserve">Discrepancy engine: automatically flags when citizen evidence contradicts official reports</w:t>
      </w:r>
    </w:p>
    <w:p>
      <w:pPr>
        <w:pStyle w:val="ListParagraph"/>
        <w:numPr>
          <w:ilvl w:val="0"/>
          <w:numId w:val="2"/>
        </w:numPr>
        <w:spacing w:after="60" w:before="60"/>
      </w:pPr>
      <w:r>
        <w:rPr>
          <w:rFonts w:ascii="Arial" w:cs="Arial" w:eastAsia="Arial" w:hAnsi="Arial"/>
          <w:color w:val="222222"/>
          <w:sz w:val="22"/>
          <w:szCs w:val="22"/>
        </w:rPr>
        <w:t xml:space="preserve">Structured reporting forms for different project types (roads, hospitals, schools, water)</w:t>
      </w:r>
    </w:p>
    <w:p>
      <w:pPr>
        <w:pStyle w:val="ListParagraph"/>
        <w:numPr>
          <w:ilvl w:val="0"/>
          <w:numId w:val="2"/>
        </w:numPr>
        <w:spacing w:after="60" w:before="60"/>
      </w:pPr>
      <w:r>
        <w:rPr>
          <w:rFonts w:ascii="Arial" w:cs="Arial" w:eastAsia="Arial" w:hAnsi="Arial"/>
          <w:color w:val="222222"/>
          <w:sz w:val="22"/>
          <w:szCs w:val="22"/>
        </w:rPr>
        <w:t xml:space="preserve">Verification history preserved as an immutable audit trail</w:t>
      </w:r>
    </w:p>
    <w:p>
      <w:pPr>
        <w:pStyle w:val="ListParagraph"/>
        <w:numPr>
          <w:ilvl w:val="0"/>
          <w:numId w:val="2"/>
        </w:numPr>
        <w:spacing w:after="60" w:before="60"/>
      </w:pPr>
      <w:r>
        <w:rPr>
          <w:rFonts w:ascii="Arial" w:cs="Arial" w:eastAsia="Arial" w:hAnsi="Arial"/>
          <w:color w:val="222222"/>
          <w:sz w:val="22"/>
          <w:szCs w:val="22"/>
        </w:rPr>
        <w:t xml:space="preserve">Incentive system: verified reporters earn civic badges and recognition on the platform</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3.2.4 Interactive Citizen Engagement</w:t>
      </w:r>
    </w:p>
    <w:p>
      <w:pPr>
        <w:spacing w:after="140" w:before="100"/>
        <w:jc w:val="both"/>
      </w:pPr>
      <w:r>
        <w:rPr>
          <w:rFonts w:ascii="Arial" w:cs="Arial" w:eastAsia="Arial" w:hAnsi="Arial"/>
          <w:b w:val="false"/>
          <w:bCs w:val="false"/>
          <w:i w:val="false"/>
          <w:iCs w:val="false"/>
          <w:color w:val="222222"/>
          <w:sz w:val="22"/>
          <w:szCs w:val="22"/>
        </w:rPr>
        <w:t xml:space="preserve">UWAZI transforms citizens from passive observers into active stakeholders in project oversight.</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Threaded public comments on every project page</w:t>
      </w:r>
    </w:p>
    <w:p>
      <w:pPr>
        <w:pStyle w:val="ListParagraph"/>
        <w:numPr>
          <w:ilvl w:val="0"/>
          <w:numId w:val="2"/>
        </w:numPr>
        <w:spacing w:after="60" w:before="60"/>
      </w:pPr>
      <w:r>
        <w:rPr>
          <w:rFonts w:ascii="Arial" w:cs="Arial" w:eastAsia="Arial" w:hAnsi="Arial"/>
          <w:color w:val="222222"/>
          <w:sz w:val="22"/>
          <w:szCs w:val="22"/>
        </w:rPr>
        <w:t xml:space="preserve">Voting system to surface the most impactful community concerns</w:t>
      </w:r>
    </w:p>
    <w:p>
      <w:pPr>
        <w:pStyle w:val="ListParagraph"/>
        <w:numPr>
          <w:ilvl w:val="0"/>
          <w:numId w:val="2"/>
        </w:numPr>
        <w:spacing w:after="60" w:before="60"/>
      </w:pPr>
      <w:r>
        <w:rPr>
          <w:rFonts w:ascii="Arial" w:cs="Arial" w:eastAsia="Arial" w:hAnsi="Arial"/>
          <w:color w:val="222222"/>
          <w:sz w:val="22"/>
          <w:szCs w:val="22"/>
        </w:rPr>
        <w:t xml:space="preserve">Q&amp;A mechanism allowing direct questions to implementing agencies</w:t>
      </w:r>
    </w:p>
    <w:p>
      <w:pPr>
        <w:pStyle w:val="ListParagraph"/>
        <w:numPr>
          <w:ilvl w:val="0"/>
          <w:numId w:val="2"/>
        </w:numPr>
        <w:spacing w:after="60" w:before="60"/>
      </w:pPr>
      <w:r>
        <w:rPr>
          <w:rFonts w:ascii="Arial" w:cs="Arial" w:eastAsia="Arial" w:hAnsi="Arial"/>
          <w:color w:val="222222"/>
          <w:sz w:val="22"/>
          <w:szCs w:val="22"/>
        </w:rPr>
        <w:t xml:space="preserve">Follow and subscribe to projects of interest — receive alerts on updates or anomalies</w:t>
      </w:r>
    </w:p>
    <w:p>
      <w:pPr>
        <w:pStyle w:val="ListParagraph"/>
        <w:numPr>
          <w:ilvl w:val="0"/>
          <w:numId w:val="2"/>
        </w:numPr>
        <w:spacing w:after="60" w:before="60"/>
      </w:pPr>
      <w:r>
        <w:rPr>
          <w:rFonts w:ascii="Arial" w:cs="Arial" w:eastAsia="Arial" w:hAnsi="Arial"/>
          <w:color w:val="222222"/>
          <w:sz w:val="22"/>
          <w:szCs w:val="22"/>
        </w:rPr>
        <w:t xml:space="preserve">Community forums at the ward and constituency level</w:t>
      </w:r>
    </w:p>
    <w:p>
      <w:pPr>
        <w:pStyle w:val="ListParagraph"/>
        <w:numPr>
          <w:ilvl w:val="0"/>
          <w:numId w:val="2"/>
        </w:numPr>
        <w:spacing w:after="60" w:before="60"/>
      </w:pPr>
      <w:r>
        <w:rPr>
          <w:rFonts w:ascii="Arial" w:cs="Arial" w:eastAsia="Arial" w:hAnsi="Arial"/>
          <w:color w:val="222222"/>
          <w:sz w:val="22"/>
          <w:szCs w:val="22"/>
        </w:rPr>
        <w:t xml:space="preserve">Multilingual interface in English and Kiswahili, with expansion to regional languages</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3.2.5 Contractor Accountability Registry</w:t>
      </w:r>
    </w:p>
    <w:p>
      <w:pPr>
        <w:spacing w:after="140" w:before="100"/>
        <w:jc w:val="both"/>
      </w:pPr>
      <w:r>
        <w:rPr>
          <w:rFonts w:ascii="Arial" w:cs="Arial" w:eastAsia="Arial" w:hAnsi="Arial"/>
          <w:b w:val="false"/>
          <w:bCs w:val="false"/>
          <w:i w:val="false"/>
          <w:iCs w:val="false"/>
          <w:color w:val="222222"/>
          <w:sz w:val="22"/>
          <w:szCs w:val="22"/>
        </w:rPr>
        <w:t xml:space="preserve">Full contractor transparency is a cornerstone of UWAZI. Every entity awarded a public contract is subject to public scrutiny.</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Contractor profiles including registration number, directors, and shareholding structure</w:t>
      </w:r>
    </w:p>
    <w:p>
      <w:pPr>
        <w:pStyle w:val="ListParagraph"/>
        <w:numPr>
          <w:ilvl w:val="0"/>
          <w:numId w:val="2"/>
        </w:numPr>
        <w:spacing w:after="60" w:before="60"/>
      </w:pPr>
      <w:r>
        <w:rPr>
          <w:rFonts w:ascii="Arial" w:cs="Arial" w:eastAsia="Arial" w:hAnsi="Arial"/>
          <w:color w:val="222222"/>
          <w:sz w:val="22"/>
          <w:szCs w:val="22"/>
        </w:rPr>
        <w:t xml:space="preserve">Performance scorecard: historical delivery record across all public contracts</w:t>
      </w:r>
    </w:p>
    <w:p>
      <w:pPr>
        <w:pStyle w:val="ListParagraph"/>
        <w:numPr>
          <w:ilvl w:val="0"/>
          <w:numId w:val="2"/>
        </w:numPr>
        <w:spacing w:after="60" w:before="60"/>
      </w:pPr>
      <w:r>
        <w:rPr>
          <w:rFonts w:ascii="Arial" w:cs="Arial" w:eastAsia="Arial" w:hAnsi="Arial"/>
          <w:color w:val="222222"/>
          <w:sz w:val="22"/>
          <w:szCs w:val="22"/>
        </w:rPr>
        <w:t xml:space="preserve">Beneficial ownership disclosure to expose politically connected beneficiaries</w:t>
      </w:r>
    </w:p>
    <w:p>
      <w:pPr>
        <w:pStyle w:val="ListParagraph"/>
        <w:numPr>
          <w:ilvl w:val="0"/>
          <w:numId w:val="2"/>
        </w:numPr>
        <w:spacing w:after="60" w:before="60"/>
      </w:pPr>
      <w:r>
        <w:rPr>
          <w:rFonts w:ascii="Arial" w:cs="Arial" w:eastAsia="Arial" w:hAnsi="Arial"/>
          <w:color w:val="222222"/>
          <w:sz w:val="22"/>
          <w:szCs w:val="22"/>
        </w:rPr>
        <w:t xml:space="preserve">Debarment register: contractors flagged for non-performance or fraud</w:t>
      </w:r>
    </w:p>
    <w:p>
      <w:pPr>
        <w:pStyle w:val="ListParagraph"/>
        <w:numPr>
          <w:ilvl w:val="0"/>
          <w:numId w:val="2"/>
        </w:numPr>
        <w:spacing w:after="60" w:before="60"/>
      </w:pPr>
      <w:r>
        <w:rPr>
          <w:rFonts w:ascii="Arial" w:cs="Arial" w:eastAsia="Arial" w:hAnsi="Arial"/>
          <w:color w:val="222222"/>
          <w:sz w:val="22"/>
          <w:szCs w:val="22"/>
        </w:rPr>
        <w:t xml:space="preserve">Integration with National Construction Authority (NCA) license verification</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3.2.6 Complaints and Escalation Module</w:t>
      </w:r>
    </w:p>
    <w:p>
      <w:pPr>
        <w:spacing w:after="140" w:before="100"/>
        <w:jc w:val="both"/>
      </w:pPr>
      <w:r>
        <w:rPr>
          <w:rFonts w:ascii="Arial" w:cs="Arial" w:eastAsia="Arial" w:hAnsi="Arial"/>
          <w:b w:val="false"/>
          <w:bCs w:val="false"/>
          <w:i w:val="false"/>
          <w:iCs w:val="false"/>
          <w:color w:val="222222"/>
          <w:sz w:val="22"/>
          <w:szCs w:val="22"/>
        </w:rPr>
        <w:t xml:space="preserve">Citizens who identify problems with a project can report them directly through UWAZI, triggering a structured escalation process.</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Categorized complaint types: stalled project, substandard work, misuse of funds, safety hazard</w:t>
      </w:r>
    </w:p>
    <w:p>
      <w:pPr>
        <w:pStyle w:val="ListParagraph"/>
        <w:numPr>
          <w:ilvl w:val="0"/>
          <w:numId w:val="2"/>
        </w:numPr>
        <w:spacing w:after="60" w:before="60"/>
      </w:pPr>
      <w:r>
        <w:rPr>
          <w:rFonts w:ascii="Arial" w:cs="Arial" w:eastAsia="Arial" w:hAnsi="Arial"/>
          <w:color w:val="222222"/>
          <w:sz w:val="22"/>
          <w:szCs w:val="22"/>
        </w:rPr>
        <w:t xml:space="preserve">Automated routing to the relevant oversight body (county, national, EACC, NG-CDF board)</w:t>
      </w:r>
    </w:p>
    <w:p>
      <w:pPr>
        <w:pStyle w:val="ListParagraph"/>
        <w:numPr>
          <w:ilvl w:val="0"/>
          <w:numId w:val="2"/>
        </w:numPr>
        <w:spacing w:after="60" w:before="60"/>
      </w:pPr>
      <w:r>
        <w:rPr>
          <w:rFonts w:ascii="Arial" w:cs="Arial" w:eastAsia="Arial" w:hAnsi="Arial"/>
          <w:color w:val="222222"/>
          <w:sz w:val="22"/>
          <w:szCs w:val="22"/>
        </w:rPr>
        <w:t xml:space="preserve">SLA-based tracking: complaints must receive a response within defined timeframes</w:t>
      </w:r>
    </w:p>
    <w:p>
      <w:pPr>
        <w:pStyle w:val="ListParagraph"/>
        <w:numPr>
          <w:ilvl w:val="0"/>
          <w:numId w:val="2"/>
        </w:numPr>
        <w:spacing w:after="60" w:before="60"/>
      </w:pPr>
      <w:r>
        <w:rPr>
          <w:rFonts w:ascii="Arial" w:cs="Arial" w:eastAsia="Arial" w:hAnsi="Arial"/>
          <w:color w:val="222222"/>
          <w:sz w:val="22"/>
          <w:szCs w:val="22"/>
        </w:rPr>
        <w:t xml:space="preserve">Public visibility of complaint status — no hiding issues from the community</w:t>
      </w:r>
    </w:p>
    <w:p>
      <w:pPr>
        <w:pStyle w:val="ListParagraph"/>
        <w:numPr>
          <w:ilvl w:val="0"/>
          <w:numId w:val="2"/>
        </w:numPr>
        <w:spacing w:after="60" w:before="60"/>
      </w:pPr>
      <w:r>
        <w:rPr>
          <w:rFonts w:ascii="Arial" w:cs="Arial" w:eastAsia="Arial" w:hAnsi="Arial"/>
          <w:color w:val="222222"/>
          <w:sz w:val="22"/>
          <w:szCs w:val="22"/>
        </w:rPr>
        <w:t xml:space="preserve">Anonymous reporting option for whistleblowers with source protection</w:t>
      </w:r>
    </w:p>
    <w:p>
      <w:pPr>
        <w:spacing w:after="100" w:before="0"/>
      </w:pPr>
      <w:r>
        <w:rPr>
          <w:sz w:val="22"/>
          <w:szCs w:val="22"/>
        </w:rPr>
        <w:t xml:space="preserve"/>
      </w:r>
    </w:p>
    <w:p>
      <w:pPr>
        <w:pStyle w:val="Heading3"/>
        <w:spacing w:after="120" w:before="200"/>
      </w:pPr>
      <w:r>
        <w:rPr>
          <w:rFonts w:ascii="Arial" w:cs="Arial" w:eastAsia="Arial" w:hAnsi="Arial"/>
          <w:b/>
          <w:bCs/>
          <w:color w:val="2E7D32"/>
          <w:sz w:val="22"/>
          <w:szCs w:val="22"/>
        </w:rPr>
        <w:t xml:space="preserve">3.2.7 Offline and SMS Access</w:t>
      </w:r>
    </w:p>
    <w:p>
      <w:pPr>
        <w:spacing w:after="140" w:before="100"/>
        <w:jc w:val="both"/>
      </w:pPr>
      <w:r>
        <w:rPr>
          <w:rFonts w:ascii="Arial" w:cs="Arial" w:eastAsia="Arial" w:hAnsi="Arial"/>
          <w:b w:val="false"/>
          <w:bCs w:val="false"/>
          <w:i w:val="false"/>
          <w:iCs w:val="false"/>
          <w:color w:val="222222"/>
          <w:sz w:val="22"/>
          <w:szCs w:val="22"/>
        </w:rPr>
        <w:t xml:space="preserve">Acknowledging Kenya's digital divide, UWAZI is designed to be accessible without smartphones or stable internet.</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USSD menu for basic project status queries using any mobile phone</w:t>
      </w:r>
    </w:p>
    <w:p>
      <w:pPr>
        <w:pStyle w:val="ListParagraph"/>
        <w:numPr>
          <w:ilvl w:val="0"/>
          <w:numId w:val="2"/>
        </w:numPr>
        <w:spacing w:after="60" w:before="60"/>
      </w:pPr>
      <w:r>
        <w:rPr>
          <w:rFonts w:ascii="Arial" w:cs="Arial" w:eastAsia="Arial" w:hAnsi="Arial"/>
          <w:color w:val="222222"/>
          <w:sz w:val="22"/>
          <w:szCs w:val="22"/>
        </w:rPr>
        <w:t xml:space="preserve">SMS reporting: citizens text a project code to a short code to submit a basic status report</w:t>
      </w:r>
    </w:p>
    <w:p>
      <w:pPr>
        <w:pStyle w:val="ListParagraph"/>
        <w:numPr>
          <w:ilvl w:val="0"/>
          <w:numId w:val="2"/>
        </w:numPr>
        <w:spacing w:after="60" w:before="60"/>
      </w:pPr>
      <w:r>
        <w:rPr>
          <w:rFonts w:ascii="Arial" w:cs="Arial" w:eastAsia="Arial" w:hAnsi="Arial"/>
          <w:color w:val="222222"/>
          <w:sz w:val="22"/>
          <w:szCs w:val="22"/>
        </w:rPr>
        <w:t xml:space="preserve">Lightweight mobile web version optimized for 2G/EDGE connections</w:t>
      </w:r>
    </w:p>
    <w:p>
      <w:pPr>
        <w:pStyle w:val="ListParagraph"/>
        <w:numPr>
          <w:ilvl w:val="0"/>
          <w:numId w:val="2"/>
        </w:numPr>
        <w:spacing w:after="60" w:before="60"/>
      </w:pPr>
      <w:r>
        <w:rPr>
          <w:rFonts w:ascii="Arial" w:cs="Arial" w:eastAsia="Arial" w:hAnsi="Arial"/>
          <w:color w:val="222222"/>
          <w:sz w:val="22"/>
          <w:szCs w:val="22"/>
        </w:rPr>
        <w:t xml:space="preserve">Community kiosk mode for county information offices and Huduma Centres</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4. System Comparison: Existing vs. Proposed</w:t>
      </w:r>
    </w:p>
    <w:p>
      <w:pPr>
        <w:spacing w:after="140" w:before="100"/>
        <w:jc w:val="both"/>
      </w:pPr>
      <w:r>
        <w:rPr>
          <w:rFonts w:ascii="Arial" w:cs="Arial" w:eastAsia="Arial" w:hAnsi="Arial"/>
          <w:b w:val="false"/>
          <w:bCs w:val="false"/>
          <w:i w:val="false"/>
          <w:iCs w:val="false"/>
          <w:color w:val="222222"/>
          <w:sz w:val="22"/>
          <w:szCs w:val="22"/>
        </w:rPr>
        <w:t xml:space="preserve">The table below provides a direct feature-by-feature comparison between deliver.co.ke and the proposed UWAZI platform:</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deliver.co.ke (Existing)</w:t>
            </w:r>
          </w:p>
        </w:tc>
        <w:tc>
          <w:tcPr>
            <w:tcW w:type="dxa" w:w="35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Uwazi Platform (Proposed)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Citizen Interaction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View only — no engagement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Comment, report, validate, vote on projects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19"/>
                <w:szCs w:val="19"/>
              </w:rPr>
              <w:t xml:space="preserve">Budget Transparency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Total amounts only; no breakdowns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19"/>
                <w:szCs w:val="19"/>
              </w:rPr>
              <w:t xml:space="preserve">Line-item budgets with milestone-linked spending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Evidence Upload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supported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Citizens upload photos, videos, documents as proof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19"/>
                <w:szCs w:val="19"/>
              </w:rPr>
              <w:t xml:space="preserve">Real-time Updates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Static or infrequently updated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19"/>
                <w:szCs w:val="19"/>
              </w:rPr>
              <w:t xml:space="preserve">Live progress dashboards and contractor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Contractor Info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disclosed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Full contractor profiles, licenses, and history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19"/>
                <w:szCs w:val="19"/>
              </w:rPr>
              <w:t xml:space="preserve">Complaint Mechanism</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None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19"/>
                <w:szCs w:val="19"/>
              </w:rPr>
              <w:t xml:space="preserve">Integrated ticketing system with SLA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Offline Access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SMS integration and lightweight mobile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19"/>
                <w:szCs w:val="19"/>
              </w:rPr>
              <w:t xml:space="preserve">Fund Traceability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19"/>
                <w:szCs w:val="19"/>
              </w:rPr>
              <w:t xml:space="preserve">Blockchain-anchored audit trail for every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County vs. National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Limited county breakdown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Full county + ward level granularity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19"/>
                <w:szCs w:val="19"/>
              </w:rPr>
              <w:t xml:space="preserve">Data Export / API</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19"/>
                <w:szCs w:val="19"/>
              </w:rPr>
              <w:t xml:space="preserve">Open API for journalists, researchers, watchdogs</w:t>
            </w:r>
          </w:p>
        </w:tc>
      </w:tr>
    </w:tbl>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5. Database System Design</w:t>
      </w:r>
    </w:p>
    <w:p>
      <w:pPr>
        <w:spacing w:after="140" w:before="100"/>
        <w:jc w:val="both"/>
      </w:pPr>
      <w:r>
        <w:rPr>
          <w:rFonts w:ascii="Arial" w:cs="Arial" w:eastAsia="Arial" w:hAnsi="Arial"/>
          <w:b w:val="false"/>
          <w:bCs w:val="false"/>
          <w:i w:val="false"/>
          <w:iCs w:val="false"/>
          <w:color w:val="222222"/>
          <w:sz w:val="22"/>
          <w:szCs w:val="22"/>
        </w:rPr>
        <w:t xml:space="preserve">UWAZI is built on a relational database management system (RDBMS) — recommended: PostgreSQL — with supplementary NoSQL storage for media assets and a Redis caching layer for high-traffic reads. The schema is designed to enforce data integrity, support complex queries for analytics, and maintain immutable audit trails.</w:t>
      </w:r>
    </w:p>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5.1 Core Database Entities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Table</w:t>
            </w:r>
          </w:p>
        </w:tc>
        <w:tc>
          <w:tcPr>
            <w:tcW w:type="dxa" w:w="69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color w:val="FFFFFF"/>
                <w:sz w:val="20"/>
                <w:szCs w:val="20"/>
              </w:rPr>
              <w:t xml:space="preserve">Key Attributes &amp; Purpose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projects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project_id, title, description, category, status, county_id, ward_id, gps_lat, gps_lng, start_date, end_date, implementing_agency_id, funding_source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budgets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budget_id, project_id, total_amount, currency, fiscal_year — parent record linking to budget lines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budget_lines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line_id, budget_id, category (labour/materials/etc), description, planned_amount, actual_amount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disbursements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disbursement_id, project_id, amount, date, recipient_id, milestone_id, payment_reference, approved_by</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milestones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milestone_id, project_id, title, description, planned_date, actual_date, completion_pct, verified_by</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contractors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contractor_id, company_name, registration_no, directors, nca_license, performance_score, debarred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contracts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contract_id, project_id, contractor_id, awarded_amount, awarded_date, completion_date, contract_doc_url</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contract_variations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variation_id, contract_id, change_description, amount_change, approved_by, date, justification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citizens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citizen_id, national_id_hash (anonymized), phone_hash, county_id, ward_id, verification_level</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citizen_reports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report_id, project_id, citizen_id, report_type, description, geo_lat, geo_lng, timestamp, status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evidence_media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media_id, report_id, media_type, file_url, geo_lat, geo_lng, captured_timestamp, verified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comments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comment_id, project_id, citizen_id, content, timestamp, upvotes, parent_comment_id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complaints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complaint_id, project_id, citizen_id, category, description, submitted_at, assigned_to, sla_deadline, resolved_at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audit_log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log_id, table_name, record_id, operation, old_values, new_values, performed_by, timestamp — immutable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counties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county_id, name, governor, population — reference table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wards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ward_id, county_id, constituency_id, name — reference table</w:t>
            </w:r>
          </w:p>
        </w:tc>
      </w:tr>
    </w:tbl>
    <w:p>
      <w:pPr>
        <w:spacing w:after="100" w:before="0"/>
      </w:pPr>
      <w:r>
        <w:rPr>
          <w:sz w:val="22"/>
          <w:szCs w:val="22"/>
        </w:rPr>
        <w:t xml:space="preserve"/>
      </w:r>
    </w:p>
    <w:p>
      <w:pPr>
        <w:pStyle w:val="Heading2"/>
        <w:spacing w:after="160" w:before="300"/>
      </w:pPr>
      <w:r>
        <w:rPr>
          <w:rFonts w:ascii="Arial" w:cs="Arial" w:eastAsia="Arial" w:hAnsi="Arial"/>
          <w:b/>
          <w:bCs/>
          <w:color w:val="2563A8"/>
          <w:sz w:val="24"/>
          <w:szCs w:val="24"/>
        </w:rPr>
        <w:t xml:space="preserve">5.2 Data Integrity and Security Design</w:t>
      </w:r>
    </w:p>
    <w:p>
      <w:pPr>
        <w:spacing w:after="140" w:before="100"/>
        <w:jc w:val="both"/>
      </w:pPr>
      <w:r>
        <w:rPr>
          <w:rFonts w:ascii="Arial" w:cs="Arial" w:eastAsia="Arial" w:hAnsi="Arial"/>
          <w:b w:val="false"/>
          <w:bCs w:val="false"/>
          <w:i w:val="false"/>
          <w:iCs w:val="false"/>
          <w:color w:val="222222"/>
          <w:sz w:val="22"/>
          <w:szCs w:val="22"/>
        </w:rPr>
        <w:t xml:space="preserve">The database schema incorporates several mechanisms to ensure data integrity and prevent tampering:</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All financial records are append-only — updates are tracked via the audit_log table and original records are never deleted</w:t>
      </w:r>
    </w:p>
    <w:p>
      <w:pPr>
        <w:pStyle w:val="ListParagraph"/>
        <w:numPr>
          <w:ilvl w:val="0"/>
          <w:numId w:val="2"/>
        </w:numPr>
        <w:spacing w:after="60" w:before="60"/>
      </w:pPr>
      <w:r>
        <w:rPr>
          <w:rFonts w:ascii="Arial" w:cs="Arial" w:eastAsia="Arial" w:hAnsi="Arial"/>
          <w:color w:val="222222"/>
          <w:sz w:val="22"/>
          <w:szCs w:val="22"/>
        </w:rPr>
        <w:t xml:space="preserve">Foreign key constraints enforced across all relational tables</w:t>
      </w:r>
    </w:p>
    <w:p>
      <w:pPr>
        <w:pStyle w:val="ListParagraph"/>
        <w:numPr>
          <w:ilvl w:val="0"/>
          <w:numId w:val="2"/>
        </w:numPr>
        <w:spacing w:after="60" w:before="60"/>
      </w:pPr>
      <w:r>
        <w:rPr>
          <w:rFonts w:ascii="Arial" w:cs="Arial" w:eastAsia="Arial" w:hAnsi="Arial"/>
          <w:color w:val="222222"/>
          <w:sz w:val="22"/>
          <w:szCs w:val="22"/>
        </w:rPr>
        <w:t xml:space="preserve">Row-level security (RLS) in PostgreSQL ensures government users can only update their own agency's data</w:t>
      </w:r>
    </w:p>
    <w:p>
      <w:pPr>
        <w:pStyle w:val="ListParagraph"/>
        <w:numPr>
          <w:ilvl w:val="0"/>
          <w:numId w:val="2"/>
        </w:numPr>
        <w:spacing w:after="60" w:before="60"/>
      </w:pPr>
      <w:r>
        <w:rPr>
          <w:rFonts w:ascii="Arial" w:cs="Arial" w:eastAsia="Arial" w:hAnsi="Arial"/>
          <w:color w:val="222222"/>
          <w:sz w:val="22"/>
          <w:szCs w:val="22"/>
        </w:rPr>
        <w:t xml:space="preserve">Cryptographic hashing of citizen identifiers (National ID, phone number) to protect privacy while enabling de-duplication</w:t>
      </w:r>
    </w:p>
    <w:p>
      <w:pPr>
        <w:pStyle w:val="ListParagraph"/>
        <w:numPr>
          <w:ilvl w:val="0"/>
          <w:numId w:val="2"/>
        </w:numPr>
        <w:spacing w:after="60" w:before="60"/>
      </w:pPr>
      <w:r>
        <w:rPr>
          <w:rFonts w:ascii="Arial" w:cs="Arial" w:eastAsia="Arial" w:hAnsi="Arial"/>
          <w:color w:val="222222"/>
          <w:sz w:val="22"/>
          <w:szCs w:val="22"/>
        </w:rPr>
        <w:t xml:space="preserve">Evidence media files are hashed at upload time and stored in append-only object storage to prevent tampering</w:t>
      </w:r>
    </w:p>
    <w:p>
      <w:pPr>
        <w:pStyle w:val="ListParagraph"/>
        <w:numPr>
          <w:ilvl w:val="0"/>
          <w:numId w:val="2"/>
        </w:numPr>
        <w:spacing w:after="60" w:before="60"/>
      </w:pPr>
      <w:r>
        <w:rPr>
          <w:rFonts w:ascii="Arial" w:cs="Arial" w:eastAsia="Arial" w:hAnsi="Arial"/>
          <w:color w:val="222222"/>
          <w:sz w:val="22"/>
          <w:szCs w:val="22"/>
        </w:rPr>
        <w:t xml:space="preserve">Role-based access control: Citizen, Agency Officer, County Admin, National Admin, System Auditor, Read-Only API</w:t>
      </w:r>
    </w:p>
    <w:p>
      <w:pPr>
        <w:pStyle w:val="ListParagraph"/>
        <w:numPr>
          <w:ilvl w:val="0"/>
          <w:numId w:val="2"/>
        </w:numPr>
        <w:spacing w:after="60" w:before="60"/>
      </w:pPr>
      <w:r>
        <w:rPr>
          <w:rFonts w:ascii="Arial" w:cs="Arial" w:eastAsia="Arial" w:hAnsi="Arial"/>
          <w:color w:val="222222"/>
          <w:sz w:val="22"/>
          <w:szCs w:val="22"/>
        </w:rPr>
        <w:t xml:space="preserve">All API endpoints are rate-limited and authenticated via OAuth 2.0 with JWT tokens</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6. Implementation Roadmap</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color w:val="FFFFFF"/>
                <w:sz w:val="20"/>
                <w:szCs w:val="20"/>
              </w:rPr>
              <w:t xml:space="preserve">Activities &amp; Deliverables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Phase 1 — Foundation (Months 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Stakeholder consultations with Ministry of Devolution, counties, civil society. Legal and regulatory review. Database schema design and validation. Core infrastructure setup (cloud hosting, CI/CD pipelines, security architecture).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Phase 2 — Core Build (Months 4–7)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of Project Registry, Budget Transparency Engine, and Contractor Registry. Admin portal for government agencies. Data migration from existing government systems. Internal QA and security penetration testing.</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Phase 3 — Citizen Features (Months 8–10)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Citizen Verification System, comments, complaints, and escalation module. SMS/USSD interface. Mobile web version. Accessibility audit (WCAG 2.1 AA compliance). Kiswahili localization.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Phase 4 — Pilot Launch (Months 11–12)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Pilot in 5 counties (mix of urban and rural). Citizen training and civic education campaigns. Bug fixes and performance optimization. Open API launch for third-party developers and media.</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Phase 5 — National Rollout (Year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Phased rollout to all 47 counties. Integration with National Treasury, PPIP, and eCitizen. Ongoing capacity building for county staff. Parliamentary briefing and media engagement.</w:t>
            </w:r>
          </w:p>
        </w:tc>
      </w:tr>
    </w:tbl>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7. Legal and Policy Framework</w:t>
      </w:r>
    </w:p>
    <w:p>
      <w:pPr>
        <w:spacing w:after="140" w:before="100"/>
        <w:jc w:val="both"/>
      </w:pPr>
      <w:r>
        <w:rPr>
          <w:rFonts w:ascii="Arial" w:cs="Arial" w:eastAsia="Arial" w:hAnsi="Arial"/>
          <w:b w:val="false"/>
          <w:bCs w:val="false"/>
          <w:i w:val="false"/>
          <w:iCs w:val="false"/>
          <w:color w:val="222222"/>
          <w:sz w:val="22"/>
          <w:szCs w:val="22"/>
        </w:rPr>
        <w:t xml:space="preserve">UWAZI is designed to operate within and reinforce Kenya's existing legal framework for public finance management and open governance:</w:t>
      </w:r>
    </w:p>
    <w:p>
      <w:pPr>
        <w:spacing w:after="100" w:before="0"/>
      </w:pPr>
      <w:r>
        <w:rPr>
          <w:sz w:val="22"/>
          <w:szCs w:val="22"/>
        </w:rPr>
        <w:t xml:space="preserve"/>
      </w:r>
    </w:p>
    <w:p>
      <w:pPr>
        <w:pStyle w:val="ListParagraph"/>
        <w:numPr>
          <w:ilvl w:val="0"/>
          <w:numId w:val="2"/>
        </w:numPr>
        <w:spacing w:after="60" w:before="60"/>
      </w:pPr>
      <w:r>
        <w:rPr>
          <w:rFonts w:ascii="Arial" w:cs="Arial" w:eastAsia="Arial" w:hAnsi="Arial"/>
          <w:color w:val="222222"/>
          <w:sz w:val="22"/>
          <w:szCs w:val="22"/>
        </w:rPr>
        <w:t xml:space="preserve">Constitution of Kenya 2010 — Articles 10, 35, 201, 232 on public participation, access to information, and transparency as national values</w:t>
      </w:r>
    </w:p>
    <w:p>
      <w:pPr>
        <w:pStyle w:val="ListParagraph"/>
        <w:numPr>
          <w:ilvl w:val="0"/>
          <w:numId w:val="2"/>
        </w:numPr>
        <w:spacing w:after="60" w:before="60"/>
      </w:pPr>
      <w:r>
        <w:rPr>
          <w:rFonts w:ascii="Arial" w:cs="Arial" w:eastAsia="Arial" w:hAnsi="Arial"/>
          <w:color w:val="222222"/>
          <w:sz w:val="22"/>
          <w:szCs w:val="22"/>
        </w:rPr>
        <w:t xml:space="preserve">Public Finance Management Act 2012 — Sections on budget openness, public participation in budgeting, and financial reporting obligations</w:t>
      </w:r>
    </w:p>
    <w:p>
      <w:pPr>
        <w:pStyle w:val="ListParagraph"/>
        <w:numPr>
          <w:ilvl w:val="0"/>
          <w:numId w:val="2"/>
        </w:numPr>
        <w:spacing w:after="60" w:before="60"/>
      </w:pPr>
      <w:r>
        <w:rPr>
          <w:rFonts w:ascii="Arial" w:cs="Arial" w:eastAsia="Arial" w:hAnsi="Arial"/>
          <w:color w:val="222222"/>
          <w:sz w:val="22"/>
          <w:szCs w:val="22"/>
        </w:rPr>
        <w:t xml:space="preserve">Public Procurement and Asset Disposal Act 2015 — Disclosure obligations for procurement awards, debarment, and contract management</w:t>
      </w:r>
    </w:p>
    <w:p>
      <w:pPr>
        <w:pStyle w:val="ListParagraph"/>
        <w:numPr>
          <w:ilvl w:val="0"/>
          <w:numId w:val="2"/>
        </w:numPr>
        <w:spacing w:after="60" w:before="60"/>
      </w:pPr>
      <w:r>
        <w:rPr>
          <w:rFonts w:ascii="Arial" w:cs="Arial" w:eastAsia="Arial" w:hAnsi="Arial"/>
          <w:color w:val="222222"/>
          <w:sz w:val="22"/>
          <w:szCs w:val="22"/>
        </w:rPr>
        <w:t xml:space="preserve">Access to Information Act 2016 — Citizen rights to access public sector information</w:t>
      </w:r>
    </w:p>
    <w:p>
      <w:pPr>
        <w:pStyle w:val="ListParagraph"/>
        <w:numPr>
          <w:ilvl w:val="0"/>
          <w:numId w:val="2"/>
        </w:numPr>
        <w:spacing w:after="60" w:before="60"/>
      </w:pPr>
      <w:r>
        <w:rPr>
          <w:rFonts w:ascii="Arial" w:cs="Arial" w:eastAsia="Arial" w:hAnsi="Arial"/>
          <w:color w:val="222222"/>
          <w:sz w:val="22"/>
          <w:szCs w:val="22"/>
        </w:rPr>
        <w:t xml:space="preserve">Data Protection Act 2019 — All citizen data collected by UWAZI will be processed in compliance with DPA requirements, with the Office of the Data Protection Commissioner notified of processing activities</w:t>
      </w:r>
    </w:p>
    <w:p>
      <w:pPr>
        <w:pStyle w:val="ListParagraph"/>
        <w:numPr>
          <w:ilvl w:val="0"/>
          <w:numId w:val="2"/>
        </w:numPr>
        <w:spacing w:after="60" w:before="60"/>
      </w:pPr>
      <w:r>
        <w:rPr>
          <w:rFonts w:ascii="Arial" w:cs="Arial" w:eastAsia="Arial" w:hAnsi="Arial"/>
          <w:color w:val="222222"/>
          <w:sz w:val="22"/>
          <w:szCs w:val="22"/>
        </w:rPr>
        <w:t xml:space="preserve">Prevention of Corruption Act and EACC Act — Complaint data may be shared with EACC subject to appropriate data-sharing agreements</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8. Expected Benefits and Impact</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Benefits to Citizens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Real-time visibility into projects funded by their taxes at the ward level</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A direct channel to report malfeasance and track the response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Access to evidence that supports community advocacy and legal action</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Inclusive access regardless of smartphone or internet connectivity</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Recognition and civic empowerment for active participation in oversight</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Benefits to Government and Accountability Bodies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Reduced corruption risk through public visibility of every financial transaction</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Independent citizen verification that supplements formal oversight capacity</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Improved contractor performance driven by public performance scorecards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Structured, categorized complaints data that prioritizes oversight interventions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Compliance with constitutional and legal transparency obligations</w:t>
            </w:r>
          </w:p>
        </w:tc>
      </w:tr>
      <w:tr>
        <w:tc>
          <w:tcPr>
            <w:tcW w:type="dxa" w:w="936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Reduced audit workload through automated anomaly detection and audit trails</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Benefits to Development Partners and Investors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Independent, verifiable evidence of project outcomes for results-based financing</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Real-time monitoring data accessible via API without field missions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Reduced fiduciary risk through financial transparency and audit trails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pStyle w:val="ListParagraph"/>
              <w:numPr>
                <w:ilvl w:val="0"/>
                <w:numId w:val="2"/>
              </w:numPr>
            </w:pPr>
            <w:r>
              <w:rPr>
                <w:rFonts w:ascii="Arial" w:cs="Arial" w:eastAsia="Arial" w:hAnsi="Arial"/>
                <w:color w:val="222222"/>
                <w:sz w:val="22"/>
                <w:szCs w:val="22"/>
              </w:rPr>
              <w:t xml:space="preserve">Evidence base for policy advocacy and sector-level programme design</w:t>
            </w:r>
          </w:p>
        </w:tc>
      </w:tr>
    </w:tbl>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9. Risks and Mitigation Strategies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Government resistance to disclosure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Legal mandate framing; advocacy with Parliament and civil society; staged disclosure starting with less sensitive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False or malicious citizen reports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Community corroboration requirement; flagging thresholds; registered users with phone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 citizen adoption in rural areas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SMS/USSD access; community mobilizers; partnerships with local NGOs and chiefs' offices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Data security breaches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End-to-end encryption; penetration testing; bug bounty programme; ISO 27001 compliance roadmap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Contractor legal challenges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Ensure all disclosed data comes from official public records; legal review of disclosure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Underfunding or political interference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Multi-stakeholder governance board; development partner co-funding; open-source model ensures continuity</w:t>
            </w:r>
          </w:p>
        </w:tc>
      </w:tr>
    </w:tbl>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10. Conclusion</w:t>
      </w:r>
    </w:p>
    <w:p>
      <w:pPr>
        <w:spacing w:after="140" w:before="100"/>
        <w:jc w:val="both"/>
      </w:pPr>
      <w:r>
        <w:rPr>
          <w:rFonts w:ascii="Arial" w:cs="Arial" w:eastAsia="Arial" w:hAnsi="Arial"/>
          <w:b w:val="false"/>
          <w:bCs w:val="false"/>
          <w:i w:val="false"/>
          <w:iCs w:val="false"/>
          <w:color w:val="222222"/>
          <w:sz w:val="22"/>
          <w:szCs w:val="22"/>
        </w:rPr>
        <w:t xml:space="preserve">Kenya's governance transformation cannot be complete as long as public projects remain opaque, static, and inaccessible to the citizens who fund and are meant to benefit from them. The deliver.co.ke platform, while a step in the right direction, is a first-generation tool that fails to meet the standard of accountability demanded by the Constitution, the PFM Act, and Kenyan citizens.</w:t>
      </w:r>
    </w:p>
    <w:p>
      <w:pPr>
        <w:spacing w:after="100" w:before="0"/>
      </w:pPr>
      <w:r>
        <w:rPr>
          <w:sz w:val="22"/>
          <w:szCs w:val="22"/>
        </w:rPr>
        <w:t xml:space="preserve"/>
      </w:r>
    </w:p>
    <w:p>
      <w:pPr>
        <w:spacing w:after="140" w:before="100"/>
        <w:jc w:val="both"/>
      </w:pPr>
      <w:r>
        <w:rPr>
          <w:rFonts w:ascii="Arial" w:cs="Arial" w:eastAsia="Arial" w:hAnsi="Arial"/>
          <w:b w:val="false"/>
          <w:bCs w:val="false"/>
          <w:i w:val="false"/>
          <w:iCs w:val="false"/>
          <w:color w:val="222222"/>
          <w:sz w:val="22"/>
          <w:szCs w:val="22"/>
        </w:rPr>
        <w:t xml:space="preserve">UWAZI represents a quantum leap: from viewing to participating, from totals to every cent, from government-reported status to citizen-verified progress. It is not just a technology solution — it is a governance transformation platform rooted in the constitutional values of transparency, accountability, and public participation.</w:t>
      </w:r>
    </w:p>
    <w:p>
      <w:pPr>
        <w:spacing w:after="100" w:before="0"/>
      </w:pPr>
      <w:r>
        <w:rPr>
          <w:sz w:val="22"/>
          <w:szCs w:val="22"/>
        </w:rPr>
        <w:t xml:space="preserve"/>
      </w:r>
    </w:p>
    <w:p>
      <w:pPr>
        <w:spacing w:after="140" w:before="100"/>
        <w:jc w:val="both"/>
      </w:pPr>
      <w:r>
        <w:rPr>
          <w:rFonts w:ascii="Arial" w:cs="Arial" w:eastAsia="Arial" w:hAnsi="Arial"/>
          <w:b w:val="false"/>
          <w:bCs w:val="false"/>
          <w:i w:val="false"/>
          <w:iCs w:val="false"/>
          <w:color w:val="222222"/>
          <w:sz w:val="22"/>
          <w:szCs w:val="22"/>
        </w:rPr>
        <w:t xml:space="preserve">The time to build this system is now. Kenya's devolution framework, maturing digital infrastructure, high mobile penetration, and an active civil society create the conditions for UWAZI to succeed where incremental reforms have fallen short.</w:t>
      </w:r>
    </w:p>
    <w:p>
      <w:pPr>
        <w:spacing w:after="100" w:before="0"/>
      </w:pPr>
      <w:r>
        <w:rPr>
          <w:sz w:val="22"/>
          <w:szCs w:val="22"/>
        </w:rPr>
        <w:t xml:space="preserve"/>
      </w:r>
    </w:p>
    <w:p>
      <w:pPr>
        <w:pBdr>
          <w:left w:val="single" w:color="2E7D32" w:sz="20" w:space="12"/>
        </w:pBdr>
        <w:spacing w:after="200" w:before="200"/>
        <w:ind w:left="400"/>
      </w:pPr>
      <w:r>
        <w:rPr>
          <w:rFonts w:ascii="Arial" w:cs="Arial" w:eastAsia="Arial" w:hAnsi="Arial"/>
          <w:b/>
          <w:bCs/>
          <w:i/>
          <w:iCs/>
          <w:color w:val="1A3C5E"/>
          <w:sz w:val="24"/>
          <w:szCs w:val="24"/>
        </w:rPr>
        <w:t xml:space="preserve">"Uwazi si hiari — ni haki ya kila Mkenya." — Transparency is not optional; it is the right of every Kenyan.</w:t>
      </w:r>
    </w:p>
    <w:p>
      <w:pPr>
        <w:spacing w:after="200" w:before="0"/>
      </w:pPr>
      <w:r>
        <w:rPr>
          <w:sz w:val="22"/>
          <w:szCs w:val="22"/>
        </w:rPr>
        <w:t xml:space="preserve"/>
      </w:r>
    </w:p>
    <w:p>
      <w:pPr>
        <w:pStyle w:val="Heading1"/>
        <w:pBdr>
          <w:bottom w:val="single" w:color="1A3C5E" w:sz="8" w:space="4"/>
        </w:pBdr>
        <w:spacing w:after="200" w:before="400"/>
      </w:pPr>
      <w:r>
        <w:rPr>
          <w:rFonts w:ascii="Arial" w:cs="Arial" w:eastAsia="Arial" w:hAnsi="Arial"/>
          <w:b/>
          <w:bCs/>
          <w:color w:val="1A3C5E"/>
          <w:sz w:val="28"/>
          <w:szCs w:val="28"/>
        </w:rPr>
        <w:t xml:space="preserve">Appendix 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UWAZI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Kiswahili for 'Transparency' — the name of the proposed platform</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deliver.co.ke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Kenya's existing government project tracking portal operated under the Ministry of Devolution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PFM 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Finance Management Act 2012 — the primary legislation governing public spending in Kenya</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Devolution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Kenya's system of governance dividing power between national and 47 county governments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Ward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smallest administrative unit of devolved governance in Kenya (~1,450 total)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PPIP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Procurement Information Portal — the government's procurement disclosure system</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EACC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Ethics and Anti-Corruption Commission — Kenya's primary anti-graft body</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NCA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 Construction Authority — the regulator for Kenya's construction industry</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USSD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Unstructured Supplementary Service Data — menu-based mobile phone service working on basic phones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RLS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Row-Level Security — a database feature limiting which rows a user can access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CDF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Constituency Development Fund — devolved funding to constituencies for local projects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color w:val="1A3C5E"/>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Web Token — a secure method for API authentication</w:t>
            </w:r>
          </w:p>
        </w:tc>
      </w:tr>
    </w:tbl>
    <w:p>
      <w:pPr>
        <w:spacing w:after="200" w:before="0"/>
      </w:pPr>
      <w:r>
        <w:rPr>
          <w:sz w:val="22"/>
          <w:szCs w:val="22"/>
        </w:rPr>
        <w:t xml:space="preserve"/>
      </w:r>
    </w:p>
    <w:p>
      <w:pPr>
        <w:pBdr>
          <w:top w:val="single" w:color="1A3C5E" w:sz="6" w:space="8"/>
        </w:pBdr>
        <w:spacing w:after="80" w:before="200"/>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18"/>
          <w:szCs w:val="18"/>
        </w:rPr>
        <w:t xml:space="preserve">UWAZI Platform | Kenya Public Projects Accountability System | Version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 2026 Uwazi Initiative.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4"/>
      </w:pBdr>
    </w:pPr>
    <w:r>
      <w:rPr>
        <w:rFonts w:ascii="Arial" w:cs="Arial" w:eastAsia="Arial" w:hAnsi="Arial"/>
        <w:b/>
        <w:bCs/>
        <w:color w:val="1A3C5E"/>
        <w:sz w:val="18"/>
        <w:szCs w:val="18"/>
      </w:rPr>
      <w:t xml:space="preserve">UWAZI Platform  |  </w:t>
    </w:r>
    <w:r>
      <w:rPr>
        <w:rFonts w:ascii="Arial" w:cs="Arial" w:eastAsia="Arial" w:hAnsi="Arial"/>
        <w:color w:val="666666"/>
        <w:sz w:val="18"/>
        <w:szCs w:val="18"/>
      </w:rPr>
      <w:t xml:space="preserve">Kenya Public Projects Accountability System</w:t>
    </w:r>
    <w:r>
      <w:rPr>
        <w:rFonts w:ascii="Arial" w:cs="Arial" w:eastAsia="Arial" w:hAnsi="Arial"/>
        <w:i/>
        <w:iCs/>
        <w:color w:val="666666"/>
        <w:sz w:val="18"/>
        <w:szCs w:val="18"/>
      </w:rPr>
      <w:t xml:space="preserve">  |  Confidential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563A8"/>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2026-05-07T05:49:07.960Z</dcterms:created>
  <dcterms:modified xsi:type="dcterms:W3CDTF">2026-05-07T05:49:07.961Z</dcterms:modified>
</cp:coreProperties>
</file>

<file path=docProps/custom.xml><?xml version="1.0" encoding="utf-8"?>
<Properties xmlns="http://schemas.openxmlformats.org/officeDocument/2006/custom-properties" xmlns:vt="http://schemas.openxmlformats.org/officeDocument/2006/docPropsVTypes"/>
</file>